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80"/>
        <w:spacing w:after="0"/>
        <w:rPr>
          <w:sz w:val="20"/>
          <w:szCs w:val="20"/>
          <w:color w:val="auto"/>
        </w:rPr>
      </w:pPr>
      <w:r>
        <w:rPr>
          <w:rFonts w:ascii="Arial" w:cs="Arial" w:eastAsia="Arial" w:hAnsi="Arial"/>
          <w:sz w:val="16"/>
          <w:szCs w:val="16"/>
          <w:color w:val="auto"/>
        </w:rPr>
        <w:t>Filed by Lotus Technology Inc.</w:t>
      </w:r>
    </w:p>
    <w:p>
      <w:pPr>
        <w:spacing w:after="0" w:line="46" w:lineRule="exact"/>
        <w:rPr>
          <w:sz w:val="24"/>
          <w:szCs w:val="24"/>
          <w:color w:val="auto"/>
        </w:rPr>
      </w:pPr>
    </w:p>
    <w:p>
      <w:pPr>
        <w:ind w:left="7300"/>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ind w:left="7280"/>
        <w:spacing w:after="0"/>
        <w:rPr>
          <w:sz w:val="20"/>
          <w:szCs w:val="20"/>
          <w:color w:val="auto"/>
        </w:rPr>
      </w:pPr>
      <w:r>
        <w:rPr>
          <w:rFonts w:ascii="Arial" w:cs="Arial" w:eastAsia="Arial" w:hAnsi="Arial"/>
          <w:sz w:val="16"/>
          <w:szCs w:val="16"/>
          <w:color w:val="auto"/>
        </w:rPr>
        <w:t>as amended, and deemed filed pursuant to Rule 14a-12</w:t>
      </w:r>
    </w:p>
    <w:p>
      <w:pPr>
        <w:spacing w:after="0" w:line="32" w:lineRule="exact"/>
        <w:rPr>
          <w:sz w:val="24"/>
          <w:szCs w:val="24"/>
          <w:color w:val="auto"/>
        </w:rPr>
      </w:pPr>
    </w:p>
    <w:p>
      <w:pPr>
        <w:ind w:left="7220"/>
        <w:spacing w:after="0"/>
        <w:rPr>
          <w:sz w:val="20"/>
          <w:szCs w:val="20"/>
          <w:color w:val="auto"/>
        </w:rPr>
      </w:pPr>
      <w:r>
        <w:rPr>
          <w:rFonts w:ascii="Arial" w:cs="Arial" w:eastAsia="Arial" w:hAnsi="Arial"/>
          <w:sz w:val="16"/>
          <w:szCs w:val="16"/>
          <w:color w:val="auto"/>
        </w:rPr>
        <w:t>under the Securities Exchange Act of 1934, as amended</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 Catterton Asia Acquisition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001-40196</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LOTUS TECH</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group-lotus.com</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Lotus Technology's First Electric Hyper-GT Emeya Debuts in New York</w:t>
      </w:r>
    </w:p>
    <w:p>
      <w:pPr>
        <w:spacing w:after="0" w:line="225" w:lineRule="exact"/>
        <w:rPr>
          <w:sz w:val="24"/>
          <w:szCs w:val="24"/>
          <w:color w:val="auto"/>
        </w:rPr>
      </w:pPr>
    </w:p>
    <w:p>
      <w:pPr>
        <w:ind w:right="740"/>
        <w:spacing w:after="0" w:line="282" w:lineRule="auto"/>
        <w:rPr>
          <w:sz w:val="20"/>
          <w:szCs w:val="20"/>
          <w:color w:val="auto"/>
        </w:rPr>
      </w:pPr>
      <w:r>
        <w:rPr>
          <w:rFonts w:ascii="Arial" w:cs="Arial" w:eastAsia="Arial" w:hAnsi="Arial"/>
          <w:sz w:val="18"/>
          <w:szCs w:val="18"/>
          <w:b w:val="1"/>
          <w:bCs w:val="1"/>
          <w:u w:val="single" w:color="auto"/>
          <w:color w:val="auto"/>
        </w:rPr>
        <w:t>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September 7, 2023</w:t>
      </w:r>
      <w:r>
        <w:rPr>
          <w:rFonts w:ascii="Arial" w:cs="Arial" w:eastAsia="Arial" w:hAnsi="Arial"/>
          <w:sz w:val="18"/>
          <w:szCs w:val="18"/>
          <w:b w:val="1"/>
          <w:bCs w:val="1"/>
          <w:color w:val="auto"/>
        </w:rPr>
        <w:t xml:space="preserve"> </w:t>
      </w:r>
      <w:r>
        <w:rPr>
          <w:rFonts w:ascii="Arial" w:cs="Arial" w:eastAsia="Arial" w:hAnsi="Arial"/>
          <w:sz w:val="18"/>
          <w:szCs w:val="18"/>
          <w:color w:val="auto"/>
        </w:rPr>
        <w:t>– Lotus Technology Inc. (“Lotus Tech” or the “Company”), a leading global luxury electric vehicle maker,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debut of Emeya, the Company’s first and one of the world’s most advanced electric hyper-GT vehicles.</w:t>
      </w:r>
    </w:p>
    <w:p>
      <w:pPr>
        <w:spacing w:after="0" w:line="166" w:lineRule="exact"/>
        <w:rPr>
          <w:sz w:val="24"/>
          <w:szCs w:val="24"/>
          <w:color w:val="auto"/>
        </w:rPr>
      </w:pPr>
    </w:p>
    <w:p>
      <w:pPr>
        <w:ind w:right="200"/>
        <w:spacing w:after="0" w:line="296" w:lineRule="auto"/>
        <w:rPr>
          <w:sz w:val="20"/>
          <w:szCs w:val="20"/>
          <w:color w:val="auto"/>
        </w:rPr>
      </w:pPr>
      <w:r>
        <w:rPr>
          <w:rFonts w:ascii="Arial" w:cs="Arial" w:eastAsia="Arial" w:hAnsi="Arial"/>
          <w:sz w:val="16"/>
          <w:szCs w:val="16"/>
          <w:color w:val="auto"/>
        </w:rPr>
        <w:t>Emeya integrates Lotus’s 75-year expertise in engineering and design with advanced innovations to deliver a distinct driving experience in a four-door luxury performance vehicle. Equipped with the brand’s iconic active aerodynamic features and high-power dual motors, Emeya can accelerate from 0-62mph (0-100km/h) in 2.8 seconds, making it one of the fastest electric GTs in the world. Emeya demonstrates Lotus’s market-leading charging capabilities, and can top up approximately 150km of range in just 5 minutes using a 350kW DC fast charger. Emeya has also been meticulously designed with the latest sustainable materials to reduce the carbon footprint of its production. Production of Emeya is expected to commence in 2024.</w:t>
      </w:r>
    </w:p>
    <w:p>
      <w:pPr>
        <w:spacing w:after="0" w:line="16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Mr. Qingfeng Feng, Chief Executive Officer of Lotus Tech, said, “We are proud and excited to announce the debut of Emeya today. Amid robust BEV market demand, Emeya adds to our strong offering in the luxury EV segment to better serve customers’ growing needs and preferences. Lotus Tech looks forward to embarking on an exciting phase as we continue to expand our diverse range of models.”</w:t>
      </w:r>
    </w:p>
    <w:p>
      <w:pPr>
        <w:spacing w:after="0" w:line="184"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Emeya will join Lotus Tech’s line-up of luxury lifestyle electric vehicles as the Company continues its transformation into an advanced, fully electric, intelligent, and sustainable luxury mobility provider by 2028. The debut of Emeya marks an important milestone in Lotus’s Vision 80 strategy and follows the first global deliveries of Eletre, the brand’s maiden fully electric hyper SUV, which began in March this year.</w:t>
      </w:r>
    </w:p>
    <w:p>
      <w:pPr>
        <w:spacing w:after="0" w:line="184" w:lineRule="exact"/>
        <w:rPr>
          <w:sz w:val="24"/>
          <w:szCs w:val="24"/>
          <w:color w:val="auto"/>
        </w:rPr>
      </w:pPr>
    </w:p>
    <w:p>
      <w:pPr>
        <w:ind w:right="140"/>
        <w:spacing w:after="0" w:line="311" w:lineRule="auto"/>
        <w:rPr>
          <w:sz w:val="20"/>
          <w:szCs w:val="20"/>
          <w:color w:val="auto"/>
        </w:rPr>
      </w:pPr>
      <w:r>
        <w:rPr>
          <w:rFonts w:ascii="Arial" w:cs="Arial" w:eastAsia="Arial" w:hAnsi="Arial"/>
          <w:sz w:val="16"/>
          <w:szCs w:val="16"/>
          <w:color w:val="auto"/>
        </w:rPr>
        <w:t>With more than 190 stores in its global retail network, the Company had accumulated global orders of approximately 17,000 units as of June 30, 2023, for Eletre and Emira, the brand’s mid-engine sports car. With the Company’s plan to further broaden its product portfolio by launching the Type 134, a D-segment BEV SUV, and Type 135, an all-electric sports car, over the next four years, Lotus Tech expects to achieve a 100% BEV portfolio by 2027.</w:t>
      </w:r>
    </w:p>
    <w:p>
      <w:pPr>
        <w:spacing w:after="0" w:line="149" w:lineRule="exact"/>
        <w:rPr>
          <w:sz w:val="24"/>
          <w:szCs w:val="24"/>
          <w:color w:val="auto"/>
        </w:rPr>
      </w:pPr>
    </w:p>
    <w:p>
      <w:pPr>
        <w:ind w:right="240"/>
        <w:spacing w:after="0" w:line="279" w:lineRule="auto"/>
        <w:rPr>
          <w:sz w:val="20"/>
          <w:szCs w:val="20"/>
          <w:color w:val="auto"/>
        </w:rPr>
      </w:pPr>
      <w:r>
        <w:rPr>
          <w:rFonts w:ascii="Arial" w:cs="Arial" w:eastAsia="Arial" w:hAnsi="Arial"/>
          <w:sz w:val="17"/>
          <w:szCs w:val="17"/>
          <w:color w:val="auto"/>
        </w:rPr>
        <w:t xml:space="preserve">As announced in January 2023, Lotus Tech entered into a definitive agreement and plan of merger (the “Merger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Asia Acquisition Corp (“LCAA”) (NASDAQ: LCAA), a special purpose acquisition company formed by affiliates of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 leading global consumer-focused investment firm. The transactions contemplated by the Merger Agreement are expected to be completed later this year and would result in Lotus Tech becoming a public company with a pro forma enterprise value of approximately US$5.6 billion.</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Lotus Technology</w:t>
      </w:r>
    </w:p>
    <w:p>
      <w:pPr>
        <w:spacing w:after="0" w:line="229" w:lineRule="exact"/>
        <w:rPr>
          <w:sz w:val="24"/>
          <w:szCs w:val="24"/>
          <w:color w:val="auto"/>
        </w:rPr>
      </w:pPr>
    </w:p>
    <w:p>
      <w:pPr>
        <w:ind w:right="140"/>
        <w:spacing w:after="0" w:line="286" w:lineRule="auto"/>
        <w:rPr>
          <w:sz w:val="20"/>
          <w:szCs w:val="20"/>
          <w:color w:val="auto"/>
        </w:rPr>
      </w:pPr>
      <w:r>
        <w:rPr>
          <w:rFonts w:ascii="Arial" w:cs="Arial" w:eastAsia="Arial" w:hAnsi="Arial"/>
          <w:sz w:val="17"/>
          <w:szCs w:val="17"/>
          <w:color w:val="auto"/>
        </w:rPr>
        <w:t>Lotus Technology Inc., headquartered in Wuhan, China, has operations across China, the UK, and the EU. The Company is dedicated to delivering luxury lifestyle battery electric vehicles, including SUVs and sedans, with a focus on world-class R&amp;D in next-generation automobility technologies such as electrification, digitalisation and more. For more information about Lotus Technology Inc., please visit www.group-lotus.com.</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About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 Catterton Asia Acquisition Corp</w:t>
      </w:r>
    </w:p>
    <w:p>
      <w:pPr>
        <w:spacing w:after="0" w:line="229"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L </w:t>
      </w:r>
      <w:r>
        <w:rPr>
          <w:rFonts w:ascii="Arial" w:cs="Arial" w:eastAsia="Arial" w:hAnsi="Arial"/>
          <w:sz w:val="18"/>
          <w:szCs w:val="18"/>
          <w:color w:val="auto"/>
        </w:rPr>
        <w:t>Catterton Asia Acquisition Corp (NASDAQ: LCAA) is a blank check company incorporated for the purpose of effecting a merger, capital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asset acquisition, stock purchase, reorganization or similar business combination with one or more businesses or entities. While it may pursue an initial target business in any industry or sector, it has focused its search on high-growth, consumer technology sectors across Asia. For more information about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Asia Acquisition Corp, please visit </w:t>
      </w:r>
      <w:r>
        <w:rPr>
          <w:rFonts w:ascii="Arial" w:cs="Arial" w:eastAsia="Arial" w:hAnsi="Arial"/>
          <w:sz w:val="18"/>
          <w:szCs w:val="18"/>
          <w:u w:val="single" w:color="auto"/>
          <w:color w:val="auto"/>
        </w:rPr>
        <w:t>www.lcaac.com</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LOTUS TECH</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group-lotus.com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 Catterton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L </w:t>
      </w:r>
      <w:r>
        <w:rPr>
          <w:rFonts w:ascii="Arial" w:cs="Arial" w:eastAsia="Arial" w:hAnsi="Arial"/>
          <w:sz w:val="18"/>
          <w:szCs w:val="18"/>
          <w:color w:val="auto"/>
        </w:rPr>
        <w:t>Catterton is a market-leading consumer-focused investment firm, managing approximately $33 billion of equity capital and three multi-product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platforms: private equity, credit and real estate. Leveraging deep category insight, operational excellence, and a broad network of strategic relationships,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Catterton's team of more than 200 investment and operating professionals across 17 offices partners with management teams to drive differentiated value creation across its portfolio. Founded in 1989, the firm has made over 250 investments in some of the world's most iconic consumer brands. For more information about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please visit lcatterton.com.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This press release (the “Press Release”) contains forward-looking statements within the meaning of Section 27A of the U.S. Securities Act of 1933, as amended (the “Securities Act”), and Section 21E of the U.S. Securities Exchange Act of 1934, that are based on beliefs and assumptions and on information currently available to Lotus Tech and </w:t>
      </w:r>
      <w:r>
        <w:rPr>
          <w:rFonts w:ascii="Arial" w:cs="Arial" w:eastAsia="Arial" w:hAnsi="Arial"/>
          <w:sz w:val="18"/>
          <w:szCs w:val="18"/>
          <w:i w:val="1"/>
          <w:iCs w:val="1"/>
          <w:color w:val="auto"/>
        </w:rPr>
        <w:t>L</w:t>
      </w:r>
      <w:r>
        <w:rPr>
          <w:rFonts w:ascii="Arial" w:cs="Arial" w:eastAsia="Arial" w:hAnsi="Arial"/>
          <w:sz w:val="18"/>
          <w:szCs w:val="18"/>
          <w:color w:val="auto"/>
        </w:rPr>
        <w:t>CAA. All statements other than statements of historical fact contained in this Press Release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These forward-looking statements are based upon estimates and assumptions that, while considered reasonable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and its management, and Lotus Tech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w:t>
      </w:r>
      <w:r>
        <w:rPr>
          <w:rFonts w:ascii="Arial" w:cs="Arial" w:eastAsia="Arial" w:hAnsi="Arial"/>
          <w:sz w:val="16"/>
          <w:szCs w:val="16"/>
          <w:i w:val="1"/>
          <w:iCs w:val="1"/>
          <w:color w:val="auto"/>
        </w:rPr>
        <w:t>L</w:t>
      </w:r>
      <w:r>
        <w:rPr>
          <w:rFonts w:ascii="Arial" w:cs="Arial" w:eastAsia="Arial" w:hAnsi="Arial"/>
          <w:sz w:val="16"/>
          <w:szCs w:val="16"/>
          <w:color w:val="auto"/>
        </w:rPr>
        <w:t>CAA, Lotus Tech and the other parties thereto (the “Business Combination”);</w:t>
      </w:r>
    </w:p>
    <w:p>
      <w:pPr>
        <w:spacing w:after="0" w:line="1" w:lineRule="exact"/>
        <w:rPr>
          <w:sz w:val="20"/>
          <w:szCs w:val="20"/>
          <w:color w:val="auto"/>
        </w:rPr>
      </w:pPr>
    </w:p>
    <w:p>
      <w:pPr>
        <w:ind w:firstLine="8"/>
        <w:spacing w:after="0" w:line="281"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outcome of any legal proceedings that may be instituted against </w:t>
      </w:r>
      <w:r>
        <w:rPr>
          <w:rFonts w:ascii="Arial" w:cs="Arial" w:eastAsia="Arial" w:hAnsi="Arial"/>
          <w:sz w:val="16"/>
          <w:szCs w:val="16"/>
          <w:i w:val="1"/>
          <w:iCs w:val="1"/>
          <w:color w:val="auto"/>
        </w:rPr>
        <w:t>L</w:t>
      </w:r>
      <w:r>
        <w:rPr>
          <w:rFonts w:ascii="Arial" w:cs="Arial" w:eastAsia="Arial" w:hAnsi="Arial"/>
          <w:sz w:val="16"/>
          <w:szCs w:val="16"/>
          <w:color w:val="auto"/>
        </w:rPr>
        <w:t xml:space="preserve">CAA, the Combined Company or others following the announcement of the Business Combination and any definitive agreements with respect thereto; (3) the amount of redemption requests made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public shareholders and the inability to complete the Business Combination due to the failure to obtain approval of the shareholders of </w:t>
      </w:r>
      <w:r>
        <w:rPr>
          <w:rFonts w:ascii="Arial" w:cs="Arial" w:eastAsia="Arial" w:hAnsi="Arial"/>
          <w:sz w:val="16"/>
          <w:szCs w:val="16"/>
          <w:i w:val="1"/>
          <w:iCs w:val="1"/>
          <w:color w:val="auto"/>
        </w:rPr>
        <w:t>L</w:t>
      </w:r>
      <w:r>
        <w:rPr>
          <w:rFonts w:ascii="Arial" w:cs="Arial" w:eastAsia="Arial" w:hAnsi="Arial"/>
          <w:sz w:val="16"/>
          <w:szCs w:val="16"/>
          <w:color w:val="auto"/>
        </w:rPr>
        <w:t xml:space="preserve">CAA, to obtain financing to complete the Business Combination or to satisfy other conditions to closing and;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Lotus Tech’s international operations; (10) the possibility that Lotus Tech or the Combined Company may be adversely affected by other economic, business, and/or competitive factors; (11) Lotus Tech’s estimates of expenses and profitability; (12) Lotus Tech’s ability to maintain agreements or partnerships with its strategic partner Geely Holding and to develop new agreements or partnerships; (13) Lotus Tech’s ability to maintain relationships with its existing suppliers and strategic partners, and source new suppliers for its critical components, and to complete building out its supply chain, while effectively managing the risks due to such relationships; (14) Lotus Tech’s reliance on its partnerships with vehicle charging networks to provide charging solutions for its vehicles and its strategic partners for servicing its vehicles and their integrated software; (15) Lotus Tech’s ability to establish its brand and capture additional market share, and the risks associated with negative press or reputational harm, including from lithium-ion battery cells catching fire or venting smoke; (16) delays in the design, manufacture, launch and financing of Lotus Tech’s vehicles and Lotus Tech’s reliance on a limited number of vehicle models to generate revenues; (17) Lotus Tech’s ability to continuously and rapidly innovate, develop and market new products; (18) risks related to future market adoption of Lotus Tech’s offerings; (19) increases in costs, disruption of supply or shortage of materials, in particular for lithium-ion cells or semiconductors; (20) Lotus Tech’s reliance on its partners to manufacture vehicles at a high volume, some of which have limited experience in producing electric vehicles, and on the allocation of sufficient production capacity to Lotus Tech by its partners in order for Lotus Tech to be able to increase its vehicle production capacities; (21) risks related to Lotus Tech’s distribution model; (22) the effects of competition and the high barriers to entry in the automotive industry, and the pace and depth of electric vehicle adoption generally on Lotus Tech’s future business; (23) changes in regulatory requirements, governmental incentives and fuel and energy prices; (24) the impact of the global COVID-19 pandemic on </w:t>
      </w:r>
      <w:r>
        <w:rPr>
          <w:rFonts w:ascii="Arial" w:cs="Arial" w:eastAsia="Arial" w:hAnsi="Arial"/>
          <w:sz w:val="16"/>
          <w:szCs w:val="16"/>
          <w:i w:val="1"/>
          <w:iCs w:val="1"/>
          <w:color w:val="auto"/>
        </w:rPr>
        <w:t>L</w:t>
      </w:r>
      <w:r>
        <w:rPr>
          <w:rFonts w:ascii="Arial" w:cs="Arial" w:eastAsia="Arial" w:hAnsi="Arial"/>
          <w:sz w:val="16"/>
          <w:szCs w:val="16"/>
          <w:color w:val="auto"/>
        </w:rPr>
        <w:t xml:space="preserve">CAA, Lotus Tech, Lotus Tech’s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w:t>
      </w:r>
      <w:r>
        <w:rPr>
          <w:rFonts w:ascii="Arial" w:cs="Arial" w:eastAsia="Arial" w:hAnsi="Arial"/>
          <w:sz w:val="16"/>
          <w:szCs w:val="16"/>
          <w:i w:val="1"/>
          <w:iCs w:val="1"/>
          <w:color w:val="auto"/>
        </w:rPr>
        <w:t>L</w:t>
      </w:r>
      <w:r>
        <w:rPr>
          <w:rFonts w:ascii="Arial" w:cs="Arial" w:eastAsia="Arial" w:hAnsi="Arial"/>
          <w:sz w:val="16"/>
          <w:szCs w:val="16"/>
          <w:color w:val="auto"/>
        </w:rPr>
        <w:t>CAA’s final prospectus relating to its initial public offering (File No. 333-</w:t>
      </w:r>
    </w:p>
    <w:p>
      <w:pPr>
        <w:spacing w:after="0" w:line="15"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253334) declared effective by the SEC on March 10, 2021, and other documents filed, or to be filed, with the U.S. Securities and Exchange Commission (the “SEC”) by </w:t>
      </w:r>
      <w:r>
        <w:rPr>
          <w:rFonts w:ascii="Arial" w:cs="Arial" w:eastAsia="Arial" w:hAnsi="Arial"/>
          <w:sz w:val="18"/>
          <w:szCs w:val="18"/>
          <w:i w:val="1"/>
          <w:iCs w:val="1"/>
          <w:color w:val="auto"/>
        </w:rPr>
        <w:t>L</w:t>
      </w:r>
      <w:r>
        <w:rPr>
          <w:rFonts w:ascii="Arial" w:cs="Arial" w:eastAsia="Arial" w:hAnsi="Arial"/>
          <w:sz w:val="18"/>
          <w:szCs w:val="18"/>
          <w:color w:val="auto"/>
        </w:rPr>
        <w:t xml:space="preserve">CAA or Lotus Tech, including the Registration/Proxy Statement (as defined below). There may be additional risks that neither </w:t>
      </w:r>
      <w:r>
        <w:rPr>
          <w:rFonts w:ascii="Arial" w:cs="Arial" w:eastAsia="Arial" w:hAnsi="Arial"/>
          <w:sz w:val="18"/>
          <w:szCs w:val="18"/>
          <w:i w:val="1"/>
          <w:iCs w:val="1"/>
          <w:color w:val="auto"/>
        </w:rPr>
        <w:t>L</w:t>
      </w:r>
      <w:r>
        <w:rPr>
          <w:rFonts w:ascii="Arial" w:cs="Arial" w:eastAsia="Arial" w:hAnsi="Arial"/>
          <w:sz w:val="18"/>
          <w:szCs w:val="18"/>
          <w:color w:val="auto"/>
        </w:rPr>
        <w:t xml:space="preserve">CAA nor Lotus Tech presently know or that </w:t>
      </w:r>
      <w:r>
        <w:rPr>
          <w:rFonts w:ascii="Arial" w:cs="Arial" w:eastAsia="Arial" w:hAnsi="Arial"/>
          <w:sz w:val="18"/>
          <w:szCs w:val="18"/>
          <w:i w:val="1"/>
          <w:iCs w:val="1"/>
          <w:color w:val="auto"/>
        </w:rPr>
        <w:t>L</w:t>
      </w:r>
      <w:r>
        <w:rPr>
          <w:rFonts w:ascii="Arial" w:cs="Arial" w:eastAsia="Arial" w:hAnsi="Arial"/>
          <w:sz w:val="18"/>
          <w:szCs w:val="18"/>
          <w:color w:val="auto"/>
        </w:rPr>
        <w:t>CAA or Lotus Tech currently believe are immaterial that could also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LOTUS TECH</w:t>
      </w:r>
    </w:p>
    <w:p>
      <w:pPr>
        <w:spacing w:after="0" w:line="221" w:lineRule="exact"/>
        <w:rPr>
          <w:sz w:val="20"/>
          <w:szCs w:val="20"/>
          <w:color w:val="auto"/>
        </w:rPr>
      </w:pPr>
    </w:p>
    <w:p>
      <w:pPr>
        <w:ind w:left="9980"/>
        <w:spacing w:after="0"/>
        <w:rPr>
          <w:sz w:val="20"/>
          <w:szCs w:val="20"/>
          <w:color w:val="auto"/>
        </w:rPr>
      </w:pPr>
      <w:r>
        <w:rPr>
          <w:rFonts w:ascii="Arial" w:cs="Arial" w:eastAsia="Arial" w:hAnsi="Arial"/>
          <w:sz w:val="15"/>
          <w:szCs w:val="15"/>
          <w:b w:val="1"/>
          <w:bCs w:val="1"/>
          <w:color w:val="auto"/>
        </w:rPr>
        <w:t>group-lotus.com</w:t>
      </w:r>
    </w:p>
    <w:p>
      <w:pPr>
        <w:spacing w:after="0" w:line="26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Nothing in this Press Release should be regarded as a representation by any person that the forward-looking statements set forth herein will be achieved in any specified time frame, or at all, or that any of the contemplated results of such forward-looking statements will be achieved in any specified time frame, or at all. The forward-looking statements in this Press Release represent the views of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as of the date they are made. While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may update these forward-looking statements in the future, </w:t>
      </w:r>
      <w:r>
        <w:rPr>
          <w:rFonts w:ascii="Arial" w:cs="Arial" w:eastAsia="Arial" w:hAnsi="Arial"/>
          <w:sz w:val="17"/>
          <w:szCs w:val="17"/>
          <w:i w:val="1"/>
          <w:iCs w:val="1"/>
          <w:color w:val="auto"/>
        </w:rPr>
        <w:t>L</w:t>
      </w:r>
      <w:r>
        <w:rPr>
          <w:rFonts w:ascii="Arial" w:cs="Arial" w:eastAsia="Arial" w:hAnsi="Arial"/>
          <w:sz w:val="17"/>
          <w:szCs w:val="17"/>
          <w:color w:val="auto"/>
        </w:rPr>
        <w:t>CAA and Lotus Tech specifically disclaim any obligation to do so, except to the extent required by applicable law. You should not place undue reliance on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connection with the proposed Business Combination, (i) Lotus Tech will file with the SEC a registration statement on Form F-4 containing a preliminary proxy statement of </w:t>
      </w:r>
      <w:r>
        <w:rPr>
          <w:rFonts w:ascii="Arial" w:cs="Arial" w:eastAsia="Arial" w:hAnsi="Arial"/>
          <w:sz w:val="16"/>
          <w:szCs w:val="16"/>
          <w:i w:val="1"/>
          <w:iCs w:val="1"/>
          <w:color w:val="auto"/>
        </w:rPr>
        <w:t>L</w:t>
      </w:r>
      <w:r>
        <w:rPr>
          <w:rFonts w:ascii="Arial" w:cs="Arial" w:eastAsia="Arial" w:hAnsi="Arial"/>
          <w:sz w:val="16"/>
          <w:szCs w:val="16"/>
          <w:color w:val="auto"/>
        </w:rPr>
        <w:t xml:space="preserve">CAA and a preliminary prospectus (the “Registration/Proxy Statement”), and (ii) </w:t>
      </w:r>
      <w:r>
        <w:rPr>
          <w:rFonts w:ascii="Arial" w:cs="Arial" w:eastAsia="Arial" w:hAnsi="Arial"/>
          <w:sz w:val="16"/>
          <w:szCs w:val="16"/>
          <w:i w:val="1"/>
          <w:iCs w:val="1"/>
          <w:color w:val="auto"/>
        </w:rPr>
        <w:t>L</w:t>
      </w:r>
      <w:r>
        <w:rPr>
          <w:rFonts w:ascii="Arial" w:cs="Arial" w:eastAsia="Arial" w:hAnsi="Arial"/>
          <w:sz w:val="16"/>
          <w:szCs w:val="16"/>
          <w:color w:val="auto"/>
        </w:rPr>
        <w:t xml:space="preserve">CAA will file a definitive proxy statement relating to the proposed Business Combination (the “Definitive Proxy Statement”) and will mail the Definitive Proxy Statement and other relevant materials to its shareholders after the Registration/Proxy Statement is declared effective. The Registration/Proxy Statement will contain important information about the proposed Business Combination and the other matters to be voted upon at a meeting of </w:t>
      </w:r>
      <w:r>
        <w:rPr>
          <w:rFonts w:ascii="Arial" w:cs="Arial" w:eastAsia="Arial" w:hAnsi="Arial"/>
          <w:sz w:val="16"/>
          <w:szCs w:val="16"/>
          <w:i w:val="1"/>
          <w:iCs w:val="1"/>
          <w:color w:val="auto"/>
        </w:rPr>
        <w:t>L</w:t>
      </w:r>
      <w:r>
        <w:rPr>
          <w:rFonts w:ascii="Arial" w:cs="Arial" w:eastAsia="Arial" w:hAnsi="Arial"/>
          <w:sz w:val="16"/>
          <w:szCs w:val="16"/>
          <w:color w:val="auto"/>
        </w:rPr>
        <w:t>CAA shareholders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w:t>
      </w:r>
      <w:r>
        <w:rPr>
          <w:rFonts w:ascii="Arial" w:cs="Arial" w:eastAsia="Arial" w:hAnsi="Arial"/>
          <w:sz w:val="16"/>
          <w:szCs w:val="16"/>
          <w:b w:val="1"/>
          <w:bCs w:val="1"/>
          <w:color w:val="auto"/>
        </w:rPr>
        <w:t>.</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Before making any voting or other investment decisions, securityholders of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and other 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Lotus Tech and the Business Combination. </w:t>
      </w:r>
      <w:r>
        <w:rPr>
          <w:rFonts w:ascii="Arial" w:cs="Arial" w:eastAsia="Arial" w:hAnsi="Arial"/>
          <w:sz w:val="18"/>
          <w:szCs w:val="18"/>
          <w:color w:val="auto"/>
        </w:rPr>
        <w:t>When available, the Definitive Proxy Statement and other relevant materials for the proposed Business Combination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mailed to shareholders of </w:t>
      </w:r>
      <w:r>
        <w:rPr>
          <w:rFonts w:ascii="Arial" w:cs="Arial" w:eastAsia="Arial" w:hAnsi="Arial"/>
          <w:sz w:val="18"/>
          <w:szCs w:val="18"/>
          <w:i w:val="1"/>
          <w:iCs w:val="1"/>
          <w:color w:val="auto"/>
        </w:rPr>
        <w:t>L</w:t>
      </w:r>
      <w:r>
        <w:rPr>
          <w:rFonts w:ascii="Arial" w:cs="Arial" w:eastAsia="Arial" w:hAnsi="Arial"/>
          <w:sz w:val="18"/>
          <w:szCs w:val="18"/>
          <w:color w:val="auto"/>
        </w:rPr>
        <w:t xml:space="preserve">CAA as of a record date to be established for voting on the proposed Business Combination. Shareholders will also be able to obtain copies of the Registration/Proxy Statement, the Definitive Proxy Statement and other documents filed with the SEC, without charge, once available, at the SEC’s website at www.sec.gov, or by directing a request to: </w:t>
      </w:r>
      <w:r>
        <w:rPr>
          <w:rFonts w:ascii="Arial" w:cs="Arial" w:eastAsia="Arial" w:hAnsi="Arial"/>
          <w:sz w:val="18"/>
          <w:szCs w:val="18"/>
          <w:i w:val="1"/>
          <w:iCs w:val="1"/>
          <w:color w:val="auto"/>
        </w:rPr>
        <w:t>L</w:t>
      </w:r>
      <w:r>
        <w:rPr>
          <w:rFonts w:ascii="Arial" w:cs="Arial" w:eastAsia="Arial" w:hAnsi="Arial"/>
          <w:sz w:val="18"/>
          <w:szCs w:val="18"/>
          <w:color w:val="auto"/>
        </w:rPr>
        <w:t>CAA, 8 Marina View, Asia Square Tower 1, #41-03, Singapore 018960, attention: Katie Matarazzo.</w:t>
      </w:r>
    </w:p>
    <w:p>
      <w:pPr>
        <w:spacing w:after="0" w:line="19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L</w:t>
      </w:r>
      <w:r>
        <w:rPr>
          <w:rFonts w:ascii="Arial" w:cs="Arial" w:eastAsia="Arial" w:hAnsi="Arial"/>
          <w:sz w:val="16"/>
          <w:szCs w:val="16"/>
          <w:color w:val="auto"/>
        </w:rPr>
        <w:t>CAA and Lotus Tech, and certain of their directors and executive officers, may be deemed participants in the solicitation of proxies from</w:t>
      </w:r>
      <w:r>
        <w:rPr>
          <w:rFonts w:ascii="Arial" w:cs="Arial" w:eastAsia="Arial" w:hAnsi="Arial"/>
          <w:sz w:val="16"/>
          <w:szCs w:val="16"/>
          <w:i w:val="1"/>
          <w:iCs w:val="1"/>
          <w:color w:val="auto"/>
        </w:rPr>
        <w:t xml:space="preserve"> L</w:t>
      </w:r>
      <w:r>
        <w:rPr>
          <w:rFonts w:ascii="Arial" w:cs="Arial" w:eastAsia="Arial" w:hAnsi="Arial"/>
          <w:sz w:val="16"/>
          <w:szCs w:val="16"/>
          <w:color w:val="auto"/>
        </w:rPr>
        <w:t>CAA’s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with respect to the proposed Business Combination. A list of the names of those directors and executive officers and a description of their interests in </w:t>
      </w:r>
      <w:r>
        <w:rPr>
          <w:rFonts w:ascii="Arial" w:cs="Arial" w:eastAsia="Arial" w:hAnsi="Arial"/>
          <w:sz w:val="16"/>
          <w:szCs w:val="16"/>
          <w:i w:val="1"/>
          <w:iCs w:val="1"/>
          <w:color w:val="auto"/>
        </w:rPr>
        <w:t>L</w:t>
      </w:r>
      <w:r>
        <w:rPr>
          <w:rFonts w:ascii="Arial" w:cs="Arial" w:eastAsia="Arial" w:hAnsi="Arial"/>
          <w:sz w:val="16"/>
          <w:szCs w:val="16"/>
          <w:color w:val="auto"/>
        </w:rPr>
        <w:t xml:space="preserve">CAA is set forth in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filings with the SEC (including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final prospectus related to its initial public offering (File No. 333-253334) declared effective by the SEC on March 10, 2021), and are available free of charge at the SEC’s web site at www.sec.gov, or by directing a request to </w:t>
      </w:r>
      <w:r>
        <w:rPr>
          <w:rFonts w:ascii="Arial" w:cs="Arial" w:eastAsia="Arial" w:hAnsi="Arial"/>
          <w:sz w:val="16"/>
          <w:szCs w:val="16"/>
          <w:i w:val="1"/>
          <w:iCs w:val="1"/>
          <w:color w:val="auto"/>
        </w:rPr>
        <w:t>L</w:t>
      </w:r>
      <w:r>
        <w:rPr>
          <w:rFonts w:ascii="Arial" w:cs="Arial" w:eastAsia="Arial" w:hAnsi="Arial"/>
          <w:sz w:val="16"/>
          <w:szCs w:val="16"/>
          <w:color w:val="auto"/>
        </w:rPr>
        <w:t>CAA, 8 Marina View, Asia Square Tower 1, #41-03, Singapore 018960, attention: Katie Matarazzo. Additional information regarding the interests of such participants and other persons who may, under the rules of the SEC, be deemed participants in the solicitation of the shareholders in connection with the proposed Business Combination will be contained in the Registration/Proxy Statement for the proposed Business Combination when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LOTUS TECH</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group-lotus.com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This Press Release is not a proxy statement or solicitation of a proxy, consent or authorization with respect to any securities or in respect of the potential transaction and shall not constitute an offer to sell or a solicitation of an offer to buy the securities of </w:t>
      </w:r>
      <w:r>
        <w:rPr>
          <w:rFonts w:ascii="Arial" w:cs="Arial" w:eastAsia="Arial" w:hAnsi="Arial"/>
          <w:sz w:val="18"/>
          <w:szCs w:val="18"/>
          <w:i w:val="1"/>
          <w:iCs w:val="1"/>
          <w:color w:val="auto"/>
        </w:rPr>
        <w:t>L</w:t>
      </w:r>
      <w:r>
        <w:rPr>
          <w:rFonts w:ascii="Arial" w:cs="Arial" w:eastAsia="Arial" w:hAnsi="Arial"/>
          <w:sz w:val="18"/>
          <w:szCs w:val="18"/>
          <w:color w:val="auto"/>
        </w:rPr>
        <w:t>CAA or Lotus Tech,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inquiries regarding Lotus Tech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Demi Zhang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ir@group-lotus.com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Brunswick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Lotustechmedia@brunswickgroup.com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inquiries regarding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and/or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 Catterton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Hamilton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media@lcatterton.com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+1 203 742 5185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Bob Ong / Bonnie Gan (Asia)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bob.ong@lcatterton.com / bonnie.gan@lcatterton.com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 6672 7619 / +86 10 8555 1807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This press release (the “Press Release”) contains forward-looking statements within the meaning of Section 27A of the U.S. Securities Act of 1933, as amended (the “Securities Act”), and Section 21E of the U.S. Securities Exchange Act of 1934, that are based on beliefs and assumptions and on information currently available to Lotus Tech and </w:t>
      </w:r>
      <w:r>
        <w:rPr>
          <w:rFonts w:ascii="Arial" w:cs="Arial" w:eastAsia="Arial" w:hAnsi="Arial"/>
          <w:sz w:val="18"/>
          <w:szCs w:val="18"/>
          <w:i w:val="1"/>
          <w:iCs w:val="1"/>
          <w:color w:val="auto"/>
        </w:rPr>
        <w:t>L</w:t>
      </w:r>
      <w:r>
        <w:rPr>
          <w:rFonts w:ascii="Arial" w:cs="Arial" w:eastAsia="Arial" w:hAnsi="Arial"/>
          <w:sz w:val="18"/>
          <w:szCs w:val="18"/>
          <w:color w:val="auto"/>
        </w:rPr>
        <w:t>CAA. All statements other than statements of historical fact contained in this Press Release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right="160"/>
        <w:spacing w:after="0" w:line="286" w:lineRule="auto"/>
        <w:rPr>
          <w:sz w:val="20"/>
          <w:szCs w:val="20"/>
          <w:color w:val="auto"/>
        </w:rPr>
      </w:pPr>
      <w:r>
        <w:rPr>
          <w:rFonts w:ascii="Arial" w:cs="Arial" w:eastAsia="Arial" w:hAnsi="Arial"/>
          <w:sz w:val="16"/>
          <w:szCs w:val="16"/>
          <w:color w:val="auto"/>
        </w:rPr>
        <w:t xml:space="preserve">These forward-looking statements are based upon estimates and assumptions that, while considered reasonable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and its management, and Lotus Tech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w:t>
      </w:r>
      <w:r>
        <w:rPr>
          <w:rFonts w:ascii="Arial" w:cs="Arial" w:eastAsia="Arial" w:hAnsi="Arial"/>
          <w:sz w:val="16"/>
          <w:szCs w:val="16"/>
          <w:i w:val="1"/>
          <w:iCs w:val="1"/>
          <w:color w:val="auto"/>
        </w:rPr>
        <w:t>L</w:t>
      </w:r>
      <w:r>
        <w:rPr>
          <w:rFonts w:ascii="Arial" w:cs="Arial" w:eastAsia="Arial" w:hAnsi="Arial"/>
          <w:sz w:val="16"/>
          <w:szCs w:val="16"/>
          <w:color w:val="auto"/>
        </w:rPr>
        <w:t>CAA, Lotus Tech and the other parties thereto (the “Business Combination”);</w:t>
      </w:r>
    </w:p>
    <w:p>
      <w:pPr>
        <w:spacing w:after="0" w:line="1" w:lineRule="exact"/>
        <w:rPr>
          <w:sz w:val="20"/>
          <w:szCs w:val="20"/>
          <w:color w:val="auto"/>
        </w:rPr>
      </w:pPr>
    </w:p>
    <w:p>
      <w:pPr>
        <w:ind w:firstLine="8"/>
        <w:spacing w:after="0" w:line="281"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outcome of any legal proceedings that may be instituted against </w:t>
      </w:r>
      <w:r>
        <w:rPr>
          <w:rFonts w:ascii="Arial" w:cs="Arial" w:eastAsia="Arial" w:hAnsi="Arial"/>
          <w:sz w:val="16"/>
          <w:szCs w:val="16"/>
          <w:i w:val="1"/>
          <w:iCs w:val="1"/>
          <w:color w:val="auto"/>
        </w:rPr>
        <w:t>L</w:t>
      </w:r>
      <w:r>
        <w:rPr>
          <w:rFonts w:ascii="Arial" w:cs="Arial" w:eastAsia="Arial" w:hAnsi="Arial"/>
          <w:sz w:val="16"/>
          <w:szCs w:val="16"/>
          <w:color w:val="auto"/>
        </w:rPr>
        <w:t xml:space="preserve">CAA, the Combined Company or others following the announcement of the Business Combination and any definitive agreements with respect thereto; (3) the amount of redemption requests made by </w:t>
      </w:r>
      <w:r>
        <w:rPr>
          <w:rFonts w:ascii="Arial" w:cs="Arial" w:eastAsia="Arial" w:hAnsi="Arial"/>
          <w:sz w:val="16"/>
          <w:szCs w:val="16"/>
          <w:i w:val="1"/>
          <w:iCs w:val="1"/>
          <w:color w:val="auto"/>
        </w:rPr>
        <w:t>L</w:t>
      </w:r>
      <w:r>
        <w:rPr>
          <w:rFonts w:ascii="Arial" w:cs="Arial" w:eastAsia="Arial" w:hAnsi="Arial"/>
          <w:sz w:val="16"/>
          <w:szCs w:val="16"/>
          <w:color w:val="auto"/>
        </w:rPr>
        <w:t xml:space="preserve">CAA public shareholders and the inability to complete the Business Combination due to the failure to obtain approval of the shareholders of </w:t>
      </w:r>
      <w:r>
        <w:rPr>
          <w:rFonts w:ascii="Arial" w:cs="Arial" w:eastAsia="Arial" w:hAnsi="Arial"/>
          <w:sz w:val="16"/>
          <w:szCs w:val="16"/>
          <w:i w:val="1"/>
          <w:iCs w:val="1"/>
          <w:color w:val="auto"/>
        </w:rPr>
        <w:t>L</w:t>
      </w:r>
      <w:r>
        <w:rPr>
          <w:rFonts w:ascii="Arial" w:cs="Arial" w:eastAsia="Arial" w:hAnsi="Arial"/>
          <w:sz w:val="16"/>
          <w:szCs w:val="16"/>
          <w:color w:val="auto"/>
        </w:rPr>
        <w:t xml:space="preserve">CAA, to obtain financing to complete the Business Combination or to satisfy other conditions to closing and;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Lotus Tech’s international operations; (10) the possibility that Lotus Tech or the Combined Company may be adversely affected by other economic, business, and/or competitive factors; (11) Lotus Tech’s estimates of expenses and profitability; (12) Lotus Tech’s ability to maintain agreements or partnerships with its strategic partner Geely Holding and to develop new agreements or partnerships; (13) Lotus Tech’s ability to maintain relationships with its existing suppliers and strategic partners, and source new suppliers for its critical components, and to complete building out its supply chain, while effectively managing the risks due to such relationships; (14) Lotus Tech’s reliance on its partnerships with vehicle charging networks to provide charging solutions for its vehicles and its strategic partners for servicing its vehicles and their integrated software; (15) Lotus Tech’s ability to establish its brand and capture additional market share, and the risks associated with negative press or reputational harm, including from lithium-ion battery cells catching fire or venting smoke; (16) delays in the design, manufacture, launch and financing of Lotus Tech’s vehicles and Lotus Tech’s reliance on a limited number of vehicle models to generate revenues; (17) Lotus Tech’s ability to continuously and rapidly innovate, develop and market new products; (18) risks related to future market adoption of Lotus Tech’s offerings; (19) increases in costs, disruption of supply or shortage of materials, in particular for lithium-ion cells or semiconductors; (20) Lotus Tech’s reliance on its partners to manufacture vehicles at a high volume, some of which have limited experience in producing electric vehicles, and on the allocation of sufficient production capacity to Lotus Tech by its partners in order for Lotus Tech to be able to increase its vehicle production capacities; (21) risks related to Lotus Tech’s distribution model; (22) the effects of competition and the high barriers to entry in the automotive industry, and the pace and depth of electric vehicle adoption generally on Lotus Tech’s future business; (23) changes in regulatory requirements, governmental incentives and fuel and energy prices; (24) the impact of the global COVID-19 pandemic on </w:t>
      </w:r>
      <w:r>
        <w:rPr>
          <w:rFonts w:ascii="Arial" w:cs="Arial" w:eastAsia="Arial" w:hAnsi="Arial"/>
          <w:sz w:val="16"/>
          <w:szCs w:val="16"/>
          <w:i w:val="1"/>
          <w:iCs w:val="1"/>
          <w:color w:val="auto"/>
        </w:rPr>
        <w:t>L</w:t>
      </w:r>
      <w:r>
        <w:rPr>
          <w:rFonts w:ascii="Arial" w:cs="Arial" w:eastAsia="Arial" w:hAnsi="Arial"/>
          <w:sz w:val="16"/>
          <w:szCs w:val="16"/>
          <w:color w:val="auto"/>
        </w:rPr>
        <w:t xml:space="preserve">CAA, Lotus Tech, Lotus Tech’s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w:t>
      </w:r>
      <w:r>
        <w:rPr>
          <w:rFonts w:ascii="Arial" w:cs="Arial" w:eastAsia="Arial" w:hAnsi="Arial"/>
          <w:sz w:val="16"/>
          <w:szCs w:val="16"/>
          <w:i w:val="1"/>
          <w:iCs w:val="1"/>
          <w:color w:val="auto"/>
        </w:rPr>
        <w:t>L</w:t>
      </w:r>
      <w:r>
        <w:rPr>
          <w:rFonts w:ascii="Arial" w:cs="Arial" w:eastAsia="Arial" w:hAnsi="Arial"/>
          <w:sz w:val="16"/>
          <w:szCs w:val="16"/>
          <w:color w:val="auto"/>
        </w:rPr>
        <w:t>CAA’s final prospectus relating to its initial public offering (File No. 333-</w:t>
      </w:r>
    </w:p>
    <w:p>
      <w:pPr>
        <w:spacing w:after="0" w:line="15"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253334) declared effective by the SEC on March 10, 2021, and other documents filed, or to be filed, with the U.S. Securities and Exchange Commission (the “SEC”) by </w:t>
      </w:r>
      <w:r>
        <w:rPr>
          <w:rFonts w:ascii="Arial" w:cs="Arial" w:eastAsia="Arial" w:hAnsi="Arial"/>
          <w:sz w:val="18"/>
          <w:szCs w:val="18"/>
          <w:i w:val="1"/>
          <w:iCs w:val="1"/>
          <w:color w:val="auto"/>
        </w:rPr>
        <w:t>L</w:t>
      </w:r>
      <w:r>
        <w:rPr>
          <w:rFonts w:ascii="Arial" w:cs="Arial" w:eastAsia="Arial" w:hAnsi="Arial"/>
          <w:sz w:val="18"/>
          <w:szCs w:val="18"/>
          <w:color w:val="auto"/>
        </w:rPr>
        <w:t xml:space="preserve">CAA or Lotus Tech, including the Registration/Proxy Statement (as defined below). There may be additional risks that neither </w:t>
      </w:r>
      <w:r>
        <w:rPr>
          <w:rFonts w:ascii="Arial" w:cs="Arial" w:eastAsia="Arial" w:hAnsi="Arial"/>
          <w:sz w:val="18"/>
          <w:szCs w:val="18"/>
          <w:i w:val="1"/>
          <w:iCs w:val="1"/>
          <w:color w:val="auto"/>
        </w:rPr>
        <w:t>L</w:t>
      </w:r>
      <w:r>
        <w:rPr>
          <w:rFonts w:ascii="Arial" w:cs="Arial" w:eastAsia="Arial" w:hAnsi="Arial"/>
          <w:sz w:val="18"/>
          <w:szCs w:val="18"/>
          <w:color w:val="auto"/>
        </w:rPr>
        <w:t xml:space="preserve">CAA nor Lotus Tech presently know or that </w:t>
      </w:r>
      <w:r>
        <w:rPr>
          <w:rFonts w:ascii="Arial" w:cs="Arial" w:eastAsia="Arial" w:hAnsi="Arial"/>
          <w:sz w:val="18"/>
          <w:szCs w:val="18"/>
          <w:i w:val="1"/>
          <w:iCs w:val="1"/>
          <w:color w:val="auto"/>
        </w:rPr>
        <w:t>L</w:t>
      </w:r>
      <w:r>
        <w:rPr>
          <w:rFonts w:ascii="Arial" w:cs="Arial" w:eastAsia="Arial" w:hAnsi="Arial"/>
          <w:sz w:val="18"/>
          <w:szCs w:val="18"/>
          <w:color w:val="auto"/>
        </w:rPr>
        <w:t>CAA or Lotus Tech currently believe are immaterial that could also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7"/>
          <w:szCs w:val="17"/>
          <w:color w:val="auto"/>
        </w:rPr>
        <w:t xml:space="preserve">Nothing in this Press Release should be regarded as a representation by any person that the forward-looking statements set forth herein will be achieved in any specified time frame, or at all, or that any of the contemplated results of such forward-looking statements will be achieved in any specified time frame, or at all. The forward-looking statements in this Press Release represent the views of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as of the date they are made. While </w:t>
      </w:r>
      <w:r>
        <w:rPr>
          <w:rFonts w:ascii="Arial" w:cs="Arial" w:eastAsia="Arial" w:hAnsi="Arial"/>
          <w:sz w:val="17"/>
          <w:szCs w:val="17"/>
          <w:i w:val="1"/>
          <w:iCs w:val="1"/>
          <w:color w:val="auto"/>
        </w:rPr>
        <w:t>L</w:t>
      </w:r>
      <w:r>
        <w:rPr>
          <w:rFonts w:ascii="Arial" w:cs="Arial" w:eastAsia="Arial" w:hAnsi="Arial"/>
          <w:sz w:val="17"/>
          <w:szCs w:val="17"/>
          <w:color w:val="auto"/>
        </w:rPr>
        <w:t xml:space="preserve">CAA and Lotus Tech may update these forward-looking statements in the future, </w:t>
      </w:r>
      <w:r>
        <w:rPr>
          <w:rFonts w:ascii="Arial" w:cs="Arial" w:eastAsia="Arial" w:hAnsi="Arial"/>
          <w:sz w:val="17"/>
          <w:szCs w:val="17"/>
          <w:i w:val="1"/>
          <w:iCs w:val="1"/>
          <w:color w:val="auto"/>
        </w:rPr>
        <w:t>L</w:t>
      </w:r>
      <w:r>
        <w:rPr>
          <w:rFonts w:ascii="Arial" w:cs="Arial" w:eastAsia="Arial" w:hAnsi="Arial"/>
          <w:sz w:val="17"/>
          <w:szCs w:val="17"/>
          <w:color w:val="auto"/>
        </w:rPr>
        <w:t>CAA and Lotus Tech specifically disclaim any obligation to do so, except to the extent required by applicable law. You should not place undue reliance on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connection with the proposed Business Combination, (i) Lotus Tech will file with the SEC a registration statement on Form F-4 containing a preliminary proxy statement of </w:t>
      </w:r>
      <w:r>
        <w:rPr>
          <w:rFonts w:ascii="Arial" w:cs="Arial" w:eastAsia="Arial" w:hAnsi="Arial"/>
          <w:sz w:val="16"/>
          <w:szCs w:val="16"/>
          <w:i w:val="1"/>
          <w:iCs w:val="1"/>
          <w:color w:val="auto"/>
        </w:rPr>
        <w:t>L</w:t>
      </w:r>
      <w:r>
        <w:rPr>
          <w:rFonts w:ascii="Arial" w:cs="Arial" w:eastAsia="Arial" w:hAnsi="Arial"/>
          <w:sz w:val="16"/>
          <w:szCs w:val="16"/>
          <w:color w:val="auto"/>
        </w:rPr>
        <w:t xml:space="preserve">CAA and a preliminary prospectus (the “Registration/Proxy Statement”), and (ii) </w:t>
      </w:r>
      <w:r>
        <w:rPr>
          <w:rFonts w:ascii="Arial" w:cs="Arial" w:eastAsia="Arial" w:hAnsi="Arial"/>
          <w:sz w:val="16"/>
          <w:szCs w:val="16"/>
          <w:i w:val="1"/>
          <w:iCs w:val="1"/>
          <w:color w:val="auto"/>
        </w:rPr>
        <w:t>L</w:t>
      </w:r>
      <w:r>
        <w:rPr>
          <w:rFonts w:ascii="Arial" w:cs="Arial" w:eastAsia="Arial" w:hAnsi="Arial"/>
          <w:sz w:val="16"/>
          <w:szCs w:val="16"/>
          <w:color w:val="auto"/>
        </w:rPr>
        <w:t xml:space="preserve">CAA will file a definitive proxy statement relating to the proposed Business Combination (the “Definitive Proxy Statement”) and will mail the Definitive Proxy Statement and other relevant materials to its shareholders after the Registration/Proxy Statement is declared effective. The Registration/Proxy Statement will contain important information about the proposed Business Combination and the other matters to be voted upon at a meeting of </w:t>
      </w:r>
      <w:r>
        <w:rPr>
          <w:rFonts w:ascii="Arial" w:cs="Arial" w:eastAsia="Arial" w:hAnsi="Arial"/>
          <w:sz w:val="16"/>
          <w:szCs w:val="16"/>
          <w:i w:val="1"/>
          <w:iCs w:val="1"/>
          <w:color w:val="auto"/>
        </w:rPr>
        <w:t>L</w:t>
      </w:r>
      <w:r>
        <w:rPr>
          <w:rFonts w:ascii="Arial" w:cs="Arial" w:eastAsia="Arial" w:hAnsi="Arial"/>
          <w:sz w:val="16"/>
          <w:szCs w:val="16"/>
          <w:color w:val="auto"/>
        </w:rPr>
        <w:t>CAA shareholders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w:t>
      </w:r>
      <w:r>
        <w:rPr>
          <w:rFonts w:ascii="Arial" w:cs="Arial" w:eastAsia="Arial" w:hAnsi="Arial"/>
          <w:sz w:val="16"/>
          <w:szCs w:val="16"/>
          <w:b w:val="1"/>
          <w:bCs w:val="1"/>
          <w:color w:val="auto"/>
        </w:rPr>
        <w:t>.</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Before making any voting or other investment decisions, securityholders of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and other 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w:t>
      </w: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 xml:space="preserve">CAA, Lotus Tech and the Business Combination. </w:t>
      </w:r>
      <w:r>
        <w:rPr>
          <w:rFonts w:ascii="Arial" w:cs="Arial" w:eastAsia="Arial" w:hAnsi="Arial"/>
          <w:sz w:val="18"/>
          <w:szCs w:val="18"/>
          <w:color w:val="auto"/>
        </w:rPr>
        <w:t>When available, the Definitive Proxy Statement and other relevant materials for the proposed Business Combination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mailed to shareholders of </w:t>
      </w:r>
      <w:r>
        <w:rPr>
          <w:rFonts w:ascii="Arial" w:cs="Arial" w:eastAsia="Arial" w:hAnsi="Arial"/>
          <w:sz w:val="18"/>
          <w:szCs w:val="18"/>
          <w:i w:val="1"/>
          <w:iCs w:val="1"/>
          <w:color w:val="auto"/>
        </w:rPr>
        <w:t>L</w:t>
      </w:r>
      <w:r>
        <w:rPr>
          <w:rFonts w:ascii="Arial" w:cs="Arial" w:eastAsia="Arial" w:hAnsi="Arial"/>
          <w:sz w:val="18"/>
          <w:szCs w:val="18"/>
          <w:color w:val="auto"/>
        </w:rPr>
        <w:t xml:space="preserve">CAA as of a record date to be established for voting on the proposed Business Combination. Shareholders will also be able to obtain copies of the Registration/Proxy Statement, the Definitive Proxy Statement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directing a request to: </w:t>
      </w:r>
      <w:r>
        <w:rPr>
          <w:rFonts w:ascii="Arial" w:cs="Arial" w:eastAsia="Arial" w:hAnsi="Arial"/>
          <w:sz w:val="18"/>
          <w:szCs w:val="18"/>
          <w:i w:val="1"/>
          <w:iCs w:val="1"/>
          <w:color w:val="auto"/>
        </w:rPr>
        <w:t>L</w:t>
      </w:r>
      <w:r>
        <w:rPr>
          <w:rFonts w:ascii="Arial" w:cs="Arial" w:eastAsia="Arial" w:hAnsi="Arial"/>
          <w:sz w:val="18"/>
          <w:szCs w:val="18"/>
          <w:color w:val="auto"/>
        </w:rPr>
        <w:t>CAA, 8 Marina View, Asia Square Tower 1, #41-03, Singapore 018960, attention: Katie Matarazzo.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w:t>
      </w:r>
      <w:r>
        <w:rPr>
          <w:rFonts w:ascii="Arial" w:cs="Arial" w:eastAsia="Arial" w:hAnsi="Arial"/>
          <w:sz w:val="16"/>
          <w:szCs w:val="16"/>
          <w:color w:val="auto"/>
        </w:rPr>
        <w:t>CAA and Lotus Tech, and certain of their directors and executive officers, may be deemed participants in the solicitation of proxies from</w:t>
      </w:r>
      <w:r>
        <w:rPr>
          <w:rFonts w:ascii="Arial" w:cs="Arial" w:eastAsia="Arial" w:hAnsi="Arial"/>
          <w:sz w:val="16"/>
          <w:szCs w:val="16"/>
          <w:i w:val="1"/>
          <w:iCs w:val="1"/>
          <w:color w:val="auto"/>
        </w:rPr>
        <w:t xml:space="preserve"> L</w:t>
      </w:r>
      <w:r>
        <w:rPr>
          <w:rFonts w:ascii="Arial" w:cs="Arial" w:eastAsia="Arial" w:hAnsi="Arial"/>
          <w:sz w:val="16"/>
          <w:szCs w:val="16"/>
          <w:color w:val="auto"/>
        </w:rPr>
        <w:t>CAA’s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with respect to the proposed Business Combination. A list of the names of those directors and executive officers and a description of their interests in </w:t>
      </w:r>
      <w:r>
        <w:rPr>
          <w:rFonts w:ascii="Arial" w:cs="Arial" w:eastAsia="Arial" w:hAnsi="Arial"/>
          <w:sz w:val="16"/>
          <w:szCs w:val="16"/>
          <w:i w:val="1"/>
          <w:iCs w:val="1"/>
          <w:color w:val="auto"/>
        </w:rPr>
        <w:t>L</w:t>
      </w:r>
      <w:r>
        <w:rPr>
          <w:rFonts w:ascii="Arial" w:cs="Arial" w:eastAsia="Arial" w:hAnsi="Arial"/>
          <w:sz w:val="16"/>
          <w:szCs w:val="16"/>
          <w:color w:val="auto"/>
        </w:rPr>
        <w:t xml:space="preserve">CAA is set forth in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filings with the SEC (including </w:t>
      </w:r>
      <w:r>
        <w:rPr>
          <w:rFonts w:ascii="Arial" w:cs="Arial" w:eastAsia="Arial" w:hAnsi="Arial"/>
          <w:sz w:val="16"/>
          <w:szCs w:val="16"/>
          <w:i w:val="1"/>
          <w:iCs w:val="1"/>
          <w:color w:val="auto"/>
        </w:rPr>
        <w:t>L</w:t>
      </w:r>
      <w:r>
        <w:rPr>
          <w:rFonts w:ascii="Arial" w:cs="Arial" w:eastAsia="Arial" w:hAnsi="Arial"/>
          <w:sz w:val="16"/>
          <w:szCs w:val="16"/>
          <w:color w:val="auto"/>
        </w:rPr>
        <w:t xml:space="preserve">CAA’s final prospectus related to its initial public offering (File No. 333-253334) declared effective by the SEC on March 10, 2021), and are available free of charge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directing a request to </w:t>
      </w:r>
      <w:r>
        <w:rPr>
          <w:rFonts w:ascii="Arial" w:cs="Arial" w:eastAsia="Arial" w:hAnsi="Arial"/>
          <w:sz w:val="16"/>
          <w:szCs w:val="16"/>
          <w:i w:val="1"/>
          <w:iCs w:val="1"/>
          <w:color w:val="auto"/>
        </w:rPr>
        <w:t>L</w:t>
      </w:r>
      <w:r>
        <w:rPr>
          <w:rFonts w:ascii="Arial" w:cs="Arial" w:eastAsia="Arial" w:hAnsi="Arial"/>
          <w:sz w:val="16"/>
          <w:szCs w:val="16"/>
          <w:color w:val="auto"/>
        </w:rPr>
        <w:t>CAA, 8 Marina View, Asia Square Tower 1, #41-03, Singapore 018960, attention: Katie Matarazzo. Additional information regarding the interests of such participants and other persons who may, under the rules of the SEC, be deemed participants in the solicitation of the shareholders in connection with the proposed Business Combination will be contained in the Registration/Proxy Statement for the proposed Business Combination when available.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This Press Release is not a proxy statement or solicitation of a proxy, consent or authorization with respect to any securities or in respect of the potential transaction and shall not constitute an offer to sell or a solicitation of an offer to buy the securities of </w:t>
      </w:r>
      <w:r>
        <w:rPr>
          <w:rFonts w:ascii="Arial" w:cs="Arial" w:eastAsia="Arial" w:hAnsi="Arial"/>
          <w:sz w:val="18"/>
          <w:szCs w:val="18"/>
          <w:i w:val="1"/>
          <w:iCs w:val="1"/>
          <w:color w:val="auto"/>
        </w:rPr>
        <w:t>L</w:t>
      </w:r>
      <w:r>
        <w:rPr>
          <w:rFonts w:ascii="Arial" w:cs="Arial" w:eastAsia="Arial" w:hAnsi="Arial"/>
          <w:sz w:val="18"/>
          <w:szCs w:val="18"/>
          <w:color w:val="auto"/>
        </w:rPr>
        <w:t>CAA or Lotus Tech,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2023-09-08T05:15:28Z</dcterms:created>
  <dcterms:modified xsi:type="dcterms:W3CDTF">2023-09-08T05:15:28Z</dcterms:modified>
</cp:coreProperties>
</file>