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377190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445770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20-F</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80" w:lineRule="exact"/>
        <w:rPr>
          <w:sz w:val="24"/>
          <w:szCs w:val="24"/>
          <w:color w:val="auto"/>
        </w:rPr>
      </w:pPr>
    </w:p>
    <w:p>
      <w:pPr>
        <w:jc w:val="center"/>
        <w:ind w:left="4840" w:right="600" w:hanging="4832"/>
        <w:spacing w:after="0" w:line="347" w:lineRule="auto"/>
        <w:tabs>
          <w:tab w:leader="none" w:pos="33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REGISTRATION STATEMENT PURSUANT TO SECTION 12(b) OR 12(g) OF THE SECURITIES EXCHANGE ACT OF 1934 OR</w:t>
      </w:r>
    </w:p>
    <w:p>
      <w:pPr>
        <w:spacing w:after="0" w:line="35" w:lineRule="exact"/>
        <w:rPr>
          <w:sz w:val="24"/>
          <w:szCs w:val="24"/>
          <w:color w:val="auto"/>
        </w:rPr>
      </w:pPr>
    </w:p>
    <w:p>
      <w:pPr>
        <w:ind w:left="340" w:right="1640" w:hanging="332"/>
        <w:spacing w:after="0" w:line="283" w:lineRule="auto"/>
        <w:tabs>
          <w:tab w:leader="none" w:pos="3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 (d) OF THE SECURITIES EXCHANGE ACT OF 1934 For the fiscal year ended December 31, 2023</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 (d) OF THE SECURITIES EXCHANGE ACT OF 1934</w:t>
      </w:r>
    </w:p>
    <w:p>
      <w:pPr>
        <w:spacing w:after="0" w:line="25" w:lineRule="exact"/>
        <w:rPr>
          <w:sz w:val="24"/>
          <w:szCs w:val="24"/>
          <w:color w:val="auto"/>
        </w:rPr>
      </w:pPr>
    </w:p>
    <w:p>
      <w:pPr>
        <w:ind w:left="340"/>
        <w:spacing w:after="0"/>
        <w:tabs>
          <w:tab w:leader="none" w:pos="30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1565910</wp:posOffset>
            </wp:positionH>
            <wp:positionV relativeFrom="paragraph">
              <wp:posOffset>-15875</wp:posOffset>
            </wp:positionV>
            <wp:extent cx="360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0" w:lineRule="exact"/>
        <w:rPr>
          <w:sz w:val="24"/>
          <w:szCs w:val="24"/>
          <w:color w:val="auto"/>
        </w:rPr>
      </w:pPr>
    </w:p>
    <w:p>
      <w:pPr>
        <w:ind w:left="340" w:right="960" w:hanging="332"/>
        <w:spacing w:after="0" w:line="283" w:lineRule="auto"/>
        <w:tabs>
          <w:tab w:leader="none" w:pos="340" w:val="left"/>
        </w:tabs>
        <w:numPr>
          <w:ilvl w:val="0"/>
          <w:numId w:val="4"/>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SHELL COMPANY REPORT PURSUANT TO SECTION 13 OR 15(d) OF THE SECURITIES EXCHANGE ACT OF 1934 Date of event requiring this shell company report</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001-41970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Lotus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67310</wp:posOffset>
            </wp:positionV>
            <wp:extent cx="3154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69215</wp:posOffset>
            </wp:positionV>
            <wp:extent cx="31546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69215</wp:posOffset>
            </wp:positionV>
            <wp:extent cx="3154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 800 Century Avenue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Pudong District, Shanghai, 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69215</wp:posOffset>
            </wp:positionV>
            <wp:extent cx="3154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Alexious Kuen Long Lee, Chief Financial Officer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Telephone: +86 21 5466-6258</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Email: alexious.lee@lotuscars.com.cn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 800 Century Avenue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Pudong District, Shanghai, 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60325</wp:posOffset>
            </wp:positionV>
            <wp:extent cx="31546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54680" cy="17145"/>
                    </a:xfrm>
                    <a:prstGeom prst="rect">
                      <a:avLst/>
                    </a:prstGeom>
                    <a:noFill/>
                  </pic:spPr>
                </pic:pic>
              </a:graphicData>
            </a:graphic>
          </wp:anchor>
        </w:drawing>
      </w:r>
    </w:p>
    <w:p>
      <w:pPr>
        <w:spacing w:after="0" w:line="170"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 (b) of the Act:</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38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4"/>
              </w:rPr>
              <w:t>Title of Each Class</w:t>
            </w:r>
          </w:p>
        </w:tc>
        <w:tc>
          <w:tcPr>
            <w:tcW w:w="24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6"/>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Name of Each Exchange on Which Registered</w:t>
            </w:r>
          </w:p>
        </w:tc>
      </w:tr>
      <w:tr>
        <w:trPr>
          <w:trHeight w:val="126"/>
        </w:trPr>
        <w:tc>
          <w:tcPr>
            <w:tcW w:w="35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American depositary shares (each representing one ordinary share, par</w:t>
            </w:r>
          </w:p>
        </w:tc>
        <w:tc>
          <w:tcPr>
            <w:tcW w:w="300" w:type="dxa"/>
            <w:vAlign w:val="bottom"/>
          </w:tcPr>
          <w:p>
            <w:pPr>
              <w:spacing w:after="0"/>
              <w:rPr>
                <w:sz w:val="10"/>
                <w:szCs w:val="10"/>
                <w:color w:val="auto"/>
              </w:rPr>
            </w:pPr>
          </w:p>
        </w:tc>
        <w:tc>
          <w:tcPr>
            <w:tcW w:w="216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rPr>
              <w:t>LOT</w:t>
            </w:r>
          </w:p>
        </w:tc>
        <w:tc>
          <w:tcPr>
            <w:tcW w:w="280" w:type="dxa"/>
            <w:vAlign w:val="bottom"/>
          </w:tcPr>
          <w:p>
            <w:pPr>
              <w:spacing w:after="0"/>
              <w:rPr>
                <w:sz w:val="10"/>
                <w:szCs w:val="10"/>
                <w:color w:val="auto"/>
              </w:rPr>
            </w:pPr>
          </w:p>
        </w:tc>
        <w:tc>
          <w:tcPr>
            <w:tcW w:w="360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48"/>
        </w:trPr>
        <w:tc>
          <w:tcPr>
            <w:tcW w:w="38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6"/>
              </w:rPr>
              <w:t>value US$0.00001 per share)</w:t>
            </w:r>
          </w:p>
        </w:tc>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0" w:type="dxa"/>
            <w:vAlign w:val="bottom"/>
          </w:tcPr>
          <w:p>
            <w:pPr>
              <w:spacing w:after="0"/>
              <w:rPr>
                <w:sz w:val="12"/>
                <w:szCs w:val="12"/>
                <w:color w:val="auto"/>
              </w:rPr>
            </w:pPr>
          </w:p>
        </w:tc>
      </w:tr>
      <w:tr>
        <w:trPr>
          <w:trHeight w:val="178"/>
        </w:trPr>
        <w:tc>
          <w:tcPr>
            <w:tcW w:w="38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6"/>
              </w:rPr>
              <w:t>Warrants</w:t>
            </w:r>
          </w:p>
        </w:tc>
        <w:tc>
          <w:tcPr>
            <w:tcW w:w="24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rPr>
              <w:t>LOTWW</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bl>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 (g) of the Act: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60325</wp:posOffset>
            </wp:positionV>
            <wp:extent cx="31546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54680" cy="17145"/>
                    </a:xfrm>
                    <a:prstGeom prst="rect">
                      <a:avLst/>
                    </a:prstGeom>
                    <a:noFill/>
                  </pic:spPr>
                </pic:pic>
              </a:graphicData>
            </a:graphic>
          </wp:anchor>
        </w:drawing>
      </w:r>
    </w:p>
    <w:p>
      <w:pPr>
        <w:spacing w:after="0" w:line="15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6"/>
          <w:szCs w:val="16"/>
          <w:color w:val="auto"/>
        </w:rPr>
        <w:t>(Title of Class)</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for which there is a reporting obligation pursuant to Section 15 (d) of the Act:</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60325</wp:posOffset>
            </wp:positionV>
            <wp:extent cx="31546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54680" cy="1714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 2,450,974,851 ordinary shares, par value US$0.00001 per share, as of December 31, 2023.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6" w:lineRule="exact"/>
        <w:rPr>
          <w:sz w:val="20"/>
          <w:szCs w:val="20"/>
          <w:color w:val="auto"/>
        </w:rPr>
      </w:pPr>
    </w:p>
    <w:p>
      <w:pPr>
        <w:ind w:left="8940"/>
        <w:spacing w:after="0" w:line="184" w:lineRule="exact"/>
        <w:tabs>
          <w:tab w:leader="none" w:pos="952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No</w:t>
      </w:r>
    </w:p>
    <w:p>
      <w:pPr>
        <w:spacing w:after="0" w:line="1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ind w:left="8940"/>
        <w:spacing w:after="0" w:line="184" w:lineRule="exact"/>
        <w:tabs>
          <w:tab w:leader="none" w:pos="952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No</w:t>
      </w:r>
    </w:p>
    <w:p>
      <w:pPr>
        <w:spacing w:after="0" w:line="12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Note—Checking the box above will not relieve any registrant required to file reports pursuant to Section 13 or 15(d) of the Securities Exchange Act of 1934 from their obligations under those Sections.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ind w:left="8940"/>
        <w:spacing w:after="0" w:line="184" w:lineRule="exact"/>
        <w:tabs>
          <w:tab w:leader="none" w:pos="952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No</w:t>
      </w:r>
    </w:p>
    <w:p>
      <w:pPr>
        <w:spacing w:after="0" w:line="13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68" w:lineRule="exact"/>
        <w:rPr>
          <w:sz w:val="20"/>
          <w:szCs w:val="20"/>
          <w:color w:val="auto"/>
        </w:rPr>
      </w:pPr>
    </w:p>
    <w:p>
      <w:pPr>
        <w:ind w:left="8940"/>
        <w:spacing w:after="0" w:line="184" w:lineRule="exact"/>
        <w:tabs>
          <w:tab w:leader="none" w:pos="952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No</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and “emerging growth company” in Rule 12b-2 of the Exchange Act.</w:t>
      </w:r>
    </w:p>
    <w:p>
      <w:pPr>
        <w:sectPr>
          <w:pgSz w:w="11900" w:h="16838" w:orient="portrait"/>
          <w:cols w:equalWidth="0" w:num="1">
            <w:col w:w="9920"/>
          </w:cols>
          <w:pgMar w:left="980" w:top="513" w:right="999" w:bottom="1440" w:gutter="0" w:footer="0" w:header="0"/>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3" w:lineRule="exact"/>
        <w:rPr>
          <w:sz w:val="20"/>
          <w:szCs w:val="20"/>
          <w:color w:val="auto"/>
        </w:rPr>
      </w:pPr>
    </w:p>
    <w:p>
      <w:pPr>
        <w:sectPr>
          <w:pgSz w:w="11900" w:h="16838" w:orient="portrait"/>
          <w:cols w:equalWidth="0" w:num="6">
            <w:col w:w="1180" w:space="620"/>
            <w:col w:w="1460" w:space="720"/>
            <w:col w:w="1080" w:space="720"/>
            <w:col w:w="1440" w:space="720"/>
            <w:col w:w="1140" w:space="660"/>
            <w:col w:w="180"/>
          </w:cols>
          <w:pgMar w:left="980" w:top="513" w:right="999" w:bottom="1440" w:gutter="0" w:footer="0" w:header="0"/>
          <w:type w:val="continuous"/>
        </w:sectPr>
      </w:pPr>
    </w:p>
    <w:p>
      <w:pPr>
        <w:spacing w:after="0" w:line="2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69" w:lineRule="exact"/>
        <w:rPr>
          <w:sz w:val="20"/>
          <w:szCs w:val="20"/>
          <w:color w:val="auto"/>
        </w:rPr>
      </w:pPr>
    </w:p>
    <w:p>
      <w:pPr>
        <w:sectPr>
          <w:pgSz w:w="11900" w:h="16838" w:orient="portrait"/>
          <w:cols w:equalWidth="0" w:num="2">
            <w:col w:w="9380" w:space="360"/>
            <w:col w:w="180"/>
          </w:cols>
          <w:pgMar w:left="980" w:top="513" w:right="999" w:bottom="1440" w:gutter="0" w:footer="0" w:header="0"/>
          <w:type w:val="continuous"/>
        </w:sect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1568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24" w:lineRule="exact"/>
        <w:rPr>
          <w:sz w:val="20"/>
          <w:szCs w:val="20"/>
          <w:color w:val="auto"/>
        </w:rPr>
      </w:pPr>
    </w:p>
    <w:p>
      <w:pPr>
        <w:ind w:left="340" w:hanging="8"/>
        <w:spacing w:after="0" w:line="280" w:lineRule="auto"/>
        <w:tabs>
          <w:tab w:leader="none" w:pos="45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43"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9"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8" w:lineRule="exact"/>
        <w:rPr>
          <w:sz w:val="20"/>
          <w:szCs w:val="20"/>
          <w:color w:val="auto"/>
        </w:rPr>
      </w:pPr>
    </w:p>
    <w:p>
      <w:pPr>
        <w:jc w:val="both"/>
        <w:spacing w:after="0" w:line="212" w:lineRule="exact"/>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w:cs="Arial" w:eastAsia="Arial" w:hAnsi="Arial"/>
          <w:sz w:val="16"/>
          <w:szCs w:val="16"/>
          <w:color w:val="auto"/>
        </w:rPr>
        <w:t>ﬃ</w:t>
      </w:r>
      <w:r>
        <w:rPr>
          <w:rFonts w:ascii="Times New Roman" w:cs="Times New Roman" w:eastAsia="Times New Roman" w:hAnsi="Times New Roman"/>
          <w:sz w:val="16"/>
          <w:szCs w:val="16"/>
          <w:color w:val="auto"/>
        </w:rPr>
        <w:t xml:space="preserve">cers during the relevant recovery period pursuant to §240.10D-1(b). </w:t>
      </w:r>
      <w:r>
        <w:rPr>
          <w:rFonts w:ascii="MS PGothic" w:cs="MS PGothic" w:eastAsia="MS PGothic" w:hAnsi="MS PGothic"/>
          <w:sz w:val="16"/>
          <w:szCs w:val="16"/>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9920"/>
          </w:cols>
          <w:pgMar w:left="980" w:top="513" w:right="999" w:bottom="1440" w:gutter="0" w:footer="0" w:header="0"/>
          <w:type w:val="continuous"/>
        </w:sectPr>
      </w:pPr>
    </w:p>
    <w:p>
      <w:pPr>
        <w:spacing w:after="0" w:line="80" w:lineRule="exact"/>
        <w:rPr>
          <w:sz w:val="20"/>
          <w:szCs w:val="20"/>
          <w:color w:val="auto"/>
        </w:rPr>
      </w:pPr>
    </w:p>
    <w:p>
      <w:pPr>
        <w:ind w:left="640"/>
        <w:spacing w:after="0" w:line="138" w:lineRule="exact"/>
        <w:rPr>
          <w:sz w:val="20"/>
          <w:szCs w:val="20"/>
          <w:color w:val="auto"/>
        </w:rPr>
      </w:pPr>
      <w:r>
        <w:rPr>
          <w:rFonts w:ascii="Times New Roman" w:cs="Times New Roman" w:eastAsia="Times New Roman" w:hAnsi="Times New Roman"/>
          <w:sz w:val="12"/>
          <w:szCs w:val="12"/>
          <w:color w:val="auto"/>
        </w:rPr>
        <w:t xml:space="preserve">U.S. GAAP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3"/>
          <w:szCs w:val="13"/>
          <w:color w:val="auto"/>
        </w:rPr>
        <w:t>International Financial Reporting Standards</w:t>
      </w:r>
    </w:p>
    <w:p>
      <w:pPr>
        <w:spacing w:after="0" w:line="13" w:lineRule="exact"/>
        <w:rPr>
          <w:sz w:val="20"/>
          <w:szCs w:val="20"/>
          <w:color w:val="auto"/>
        </w:rPr>
      </w:pPr>
    </w:p>
    <w:p>
      <w:pPr>
        <w:jc w:val="center"/>
        <w:ind w:right="1480"/>
        <w:spacing w:after="0" w:line="138" w:lineRule="exact"/>
        <w:rPr>
          <w:sz w:val="20"/>
          <w:szCs w:val="20"/>
          <w:color w:val="auto"/>
        </w:rPr>
      </w:pPr>
      <w:r>
        <w:rPr>
          <w:rFonts w:ascii="Times New Roman" w:cs="Times New Roman" w:eastAsia="Times New Roman" w:hAnsi="Times New Roman"/>
          <w:sz w:val="12"/>
          <w:szCs w:val="12"/>
          <w:color w:val="auto"/>
        </w:rPr>
        <w:t xml:space="preserve">as issued by the International Accounting Standards Board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Other </w:t>
      </w:r>
      <w:r>
        <w:rPr>
          <w:rFonts w:ascii="MS PGothic" w:cs="MS PGothic" w:eastAsia="MS PGothic" w:hAnsi="MS PGothic"/>
          <w:sz w:val="10"/>
          <w:szCs w:val="10"/>
          <w:color w:val="auto"/>
        </w:rPr>
        <w:t>☐</w:t>
      </w:r>
    </w:p>
    <w:p>
      <w:pPr>
        <w:spacing w:after="0" w:line="309" w:lineRule="exact"/>
        <w:rPr>
          <w:sz w:val="20"/>
          <w:szCs w:val="20"/>
          <w:color w:val="auto"/>
        </w:rPr>
      </w:pPr>
    </w:p>
    <w:p>
      <w:pPr>
        <w:sectPr>
          <w:pgSz w:w="11900" w:h="16838" w:orient="portrait"/>
          <w:cols w:equalWidth="0" w:num="3">
            <w:col w:w="2700" w:space="720"/>
            <w:col w:w="4580" w:space="720"/>
            <w:col w:w="1200"/>
          </w:cols>
          <w:pgMar w:left="980" w:top="513" w:right="999" w:bottom="1440" w:gutter="0" w:footer="0" w:header="0"/>
          <w:type w:val="continuous"/>
        </w:sectPr>
      </w:pPr>
    </w:p>
    <w:p>
      <w:pPr>
        <w:spacing w:after="0" w:line="260" w:lineRule="auto"/>
        <w:rPr>
          <w:sz w:val="20"/>
          <w:szCs w:val="20"/>
          <w:color w:val="auto"/>
        </w:rPr>
      </w:pPr>
      <w:r>
        <w:rPr>
          <w:rFonts w:ascii="Times New Roman" w:cs="Times New Roman" w:eastAsia="Times New Roman" w:hAnsi="Times New Roman"/>
          <w:sz w:val="16"/>
          <w:szCs w:val="16"/>
          <w:color w:val="auto"/>
        </w:rPr>
        <w:t>If “Other” has been checked in response to the previous question, indicate by check mark which financial statement item the registrant has elected to follow.</w:t>
      </w:r>
    </w:p>
    <w:p>
      <w:pPr>
        <w:spacing w:after="0" w:line="1" w:lineRule="exact"/>
        <w:rPr>
          <w:sz w:val="20"/>
          <w:szCs w:val="20"/>
          <w:color w:val="auto"/>
        </w:rPr>
      </w:pPr>
    </w:p>
    <w:p>
      <w:pPr>
        <w:ind w:left="8340"/>
        <w:spacing w:after="0" w:line="184" w:lineRule="exact"/>
        <w:tabs>
          <w:tab w:leader="none" w:pos="922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17</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Item 18</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37" w:lineRule="exact"/>
        <w:rPr>
          <w:sz w:val="20"/>
          <w:szCs w:val="20"/>
          <w:color w:val="auto"/>
        </w:rPr>
      </w:pPr>
    </w:p>
    <w:p>
      <w:pPr>
        <w:ind w:left="8860"/>
        <w:spacing w:after="0" w:line="184" w:lineRule="exact"/>
        <w:tabs>
          <w:tab w:leader="none" w:pos="94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1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(APPLICABLE ONLY TO ISSUERS INVOLVED IN BANKRUPTCY PROCEEDINGS DURING THE PAST FIVE YEARS)</w:t>
      </w:r>
    </w:p>
    <w:p>
      <w:pPr>
        <w:spacing w:after="0" w:line="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ind w:left="8860"/>
        <w:spacing w:after="0" w:line="184" w:lineRule="exact"/>
        <w:tabs>
          <w:tab w:leader="none" w:pos="94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692785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109855</wp:posOffset>
            </wp:positionV>
            <wp:extent cx="6292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153035</wp:posOffset>
            </wp:positionV>
            <wp:extent cx="629221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20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720" w:type="dxa"/>
            <w:vAlign w:val="bottom"/>
          </w:tcPr>
          <w:p>
            <w:pPr>
              <w:spacing w:after="0"/>
              <w:rPr>
                <w:sz w:val="17"/>
                <w:szCs w:val="17"/>
                <w:color w:val="auto"/>
              </w:rPr>
            </w:pPr>
          </w:p>
        </w:tc>
      </w:tr>
      <w:tr>
        <w:trPr>
          <w:trHeight w:val="777"/>
        </w:trPr>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40" w:type="dxa"/>
            <w:vAlign w:val="bottom"/>
            <w:gridSpan w:val="15"/>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20" w:type="dxa"/>
            <w:vAlign w:val="bottom"/>
          </w:tcPr>
          <w:p>
            <w:pPr>
              <w:spacing w:after="0"/>
              <w:rPr>
                <w:sz w:val="24"/>
                <w:szCs w:val="24"/>
                <w:color w:val="auto"/>
              </w:rPr>
            </w:pPr>
          </w:p>
        </w:tc>
      </w:tr>
      <w:tr>
        <w:trPr>
          <w:trHeight w:val="405"/>
        </w:trPr>
        <w:tc>
          <w:tcPr>
            <w:tcW w:w="820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INTRODUCTION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820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FORWARD-LOOKING INFORMATION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6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PART I</w:t>
            </w: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Identity of Directors, Senior Management and Advisers</w:t>
            </w:r>
          </w:p>
        </w:tc>
        <w:tc>
          <w:tcPr>
            <w:tcW w:w="3020" w:type="dxa"/>
            <w:vAlign w:val="bottom"/>
            <w:gridSpan w:val="6"/>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Offer Statistics and Expected Timetable</w:t>
            </w:r>
          </w:p>
        </w:tc>
        <w:tc>
          <w:tcPr>
            <w:tcW w:w="4160" w:type="dxa"/>
            <w:vAlign w:val="bottom"/>
            <w:gridSpan w:val="13"/>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Key Information</w:t>
            </w:r>
          </w:p>
        </w:tc>
        <w:tc>
          <w:tcPr>
            <w:tcW w:w="5820" w:type="dxa"/>
            <w:vAlign w:val="bottom"/>
            <w:gridSpan w:val="25"/>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Information on the Company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300" w:type="dxa"/>
            <w:vAlign w:val="bottom"/>
            <w:tcBorders>
              <w:bottom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0000EE"/>
                <w:w w:val="97"/>
              </w:rPr>
              <w:t>4A.</w:t>
            </w:r>
          </w:p>
        </w:tc>
        <w:tc>
          <w:tcPr>
            <w:tcW w:w="16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4940" w:type="dxa"/>
            <w:vAlign w:val="bottom"/>
            <w:gridSpan w:val="16"/>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9"/>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3640" w:type="dxa"/>
            <w:vAlign w:val="bottom"/>
            <w:gridSpan w:val="10"/>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0"/>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Directors, Senior Management and Employees</w:t>
            </w:r>
          </w:p>
        </w:tc>
        <w:tc>
          <w:tcPr>
            <w:tcW w:w="3660" w:type="dxa"/>
            <w:vAlign w:val="bottom"/>
            <w:gridSpan w:val="11"/>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9"/>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Major Shareholders and Related Party Transactions</w:t>
            </w:r>
          </w:p>
        </w:tc>
        <w:tc>
          <w:tcPr>
            <w:tcW w:w="3320" w:type="dxa"/>
            <w:vAlign w:val="bottom"/>
            <w:gridSpan w:val="8"/>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0"/>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5440" w:type="dxa"/>
            <w:vAlign w:val="bottom"/>
            <w:gridSpan w:val="22"/>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9"/>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The Offer and Listing</w:t>
            </w:r>
          </w:p>
        </w:tc>
        <w:tc>
          <w:tcPr>
            <w:tcW w:w="5460" w:type="dxa"/>
            <w:vAlign w:val="bottom"/>
            <w:gridSpan w:val="23"/>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9"/>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Additional Information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26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720" w:type="dxa"/>
            <w:vAlign w:val="bottom"/>
            <w:gridSpan w:val="5"/>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09"/>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II</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26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Defaults, Dividend Arrearages and Delinquencies</w:t>
            </w:r>
          </w:p>
        </w:tc>
        <w:tc>
          <w:tcPr>
            <w:tcW w:w="3440" w:type="dxa"/>
            <w:vAlign w:val="bottom"/>
            <w:gridSpan w:val="9"/>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09"/>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26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2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9"/>
              </w:rPr>
              <w:t>Material Modifications to the Rights of Security Holders and Use of Proceeds</w:t>
            </w:r>
          </w:p>
        </w:tc>
        <w:tc>
          <w:tcPr>
            <w:tcW w:w="14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0"/>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26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5260" w:type="dxa"/>
            <w:vAlign w:val="bottom"/>
            <w:gridSpan w:val="18"/>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09"/>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4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EE"/>
              </w:rPr>
              <w:t>16A.</w:t>
            </w:r>
          </w:p>
        </w:tc>
        <w:tc>
          <w:tcPr>
            <w:tcW w:w="706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EE"/>
              </w:rPr>
              <w:t>Audit Committee Financial Expert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0"/>
        </w:trPr>
        <w:tc>
          <w:tcPr>
            <w:tcW w:w="340" w:type="dxa"/>
            <w:vAlign w:val="bottom"/>
          </w:tcPr>
          <w:p>
            <w:pPr>
              <w:spacing w:after="0"/>
              <w:rPr>
                <w:sz w:val="18"/>
                <w:szCs w:val="18"/>
                <w:color w:val="auto"/>
              </w:rPr>
            </w:pPr>
          </w:p>
        </w:tc>
        <w:tc>
          <w:tcPr>
            <w:tcW w:w="3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380" w:type="dxa"/>
            <w:vAlign w:val="bottom"/>
            <w:tcBorders>
              <w:top w:val="single" w:sz="8" w:color="0000EE"/>
              <w:bottom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EE"/>
                <w:w w:val="92"/>
              </w:rPr>
              <w:t>16B.</w:t>
            </w:r>
          </w:p>
        </w:tc>
        <w:tc>
          <w:tcPr>
            <w:tcW w:w="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Code of Ethics</w:t>
            </w:r>
          </w:p>
        </w:tc>
        <w:tc>
          <w:tcPr>
            <w:tcW w:w="1420" w:type="dxa"/>
            <w:vAlign w:val="bottom"/>
            <w:tcBorders>
              <w:top w:val="single" w:sz="8" w:color="0000EE"/>
            </w:tcBorders>
            <w:gridSpan w:val="11"/>
          </w:tcPr>
          <w:p>
            <w:pPr>
              <w:spacing w:after="0"/>
              <w:rPr>
                <w:sz w:val="18"/>
                <w:szCs w:val="18"/>
                <w:color w:val="auto"/>
              </w:rPr>
            </w:pPr>
          </w:p>
        </w:tc>
        <w:tc>
          <w:tcPr>
            <w:tcW w:w="4540" w:type="dxa"/>
            <w:vAlign w:val="bottom"/>
            <w:gridSpan w:val="15"/>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0"/>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3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EE"/>
                <w:w w:val="92"/>
              </w:rPr>
              <w:t>16C.</w:t>
            </w:r>
          </w:p>
        </w:tc>
        <w:tc>
          <w:tcPr>
            <w:tcW w:w="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4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EE"/>
              </w:rPr>
              <w:t>16D.</w:t>
            </w:r>
          </w:p>
        </w:tc>
        <w:tc>
          <w:tcPr>
            <w:tcW w:w="706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3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EE"/>
                <w:w w:val="95"/>
              </w:rPr>
              <w:t>16E.</w:t>
            </w:r>
          </w:p>
        </w:tc>
        <w:tc>
          <w:tcPr>
            <w:tcW w:w="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0"/>
        </w:trPr>
        <w:tc>
          <w:tcPr>
            <w:tcW w:w="340" w:type="dxa"/>
            <w:vAlign w:val="bottom"/>
          </w:tcPr>
          <w:p>
            <w:pPr>
              <w:spacing w:after="0"/>
              <w:rPr>
                <w:sz w:val="18"/>
                <w:szCs w:val="18"/>
                <w:color w:val="auto"/>
              </w:rPr>
            </w:pPr>
          </w:p>
        </w:tc>
        <w:tc>
          <w:tcPr>
            <w:tcW w:w="3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320" w:type="dxa"/>
            <w:vAlign w:val="bottom"/>
            <w:tcBorders>
              <w:top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0000EE"/>
                <w:w w:val="79"/>
              </w:rPr>
              <w:t>16F.</w:t>
            </w:r>
          </w:p>
        </w:tc>
        <w:tc>
          <w:tcPr>
            <w:tcW w:w="60" w:type="dxa"/>
            <w:vAlign w:val="bottom"/>
            <w:tcBorders>
              <w:top w:val="single" w:sz="8" w:color="0000EE"/>
            </w:tcBorders>
          </w:tcPr>
          <w:p>
            <w:pPr>
              <w:spacing w:after="0"/>
              <w:rPr>
                <w:sz w:val="18"/>
                <w:szCs w:val="18"/>
                <w:color w:val="auto"/>
              </w:rPr>
            </w:pPr>
          </w:p>
        </w:tc>
        <w:tc>
          <w:tcPr>
            <w:tcW w:w="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2000" w:type="dxa"/>
            <w:vAlign w:val="bottom"/>
            <w:gridSpan w:val="2"/>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4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16G.</w:t>
            </w: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Corporate Governance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gridSpan w:val="16"/>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4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16H.</w:t>
            </w: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Mine Safety Disclosure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gridSpan w:val="16"/>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w w:val="91"/>
              </w:rPr>
              <w:t>16I.</w:t>
            </w:r>
          </w:p>
        </w:tc>
        <w:tc>
          <w:tcPr>
            <w:tcW w:w="60" w:type="dxa"/>
            <w:vAlign w:val="bottom"/>
          </w:tcPr>
          <w:p>
            <w:pPr>
              <w:spacing w:after="0"/>
              <w:rPr>
                <w:sz w:val="18"/>
                <w:szCs w:val="18"/>
                <w:color w:val="auto"/>
              </w:rPr>
            </w:pPr>
          </w:p>
        </w:tc>
        <w:tc>
          <w:tcPr>
            <w:tcW w:w="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3160" w:type="dxa"/>
            <w:vAlign w:val="bottom"/>
            <w:gridSpan w:val="16"/>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4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EE"/>
              </w:rPr>
              <w:t>16J.</w:t>
            </w:r>
          </w:p>
        </w:tc>
        <w:tc>
          <w:tcPr>
            <w:tcW w:w="706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EE"/>
              </w:rPr>
              <w:t>Insider Trading Policies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5300" w:type="dxa"/>
            <w:vAlign w:val="bottom"/>
            <w:gridSpan w:val="19"/>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4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EE"/>
              </w:rPr>
              <w:t>16K.</w:t>
            </w:r>
          </w:p>
        </w:tc>
        <w:tc>
          <w:tcPr>
            <w:tcW w:w="706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EE"/>
              </w:rPr>
              <w:t>Cybersecurity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6"/>
              </w:rPr>
              <w:t>PART III</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520" w:type="dxa"/>
            <w:vAlign w:val="bottom"/>
            <w:gridSpan w:val="2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26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5520" w:type="dxa"/>
            <w:vAlign w:val="bottom"/>
            <w:gridSpan w:val="24"/>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0"/>
        </w:trPr>
        <w:tc>
          <w:tcPr>
            <w:tcW w:w="340" w:type="dxa"/>
            <w:vAlign w:val="bottom"/>
          </w:tcPr>
          <w:p>
            <w:pPr>
              <w:spacing w:after="0"/>
              <w:rPr>
                <w:sz w:val="18"/>
                <w:szCs w:val="18"/>
                <w:color w:val="auto"/>
              </w:rPr>
            </w:pPr>
          </w:p>
        </w:tc>
        <w:tc>
          <w:tcPr>
            <w:tcW w:w="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26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5520" w:type="dxa"/>
            <w:vAlign w:val="bottom"/>
            <w:gridSpan w:val="24"/>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0"/>
        </w:trPr>
        <w:tc>
          <w:tcPr>
            <w:tcW w:w="34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Exhibits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340" w:type="dxa"/>
            <w:vAlign w:val="bottom"/>
          </w:tcPr>
          <w:p>
            <w:pPr>
              <w:spacing w:after="0" w:line="20" w:lineRule="exact"/>
              <w:rPr>
                <w:sz w:val="1"/>
                <w:szCs w:val="1"/>
                <w:color w:val="auto"/>
              </w:rPr>
            </w:pPr>
          </w:p>
        </w:tc>
        <w:tc>
          <w:tcPr>
            <w:tcW w:w="600" w:type="dxa"/>
            <w:vAlign w:val="bottom"/>
            <w:tcBorders>
              <w:right w:val="single" w:sz="8" w:color="0000EE"/>
            </w:tcBorders>
            <w:gridSpan w:val="6"/>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11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SIGNATURES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838"/>
        </w:trPr>
        <w:tc>
          <w:tcPr>
            <w:tcW w:w="3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annual report, except where the context otherwise requires and for purposes of this annual report only:</w:t>
      </w:r>
    </w:p>
    <w:p>
      <w:pPr>
        <w:spacing w:after="0" w:line="212" w:lineRule="exact"/>
        <w:rPr>
          <w:sz w:val="20"/>
          <w:szCs w:val="20"/>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“ADAS” means advanced driver-assistance system;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that may evidence the ADSs;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one Ordinary Share;</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Articles” means the sixth amended and restated memorandum and articles of association of LTC, which was adopted and became effective immediately prior to the First Effective Time;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“BEV” means battery electric vehicle;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all transactions contemplated by the Merger Agreement, including the Mergers;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Act” means the Companies Act (As Revised) of the Cayman Islands;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means the People’s Republic of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means the closing of the Business Combination contemplated by the Merger Agreement;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means February 22, 2024, the day on which the Closing occurred;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“Continental” means Continental Stock Transfer &amp; Trust Company;</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Agreement” means the distribution agreement entered into by LTIL and Lotus Cars Limited on January 31, 2023 and concurrently with the execution of the Original Merger Agreement;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“D-segment” means passenger vehicles in the “large cars” category of the EU classification of vehicle types;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 means electrical performance architecture;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“Equiniti” means Equiniti Trust Company, LLC;</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“Etika” means Etika Automotive Sdn Bhd;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means the European Union;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“E-segment” means passenger vehicles in the “executive cars” category of the EU classification of vehicle types;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VIE” means Wuhan Lotus E-commerce Co., Ltd., the former variable interest entity of LTC prior to the Restructuring;</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Onshore Vehicle” means Ningbo Juhe Yinqing Enterprise Management Consulting Partnership (Limited Partnership), a limited partnership established and validly existing in accordance with PRC laws;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“GBP” and “British pounds” means the legal currency of the United Kingdom;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“Geely HK” means Geely International (Hong Kong) Limited, a private company incorporated under the laws of Hong Kong;</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“Geely Holding” means Zhejiang Geely Holding Group and its affiliates;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“ICE” means Internal Combustion Engine;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means LCAA’s initial public offering, which was consummated on March 15, 2021;</w:t>
      </w:r>
    </w:p>
    <w:p>
      <w:pPr>
        <w:spacing w:after="0" w:line="223" w:lineRule="exact"/>
        <w:rPr>
          <w:rFonts w:ascii="Times New Roman" w:cs="Times New Roman" w:eastAsia="Times New Roman" w:hAnsi="Times New Roman"/>
          <w:sz w:val="18"/>
          <w:szCs w:val="18"/>
          <w:color w:val="auto"/>
        </w:rPr>
      </w:pPr>
    </w:p>
    <w:p>
      <w:pPr>
        <w:jc w:val="both"/>
        <w:ind w:left="1000" w:right="20" w:hanging="317"/>
        <w:spacing w:after="0" w:line="259"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“LCAA” means </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xml:space="preserve"> Catterton Asia Acquisition Corp, a blank check company that was incorporated as a Cayman Islands exempted company for the purpose of effecting a merger, share exchange, asset acquisition, share purchase, reorganization or similar business combination with one or more businesses or entities;</w:t>
      </w:r>
    </w:p>
    <w:p>
      <w:pPr>
        <w:spacing w:after="0" w:line="19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“LCAA Articles” means LCAA’s second amended and restated memorandum and articles of association adopted by special resolution dated March 10, 2023, as may be amended from time to time;</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“LCAA Class A Ordinary Shares” or “LCAA Public Shares” means the Class A ordinary shares of LCAA, par value US$0.0001 per share;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“LCAA Class B Ordinary Shares” means the Class B ordinary shares, par value US$0.0001 per share, of LCAA;</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“LCAA Founder Shareholders” means collectively, the Sponsor, and LCAA’s independent directors (Mr. Sanford Martin Litvack, Mr. Frank N. Newman and Mr. Anish Melwani);</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“LCAA Private Warrants” means the warrants sold to the Sponsor in the private placement consummated concurrently with the IPO, each entitling its holder to purchase one LCAA Public Share at an exercise price of US$11.50 per share, subject to adjustment;</w:t>
      </w:r>
    </w:p>
    <w:p>
      <w:pPr>
        <w:spacing w:after="0" w:line="196"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“LCAA Public Shareholders” means the holders of LCAA Class A Ordinary Shares issued as part of the Units issued in the IPO;</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“LCAA Public Warrants” means the redeemable warrants issued in the IPO, each entitling its holder to purchase one LCAA Public Share at an exercise price of US$11.50 per share, subject to adjustment;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“LCAA Warrants” means the LCAA Public Warrants and the LCAA Private Warrants;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“Lotus” or “Lotus Group” means LTC and Lotus UK, taken as a whole;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“Lotus HK” means Lotus Advanced Technology Limited, a company organized and existing under the laws of Hong Kong;</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“LTC,” “we,” “us,” “our company,” and “our” mean Lotus Technology Inc. and its subsidiaries. Unless otherwise specified, in the context of describing our business and operations in China, we are referring to the business and operations conducted by our PRC subsidiaries, and, for the periods ended prior to the Restructuring (as defined below), also the former VIE and its subsidiaries. References to the share capital, securities (including shares, options, and warrants), shareholders, directors, board of directors, auditors of “Lotus Tech” are to the share capital, securities (including shares, options and warrants), shareholders, directors, board of directors, and auditors of LTC, respectively;</w:t>
      </w:r>
    </w:p>
    <w:p>
      <w:pPr>
        <w:spacing w:after="0" w:line="18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“Lotus Tech UK” means Lotus Tech Creative Centre Limited, a company incorporated in the United Kingdom;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“Lotus UK” means Lotus Group International Limited and its subsidiaries;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“LTC Shareholder Support Agreement” means the Shareholder Support Agreement entered into on January 31, 2023 among LCAA, LTC and certain of the shareholders of LTC;</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“LTIL” means Lotus Technology Innovative Limited, a wholly-owned subsidiary of LTC;</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means the First Amended and Restated Agreement and Plan of Merger, dated as of October 11, 2023, by and among LCAA, LTC, Lotus Temp Limited and Lotus EV Limited, which amended and restated the Original Merger Agreement;</w:t>
      </w:r>
    </w:p>
    <w:p>
      <w:pPr>
        <w:spacing w:after="0" w:line="19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“Meritz” means Meritz Securities Co., Ltd., a corporation incorporated under the laws of the Republic of Korea;</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“Meritz Investment” means the US$500 million investment by Meritz pursuant to the terms and conditions of the Meritz Subscription Agreement.</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“Meritz Subscription Agreement” means the share subscription agreement entered into by and between LTC and Meritz on November 15, 2023.</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“Momenta” means Momenta (Suzhou) Technology Limited Company and/or its subsidiaries or affiliates;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“MSRP” means manufacturer’s suggested retail price;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means The Nasdaq Stock Market LLC;</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means original equipment manufacturer;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means ordinary shares of LTC, par value US$0.00001 per share;</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Merger Agreement” means the Agreement and Plan of Merger, dated as of January 31, 2023, by and among LCAA, LTC, Lotus Temp Limited and Lotus EV Limited;</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Warrants” means the warrants to purchase Ordinary Shares at an exercise price of US$11.50 per share, which were issued on February 22, 2024 in exchange for the LCAA Public Warrants;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“Put Option Agreement” means each Put Option Agreement, dated as of January 31, 2023, entered by LTC with each of Geely and Etika, respectively;</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“Renminbi” or “RMB” means the legal currency of China;</w:t>
      </w:r>
    </w:p>
    <w:p>
      <w:pPr>
        <w:spacing w:after="0" w:line="225" w:lineRule="exact"/>
        <w:rPr>
          <w:rFonts w:ascii="Times New Roman" w:cs="Times New Roman" w:eastAsia="Times New Roman" w:hAnsi="Times New Roman"/>
          <w:sz w:val="18"/>
          <w:szCs w:val="18"/>
          <w:color w:val="auto"/>
        </w:rPr>
      </w:pPr>
    </w:p>
    <w:p>
      <w:pPr>
        <w:ind w:left="1000" w:right="20" w:hanging="317"/>
        <w:spacing w:after="0" w:line="312" w:lineRule="auto"/>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means a series of transactions that LTC implemented to restructure its organization and business operations in early 2023, through which the contractual arrangements that allowed us to consolidate our former VIE were terminated;</w:t>
      </w:r>
    </w:p>
    <w:p>
      <w:pPr>
        <w:spacing w:after="0" w:line="139" w:lineRule="exact"/>
        <w:rPr>
          <w:rFonts w:ascii="Times New Roman" w:cs="Times New Roman" w:eastAsia="Times New Roman" w:hAnsi="Times New Roman"/>
          <w:sz w:val="17"/>
          <w:szCs w:val="17"/>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means LCA Acquisition Sponsor, LP, a Cayman Islands limited partnership;</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Support Agreement” means the Sponsor Support Agreement, dated as of January 31, 2023, by and among LTC, LCAA, and the LCAA Founder Shareholders, as amended by the Amendment to Sponsor Support Agreement, dated as of November 13, 2023 and as further amended, supplemented or otherwise modified from time to time;</w:t>
      </w:r>
    </w:p>
    <w:p>
      <w:pPr>
        <w:spacing w:after="0" w:line="196"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Warrants” means the warrants to purchase Ordinary Shares at an exercise price of US$11.50 per share, which were issued to the Sponsor on February 22, 2024 in exchange for the LCAA Private Warrants;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or “dollars” means the legal currency of the United States;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means the United Kingdom;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means the United States of America;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means accounting principles generally accepted in the United States of America;</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Agreement” means the Warrant Agreement dated as of March 10, 2021, between LCAA and Continental as warrant agent, as amended and assigned to LTC and Equiniti pursuant to the Assignment, Assumption and Amendment Agreement by and among LCAA, LTC, Equiniti and Continental dated as of February 22, 2024;</w:t>
      </w:r>
    </w:p>
    <w:p>
      <w:pPr>
        <w:spacing w:after="0" w:line="19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means the Public Warrants and the Sponsor Warrants;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“WFOE” means Wuhan Lotus Technology Limited Company, LTC’s wholly-owned PRC subsidiary; and</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“Wuhan Lotus Cars” means Wuhan Lotus Cars Co., Ltd., a company organized and existing under the laws of the People’s Republic of China.</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Any discrepancies in any table between the amounts identified as total amounts and the sum of the amounts listed therein are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annual report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spacing w:after="0" w:line="176" w:lineRule="exact"/>
        <w:rPr>
          <w:sz w:val="20"/>
          <w:szCs w:val="20"/>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ability to compete in the highly competitive automotive market;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variety of arrangements with Geely Holding;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ability to maintain and strengthen the “Lotus” brand;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unproven ability to develop, manufacture and deliver high quality automobiles;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negative net cash flows from operations and its unproven ability to adequately control the costs;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limited number of orders for our vehicle models</w:t>
      </w:r>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in the manufacturing and launch of our vehicles;</w:t>
      </w:r>
    </w:p>
    <w:p>
      <w:pPr>
        <w:spacing w:after="0" w:line="225" w:lineRule="exact"/>
        <w:rPr>
          <w:rFonts w:ascii="Times New Roman" w:cs="Times New Roman" w:eastAsia="Times New Roman" w:hAnsi="Times New Roman"/>
          <w:sz w:val="18"/>
          <w:szCs w:val="18"/>
          <w:color w:val="auto"/>
        </w:rPr>
      </w:pPr>
    </w:p>
    <w:p>
      <w:pPr>
        <w:jc w:val="both"/>
        <w:ind w:left="1000" w:right="20" w:hanging="317"/>
        <w:spacing w:after="0" w:line="25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uncertainties and changes in global regulations on automotive as well as internet-related businesses and companies, including regulations on homologations, safety, data protection and privacy, automated driving, environmental protection, recall, distribution, government incentives, batteries regulations, and end-of-life regulations;</w:t>
      </w:r>
    </w:p>
    <w:p>
      <w:pPr>
        <w:spacing w:after="0" w:line="19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demand and willingness to adopt luxury electric vehicles;</w:t>
      </w:r>
    </w:p>
    <w:p>
      <w:pPr>
        <w:spacing w:after="0" w:line="225"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rapidly evolving technology in automotive industry, and ongoing development and safety of intelligent driving technology;</w:t>
      </w:r>
    </w:p>
    <w:p>
      <w:pPr>
        <w:spacing w:after="0" w:line="189"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increases, disruptions or shortage in supply of raw materials, semiconductor chips or other components, and our dependence on suppliers;</w:t>
      </w:r>
    </w:p>
    <w:p>
      <w:pPr>
        <w:spacing w:after="0" w:line="18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ability to expand physical sales network cost-efficiently;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ability to perform in line with customer expectations;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providing charging solutions;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regulatory, political, operational and financial risk in jurisdictions we operate;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risks and uncertainties described in “Item 3. Key Information—D. Risk Factors.”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these forward-looking statements and you should read these statements in conjunction with the risk factors disclosed in “Item 3. Key Information—D. Risk Factors.” Those risks are not exhaustive. 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 and China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and other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105410</wp:posOffset>
            </wp:positionV>
            <wp:extent cx="5220335" cy="2057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2033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Lotus Technology Inc. is not an operating company but a Cayman Islands holding company. Lotus Technology Inc. conducts its operations through its subsidiaries in China and Europe, and for the periods ended prior to the Restructuring, also through the former VIE and its subsidiaries based in mainland China.</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Prior to 2023, Lotus Technology Inc. relied on contractual arrangements among the WFOE, the former VIE and its nominee shareholders to direct the business operations of the former VIE and its subsidiaries. As a result, for the periods ended prior to the Restructuring, the former VIE’s financial results are consolidated in our consolidated and combined financial statements under U.S. GAAP for accounting purposes. Following the Restructuring, our operations in mainland China are currently conducted by our mainland China subsidiaries.</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connection with the Restructuring, the WFOE, the former VIE, and nominee shareholders of the former VIE entered into a series of agreements, or the VIE Restructuring Agreements, in early 2023, pursuant to which, (i) WFOE acquired 100% equity interest in Sanya Lotus Venture Capital Co., Ltd. and Hangzhou Lotus Technology Service Co., Ltd., each being a subsidiary of the former VIE;</w:t>
      </w:r>
    </w:p>
    <w:p>
      <w:pPr>
        <w:spacing w:after="0" w:line="1" w:lineRule="exact"/>
        <w:rPr>
          <w:sz w:val="20"/>
          <w:szCs w:val="20"/>
          <w:color w:val="auto"/>
        </w:rPr>
      </w:pPr>
    </w:p>
    <w:p>
      <w:pPr>
        <w:jc w:val="both"/>
        <w:ind w:firstLine="8"/>
        <w:spacing w:after="0" w:line="249" w:lineRule="auto"/>
        <w:tabs>
          <w:tab w:leader="none" w:pos="2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ICP license, all of the former VIE’s assets and liabilities, including its business contracts, intellectual properties and employees, were transferred to the WFOE or subsidiaries of the WFOE at nil consideration; and (iii) the VIE Agreements were terminated. As of the date of this annual report, our operations in mainland China are conducted by our mainland China subsidiaries and we do not have any VIE structure. We believe that the Restructuring did not and will not have any material impact on our operations and financial results.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face various risks and uncertainties related to doing business in mainland China. Our business operations are primarily conducted in mainland China, and we are subject to complex and evolving laws and regulations in mainland China. For example, we face risks associated with regulatory approvals on offshore offerings, antimonopoly regulatory actions, and oversight on cybersecurity and data privacy, which may impact our ability to conduct certain businesses, accept foreign investments, or list on a U.S. stock exchange. These risks could result in a material adverse change in our operations and the value of our securities, significantly limit or completely hinder our ability to continue to offer securities to investors, or cause the value of such securities to significantly decline. For a detailed description of risks relating to doing business in China, see “Item 3. Key Information—D. Risk Factors—Risks Relating to Doing Business in China.”</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PRC government has significant authority in regulating our operations and may influence our operations. It may exert more oversight and control over offerings conducted overseas by, and/or foreign investment in, China-based issuers, which could significantly limit or completely hinder our ability to offer or continue to offer securities to investors. Implementation of industry-wide regulations in this nature may cause the value of such securities to significantly decline. For more details, see “Item 3. Key Information—D. Risk Factors—Risks Relating to Doing Business in China—Failure to meet the PRC government’s complex regulatory requirements on and significant oversight over our business operation could result in a material adverse change in our operations and the value of our securities.”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Risks and uncertainties arising from the legal system of mainland China, including risks and uncertainties regarding the interpretation and enforcement of laws and quickly evolving rules and regulations in mainland China, could result in a material adverse change in our operations and the value of our securities. For more details, see “Item 3. Key Information—D. Risk Factors—Risks Relating to Doing Business in China—We may be adversely affected by the complexity, uncertainties and changes in regulations of mainland China on automotive as well as internet-related businesses and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Pursuant to the Holding Foreign Companies Accountable Act, or the HFCAA, if the SEC determines that we have filed audit reports issued by a registered public accounting firm that has not been subject to inspections by the PCAOB for two consecutive years, the SEC will prohibit our securities from being traded on a national securities exchange or in the over-the-counter trading market in the U.S. On December 16, 2021, the PCAOB issued a report to notify the SEC of its determination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For this reason, we do not expect to be so identified after we file this annual report on Form 20-F for the fiscal year ended December 31, 2023.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Relating to Doing Business in China—The PCAOB had historically been unable to inspect our auditor in relation to their audit work” and “Item 3. Key Information—D. Risk Factors—Risks Relating to Doing Business in China—Our securities may be prohibited from trading in the U.S. under the Holding Foreign Companies Accountable Act, or the HFCAA, if the PCAOB is unable to inspect or investigate completely auditors located in China. The delisting of our securities, or the threat of their being delisted, may materially and adversely affect the value of your investment.”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 Required from the PRC Authorities for Our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 our business in mainland China primarily through our PRC subsidiaries. Our operations in mainland China are governed by laws and regulations of mainland China. As of the date of this annual report, our PRC subsidiaries have obtained all material licenses and permits necessary for business operations from the PRC government authorities.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(i) we do not receive or maintain any required permissions or approvals, (ii) we inadvertently concluded that certain permissions or approvals have been acquired or are not required, or (iii) applicable laws, regulations or interpretations thereof change and we become subject to the requirement of additional permissions or approvals in the future, there is no assurance that we will be able to obtain such permissions or approvals in a timely manner, or at all, and such approvals may be rescinded even if obtained. Any such circumstance could subject us to sanctions imposed by the PRC regulatory authorities, which could include fines and penalties, proceedings against us, and other forms of sanctions, and our business, financial condition and results of operations may be materially and adversely affected. For more detailed information, see “Item 3. Key Information—D. Risk Factors—Risks Relating to Doing Business in China—We may be adversely affected by the complexity, uncertainties and changes in regulations of mainland China on automotive as well as internet-related businesses and companies.”</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PRC government has recently sought to exert more oversight and control over offerings that are conducted overseas and/or foreign investment in China-based issuers. For more detailed information, see “Item 3. Key Information—D. Risk Factors—Risks Relating to Doing Business in China—The approval of and/or filing with CSRC or other PRC government authorities may be required in connection with our offshore offerings under PRC law, and, if required, we cannot predict whether or for how long we will be able to obtain such approval or complete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Transfers and Dividend Distribution</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Lotus Technology Inc. is a holding company with no operations of its own. Lotus Technology Inc. currently conducts its operations through its subsidiaries in China and Europe. As a result, although other means are available for us to obtain financing at the holding company level, our ability to pay dividends to the shareholders and to service any debt it may incur may depend upon dividends paid by its subsidiaries. If any of its subsidiaries incurs debt on its own behalf in the future, the instruments governing such debt may restrict its ability to pay dividends to LTC. In addition, its PRC subsidiaries are permitted to pay dividends to LTC only out of their accumulated after-tax-profits upon satisfaction of statutory conditions and procedures, if any, as determined in accordance with PRC accounting standards and regulations. Further, its PRC subsidiaries are required to make appropriations to certain statutory reserve funds or may make appropriations to certain discretionary funds, which are not distributable as cash dividends except in the event of a solvent liquidation of the companies.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LTC’s board of directors has complete discretion on whether to distribute dividends subject to its memorandum and articles of association and certain restrictions under Cayman Islands law. In addition, LTC’s shareholders may, by ordinary resolution, declare dividends, but no dividend shall exceed the amount recommended by LTC’s board of directors. Under Cayman Islands law, a Cayman Islands company may pay a dividend out of either profit or its share premium account, provided that in no circumstances may a dividend be paid out of the share premium account if this would result in the company being unable to pay its debts as they fall due in the ordinary course of business. The decision to distribute dividends is based on several factors, including LTC’s financial performance, growth prospects, and liquidity requirements. To date, other than the 10-for-1 stock split in the form of a stock dividend declared on March 15, 2022, LTC has not declared or paid any dividend to its shareholders. We expect we will retain most, if not all, of our available funds and any future earnings to fund the development and growth of our business. As a result, we do not expect to pay any cash dividends in the foreseeable future.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Cayman Islands exempted company and offshore holding company, LTC is permitted under laws and regulations of mainland China to provide funding to its wholly foreign-owned subsidiaries in mainland China only through loans or capital contributions, subject to the applicable governmental registration and approval requirements. In addition, LTC’s wholly foreign-owned subsidiaries in mainland China may provide RMB funding to their respective subsidiaries only through capital contributions and inter-company loans.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Under laws and regulations of mainland China, Lotus Technology Inc.’s PRC subsidiaries are subject to certain restrictions with respect to paying dividends or otherwise transferring any of their net assets to Lotus Technology Inc.. Remittance of dividends by a wholly foreign-owned enterprise out of mainland China is also subject to examination by the banks designated by State Administration of Foreign Exchange, or SAFE. The amounts restricted include the paid-in capital and the statutory reserve funds of its PRC subsidiaries. Furthermore, cash transfers from Lotus Technology Inc.’s PRC subsidiaries to entities outside of mainland China are subject to PRC governmental control on currency conversion. As a result, the funds in its PRC subsidiaries in mainland China may not be available to fund operations or for other use outside of mainland China due to interventions in, or the imposition of restrictions and limitations on, the ability of the holding company, or its subsidiaries by the PRC government on such currency conversion. For details, see “Item 3. Key Information—D. Risk Factors—Risks Relating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“Item 3. Key Information—D. Risk Factors—Risks Relating to Doing Business in China—Regulation of loans to and direct investment in PRC entities by offshore holding companies and governmental control of currency conversion may delay or prevent us from making loans to or make additional capital contributions to our PRC subsidiaries, which could materially and adversely affect our liquidity and our ability to fund and expand our business,” and “Item 3. Key Information—D. Risk Factors—Risks Relating to Doing Business in China— Governmental control of currency conversion may limit our ability to utilize our revenues effectively.”</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laws of mainland China, Lotus Technology Inc. may provide funding to its PRC subsidiaries only through capital contributions or loans, subject to satisfaction of applicable government registration that Lotus Technology Inc. is not able to make direct capital contribution.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established cash management policies to direct how funds are transferred among Lotus Technology Inc. and its subsidiaries to ensure the efficient and compliant handling of funds. These policies dictate that each cash transfer shall (i) go through approval processes, ensuring that only authorized personnel are involved in the transaction, (ii) be properly recorded, facilitating audits and financial reviews, and (iii) be in compliance with all applicable laws and regulations, including anti-money laundering (AML) and know-your-customer (KYC) requirements.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Lotus Technology Inc. provided loans with principal amount of US$231.6 million, US$5.9 million and nil to its subsidiaries, and made capital contribution of US$302.3 million, US$94.7 million and nil to its subsidiaries.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2023, 2022 and 2021, the WFOE provided loans with principal amount of US$316.7 million, US$49.6 million and nil to its subsidiaries, and made capital contribution of US$22.3 million, US$137.2 million and US$108.9 million to its subsidiaries. For the years ended December 31, 2023, 2022 and 2021, the WFOE repaid loans borrowed from the other subsidiaries in the amounts of US$71.8 million, nil and nil, respectively.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the WFOE paid advances of nil, nil and US$11.1 million to the former VIE. For the years ended December 31, 2023, 2022 and 2021, the WFOE collected advances of nil, US$10.6 million and nil from the former VIE.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US$1.7 million, US$3.3 million and nil of service fees were paid by the former VIE and its subsidiaries to the subsidiaries of Lotus Technology Inc.</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2022 and 2021, the other subsidiaries provided loans with principal amount of US$180.5 million, nil and nil to the WFOE, repaid loans of US$186.1 million, nil and nil to Lotus Technology Inc., repaid loans of US$150.9 million, nil and nil to the WFOE, and made capital contribution of US$89.4 million, nil and nil to the WFOE.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Relating to the Former VIE</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Through a series of contemplated reorganization steps, or the Reorganization, including transferring the assets and employees in the Lotus BEV business unit of Ningbo Geely R&amp;D into Wuhan Lotus Cars and transferring the equity of Wuhan Lotus Cars to the WFOE, the Company gained control over WFOE through Lotus HK on December 15, 2021. LTC, through the WFOE, was the primary beneficiary of the former VIE. Prior to 2023, LTC relied on contractual arrangements among the WFOE, the former VIE and its nominee shareholders to direct the business operations of the former VIE and its subsidiaries. In connection with the Restructuring, the WFOE, the former VIE, and nominee shareholders of the former VIE entered into VIE Restructuring Agreements in early 2023, pursuant to which, (i) WFOE acquired 100% equity interest in Sanya Lotus Venture Capital Co., Ltd. and Hangzhou Lotus Technology Service Co., Ltd., subsidiaries of the former VIE; (ii) except for the ICP license, all of the former VIE’s assets and liabilities, including its business contracts, intellectual properties and employees, were transferred to the WFOE or subsidiaries of the WFOE at nil consideration; and (iii) the VIE Agreements were terminated. As of the date of this annual report, our operations in mainland China are conducted by our mainland China subsidiaries and we do not have any VIE structure.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Consolidated and Combined Statements of Comprehensive Loss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condensed consolidating schedule depicting the consolidated and combined statements of comprehensive loss for the fiscal years ended December 31, 2023, 2022, and 2021 of Lotus Technology Inc., the WFOE, the former VIE, other subsidiaries, and corresponding eliminating adjustments separately.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The former</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Lotus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VIE</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and its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8"/>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174,789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679,342</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(175,123)</w:t>
            </w:r>
          </w:p>
        </w:tc>
        <w:tc>
          <w:tcPr>
            <w:tcW w:w="200" w:type="dxa"/>
            <w:vAlign w:val="bottom"/>
            <w:tcBorders>
              <w:top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679,008</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(24,667)</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(577,215)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25,055</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(576,827)</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150,122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102,127</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(150,068)</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102,181</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(2,983)</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(84,055)</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(15,396)</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(885,754)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150,068</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(838,120)</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(2,983)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66,067</w:t>
            </w:r>
          </w:p>
        </w:tc>
        <w:tc>
          <w:tcPr>
            <w:tcW w:w="8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(15,396)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(783,627)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(735,939)</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(4,908)</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(16,516)</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11,254</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(10,200)</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6,979</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8,108</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4,820</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(11,254)</w:t>
            </w:r>
            <w:r>
              <w:rPr>
                <w:rFonts w:ascii="Times New Roman" w:cs="Times New Roman" w:eastAsia="Times New Roman" w:hAnsi="Times New Roman"/>
                <w:sz w:val="10"/>
                <w:szCs w:val="10"/>
                <w:color w:val="auto"/>
              </w:rPr>
              <w:t>(2)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9,204</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 (loss), net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(5,084)</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(1,010)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4,932</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of results of equity method investments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(1,047)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exchange gains (losses), net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(171)</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1"/>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fair values of mandatorily redeemable noncontrolling</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exchangeable notes and convertible notes, excluding</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(616)</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(738)</w:t>
            </w:r>
          </w:p>
        </w:tc>
        <w:tc>
          <w:tcPr>
            <w:tcW w:w="10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(1,497)</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(4,680)</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(7,531)</w:t>
            </w:r>
          </w:p>
        </w:tc>
        <w:tc>
          <w:tcPr>
            <w:tcW w:w="0" w:type="dxa"/>
            <w:vAlign w:val="bottom"/>
          </w:tcPr>
          <w:p>
            <w:pPr>
              <w:spacing w:after="0"/>
              <w:rPr>
                <w:sz w:val="1"/>
                <w:szCs w:val="1"/>
                <w:color w:val="auto"/>
              </w:rPr>
            </w:pPr>
          </w:p>
        </w:tc>
      </w:tr>
      <w:tr>
        <w:trPr>
          <w:trHeight w:val="185"/>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impact of instrument-specific credit risk</w:t>
            </w:r>
          </w:p>
        </w:tc>
        <w:tc>
          <w:tcPr>
            <w:tcW w:w="9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80" w:type="dxa"/>
            <w:vAlign w:val="bottom"/>
            <w:gridSpan w:val="3"/>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Changes in fair values of put options liabilities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(2,508)</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(Gain)/loss on the Restructuring</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(56,752)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56,752</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Share of losses from consolidated entities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(737,618)</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737,618</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(loss) before income taxes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(742,001)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68,288</w:t>
            </w:r>
          </w:p>
        </w:tc>
        <w:tc>
          <w:tcPr>
            <w:tcW w:w="8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(74,133)</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(738,914)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737,618</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(749,142)</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(1,109)</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profit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(742,001)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68,288</w:t>
            </w:r>
          </w:p>
        </w:tc>
        <w:tc>
          <w:tcPr>
            <w:tcW w:w="8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(74,137)</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(740,023)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737,618</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(750,255)</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(2,401)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(5,853)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(8,254)</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profit (loss) attributable to ordinary shareholders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(742,001)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68,288</w:t>
            </w:r>
          </w:p>
        </w:tc>
        <w:tc>
          <w:tcPr>
            <w:tcW w:w="8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(71,736)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(734,170)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737,618</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(742,001)</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profit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(742,001)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68,288</w:t>
            </w:r>
          </w:p>
        </w:tc>
        <w:tc>
          <w:tcPr>
            <w:tcW w:w="8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(74,137)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(740,023)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737,618</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(750,255)</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changes of mandatorily redeemable noncontrolling</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exchangeable notes and convertible notes due to</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(8,650)</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(8,378)</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8,650</w:t>
            </w:r>
          </w:p>
        </w:tc>
        <w:tc>
          <w:tcPr>
            <w:tcW w:w="2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(8,650)</w:t>
            </w:r>
          </w:p>
        </w:tc>
        <w:tc>
          <w:tcPr>
            <w:tcW w:w="0" w:type="dxa"/>
            <w:vAlign w:val="bottom"/>
          </w:tcPr>
          <w:p>
            <w:pPr>
              <w:spacing w:after="0"/>
              <w:rPr>
                <w:sz w:val="1"/>
                <w:szCs w:val="1"/>
                <w:color w:val="auto"/>
              </w:rPr>
            </w:pPr>
          </w:p>
        </w:tc>
      </w:tr>
      <w:tr>
        <w:trPr>
          <w:trHeight w:val="185"/>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instrument-specific credit risk, net of nil income taxes</w:t>
            </w:r>
          </w:p>
        </w:tc>
        <w:tc>
          <w:tcPr>
            <w:tcW w:w="9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 net of nil income taxes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16,210</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7,475</w:t>
            </w:r>
          </w:p>
        </w:tc>
        <w:tc>
          <w:tcPr>
            <w:tcW w:w="160" w:type="dxa"/>
            <w:vAlign w:val="bottom"/>
          </w:tcPr>
          <w:p>
            <w:pPr>
              <w:spacing w:after="0"/>
              <w:rPr>
                <w:sz w:val="16"/>
                <w:szCs w:val="16"/>
                <w:color w:val="auto"/>
              </w:rPr>
            </w:pPr>
          </w:p>
        </w:tc>
        <w:tc>
          <w:tcPr>
            <w:tcW w:w="102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rPr>
              <w:t>(10,204)</w:t>
            </w:r>
            <w:r>
              <w:rPr>
                <w:rFonts w:ascii="Times New Roman" w:cs="Times New Roman" w:eastAsia="Times New Roman" w:hAnsi="Times New Roman"/>
                <w:sz w:val="10"/>
                <w:szCs w:val="10"/>
                <w:color w:val="auto"/>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16,210</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other comprehensive income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7,560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1,284</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1,173</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(903)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(1,554)</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7,560</w:t>
            </w:r>
          </w:p>
        </w:tc>
        <w:tc>
          <w:tcPr>
            <w:tcW w:w="0" w:type="dxa"/>
            <w:vAlign w:val="bottom"/>
          </w:tcPr>
          <w:p>
            <w:pPr>
              <w:spacing w:after="0"/>
              <w:rPr>
                <w:sz w:val="1"/>
                <w:szCs w:val="1"/>
                <w:color w:val="auto"/>
              </w:rPr>
            </w:pPr>
          </w:p>
        </w:tc>
      </w:tr>
      <w:tr>
        <w:trPr>
          <w:trHeight w:val="180"/>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Less: Total comprehensive loss attributable to noncontrolling</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(2,297)</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(5,957)</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(8,254)</w:t>
            </w:r>
          </w:p>
        </w:tc>
        <w:tc>
          <w:tcPr>
            <w:tcW w:w="0" w:type="dxa"/>
            <w:vAlign w:val="bottom"/>
          </w:tcPr>
          <w:p>
            <w:pPr>
              <w:spacing w:after="0"/>
              <w:rPr>
                <w:sz w:val="1"/>
                <w:szCs w:val="1"/>
                <w:color w:val="auto"/>
              </w:rPr>
            </w:pPr>
          </w:p>
        </w:tc>
      </w:tr>
      <w:tr>
        <w:trPr>
          <w:trHeight w:val="185"/>
        </w:trPr>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interests</w:t>
            </w:r>
          </w:p>
        </w:tc>
        <w:tc>
          <w:tcPr>
            <w:tcW w:w="9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 (loss) attributable to ordinary</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(734,441)</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69,572</w:t>
            </w:r>
          </w:p>
        </w:tc>
        <w:tc>
          <w:tcPr>
            <w:tcW w:w="8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(70,667)</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(734,969)</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736,064</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(734,441)</w:t>
            </w:r>
          </w:p>
        </w:tc>
        <w:tc>
          <w:tcPr>
            <w:tcW w:w="0" w:type="dxa"/>
            <w:vAlign w:val="bottom"/>
          </w:tcPr>
          <w:p>
            <w:pPr>
              <w:spacing w:after="0"/>
              <w:rPr>
                <w:sz w:val="1"/>
                <w:szCs w:val="1"/>
                <w:color w:val="auto"/>
              </w:rPr>
            </w:pPr>
          </w:p>
        </w:tc>
      </w:tr>
      <w:tr>
        <w:trPr>
          <w:trHeight w:val="187"/>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9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3"/>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76"/>
        </w:trPr>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4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4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The former</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4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Lotus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VIE</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4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and its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88"/>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44,517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13,876</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(48,836)</w:t>
            </w:r>
          </w:p>
        </w:tc>
        <w:tc>
          <w:tcPr>
            <w:tcW w:w="200" w:type="dxa"/>
            <w:vAlign w:val="bottom"/>
            <w:tcBorders>
              <w:top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9,557</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(24,645)</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(11,010)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28,405</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(7,250)</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19,872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2,866</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(20,431)</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2,307</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(11,127)</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(131,238)</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(42,609)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(525,177)</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20,431</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(689,720)</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(11,127)</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(111,366)</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(42,609)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(522,311)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(687,413)</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(8,135)</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(730)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(8,542)</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6,977</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(323)</w:t>
            </w:r>
            <w:r>
              <w:rPr>
                <w:rFonts w:ascii="Times New Roman" w:cs="Times New Roman" w:eastAsia="Times New Roman" w:hAnsi="Times New Roman"/>
                <w:sz w:val="10"/>
                <w:szCs w:val="10"/>
                <w:color w:val="auto"/>
              </w:rPr>
              <w:t>(2)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12,188</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 (loss), net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(4,242)</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(3,246)</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of results of equity method investments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(1,821)</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(941)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exchange gains (losses), net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(13,068)</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(511)</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(101)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(11,505)</w:t>
            </w:r>
          </w:p>
        </w:tc>
      </w:tr>
      <w:tr>
        <w:trPr>
          <w:trHeight w:val="167"/>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fair values of mandatorily redeemable noncontrolling</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exchangeable notes and convertible notes, excluding</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impact of instrument-specific credit risk</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(13,162)</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(9,829)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(22,991)</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Share of losses from consolidated entities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(698,323)</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698,323</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(723,921)</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(126,197)</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(52,358)</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(520,118)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698,323</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(724,271)</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(73)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(219)</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(723,921)</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(126,197)</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(52,431)</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(520,337)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698,323</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(724,563)</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(642)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 attributable to ordinary shareholders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(723,921)</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(126,197)</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(51,789)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(520,337)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698,323</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(723,921)</w:t>
            </w:r>
          </w:p>
        </w:tc>
      </w:tr>
      <w:tr>
        <w:trPr>
          <w:trHeight w:val="189"/>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(723,921)</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(126,197)</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(52,431)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(520,337)</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698,323</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(724,563)</w:t>
            </w:r>
          </w:p>
        </w:tc>
      </w:tr>
      <w:tr>
        <w:trPr>
          <w:trHeight w:val="16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changes of mandatorily redeemable noncontrolling</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exchangeable notes and convertible notes due to</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instrument-specific credit risk, net of nil income taxes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(893)</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(860)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 net of nil income taxes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18,669</w:t>
            </w:r>
          </w:p>
        </w:tc>
        <w:tc>
          <w:tcPr>
            <w:tcW w:w="16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(1,668)</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(943)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18,669</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other comprehensive income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17,776</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(1,701)</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(1,803)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2,221</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1,283</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17,776</w:t>
            </w:r>
          </w:p>
        </w:tc>
      </w:tr>
      <w:tr>
        <w:trPr>
          <w:trHeight w:val="166"/>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Less: Total comprehensive loss attributable to noncontrolling</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(642)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r>
      <w:tr>
        <w:trPr>
          <w:trHeight w:val="19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comprehensive loss attributable to ordinary shareholders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(706,145)</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(127,898)</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(53,592)</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(518,116)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699,606</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(706,145)</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76"/>
        </w:trPr>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4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4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The former</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4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Lotus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VIE</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4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and its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87"/>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4,623</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(16,656)</w:t>
            </w:r>
          </w:p>
        </w:tc>
        <w:tc>
          <w:tcPr>
            <w:tcW w:w="200" w:type="dxa"/>
            <w:vAlign w:val="bottom"/>
            <w:tcBorders>
              <w:top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3,687</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(14,739)</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(4,221)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15,830</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(3,130)</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402</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(826)</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557</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(263)</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(56,892)</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(7,914)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(49,256)</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(113,499)</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(263)</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(55,911)</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(7,914)</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(48,854)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(112,942)</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(3,391)</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6,219</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exchange gains (losses), net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(1,328)</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r>
      <w:tr>
        <w:trPr>
          <w:trHeight w:val="166"/>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Changes in fair values of mandatorily redeemable noncontrolling</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exchangeable notes and convertible notes, excluding</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impact of instrument-specific credit risk.</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(1,065)</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(302)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w:t>
            </w:r>
          </w:p>
        </w:tc>
      </w:tr>
      <w:tr>
        <w:trPr>
          <w:trHeight w:val="19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of losses of combined entities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(112,392)</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112,392</w:t>
            </w:r>
          </w:p>
        </w:tc>
        <w:tc>
          <w:tcPr>
            <w:tcW w:w="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(110,531)</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(54,969)</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(7,886)</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(47,684)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112,392</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(108,678)</w:t>
            </w:r>
          </w:p>
        </w:tc>
      </w:tr>
      <w:tr>
        <w:trPr>
          <w:trHeight w:val="18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(851)</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r>
      <w:tr>
        <w:trPr>
          <w:trHeight w:val="189"/>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(110,531)</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(54,969)</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(8,737)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(48,686)</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112,392</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(110,531)</w:t>
            </w:r>
          </w:p>
        </w:tc>
      </w:tr>
      <w:tr>
        <w:trPr>
          <w:trHeight w:val="16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changes of mandatorily redeemable noncontrolling</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exchangeable notes and convertible notes due to</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instrument-specific credit risk, net of nil income taxes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(119)</w:t>
            </w:r>
            <w:r>
              <w:rPr>
                <w:rFonts w:ascii="Times New Roman" w:cs="Times New Roman" w:eastAsia="Times New Roman" w:hAnsi="Times New Roman"/>
                <w:sz w:val="10"/>
                <w:szCs w:val="10"/>
                <w:color w:val="auto"/>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 net of nil income taxes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(843)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(1,579)</w:t>
            </w:r>
          </w:p>
        </w:tc>
        <w:tc>
          <w:tcPr>
            <w:tcW w:w="102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rPr>
              <w:t>(344)</w:t>
            </w:r>
            <w:r>
              <w:rPr>
                <w:rFonts w:ascii="Times New Roman" w:cs="Times New Roman" w:eastAsia="Times New Roman" w:hAnsi="Times New Roman"/>
                <w:sz w:val="10"/>
                <w:szCs w:val="10"/>
                <w:color w:val="auto"/>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other comprehensive income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1,222</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820</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(1,579)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(463)</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(724)</w:t>
            </w:r>
          </w:p>
        </w:tc>
      </w:t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(111,255)</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(53,747)</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(7,917)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(50,265)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111,929</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(111,255)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59055</wp:posOffset>
            </wp:positionV>
            <wp:extent cx="15684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the intercompany transactions and service charges at the consolidation level.</w:t>
      </w:r>
    </w:p>
    <w:p>
      <w:pPr>
        <w:spacing w:after="0" w:line="230"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interest expenses and interest income on intercompany loans at the consolidation level.</w:t>
      </w:r>
    </w:p>
    <w:p>
      <w:pPr>
        <w:spacing w:after="0" w:line="230"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on share of comprehensive loss that the Lotus Technology Inc. picked up from its consolidated and combined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Selected Consolidated Balance Sheets Information</w:t>
      </w:r>
    </w:p>
    <w:p>
      <w:pPr>
        <w:spacing w:after="0" w:line="131"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The following tables present our condensed consolidating schedule depicting the consolidated balance sheets as of December 31, 2023 and 2022 of Lotus Technology Inc., the WFOE, the former VIE, other subsidiaries, and corresponding eliminating adjustments separately.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1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As of December 31, 2023</w:t>
            </w: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35"/>
        </w:trPr>
        <w:tc>
          <w:tcPr>
            <w:tcW w:w="4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4"/>
          </w:tcPr>
          <w:p>
            <w:pPr>
              <w:jc w:val="center"/>
              <w:ind w:right="920"/>
              <w:spacing w:after="0" w:line="135" w:lineRule="exact"/>
              <w:rPr>
                <w:sz w:val="20"/>
                <w:szCs w:val="20"/>
                <w:color w:val="auto"/>
              </w:rPr>
            </w:pPr>
            <w:r>
              <w:rPr>
                <w:rFonts w:ascii="Times New Roman" w:cs="Times New Roman" w:eastAsia="Times New Roman" w:hAnsi="Times New Roman"/>
                <w:sz w:val="12"/>
                <w:szCs w:val="12"/>
                <w:b w:val="1"/>
                <w:bCs w:val="1"/>
                <w:color w:val="auto"/>
                <w:w w:val="93"/>
              </w:rPr>
              <w:t>US$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8"/>
        </w:trPr>
        <w:tc>
          <w:tcPr>
            <w:tcW w:w="4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4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The former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416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Lotus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VIE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416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4"/>
              </w:rPr>
              <w:t>Technology</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and its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Elimination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5"/>
        </w:trPr>
        <w:tc>
          <w:tcPr>
            <w:tcW w:w="416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Inc.</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WFOE</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subsidiaries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60" w:type="dxa"/>
            <w:vAlign w:val="bottom"/>
          </w:tcPr>
          <w:p>
            <w:pPr>
              <w:spacing w:after="0"/>
              <w:rPr>
                <w:sz w:val="13"/>
                <w:szCs w:val="13"/>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Consolidated</w:t>
            </w:r>
          </w:p>
        </w:tc>
      </w:tr>
      <w:tr>
        <w:trPr>
          <w:trHeight w:val="145"/>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33,888</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151,125</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233,928</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418,941</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7,061</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812</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7,873</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receivable – third parties, net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76,664</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76,664</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Accounts receivable – related parties, net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21,655</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22,430</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Inventories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265,190</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265,190</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Prepayments and other current assets – third parties, net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1,687</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925</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61,258</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63,870</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Prepayments and other current assets – related parties, net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28,741</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28,744</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Amounts due from inter-companies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46,087</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469,019</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211,807</w:t>
            </w:r>
          </w:p>
        </w:tc>
        <w:tc>
          <w:tcPr>
            <w:tcW w:w="160" w:type="dxa"/>
            <w:vAlign w:val="bottom"/>
          </w:tcPr>
          <w:p>
            <w:pPr>
              <w:spacing w:after="0"/>
              <w:rPr>
                <w:sz w:val="12"/>
                <w:szCs w:val="12"/>
                <w:color w:val="auto"/>
              </w:rPr>
            </w:pPr>
          </w:p>
        </w:tc>
        <w:tc>
          <w:tcPr>
            <w:tcW w:w="980" w:type="dxa"/>
            <w:vAlign w:val="bottom"/>
            <w:gridSpan w:val="2"/>
          </w:tcPr>
          <w:p>
            <w:pPr>
              <w:jc w:val="right"/>
              <w:ind w:right="16"/>
              <w:spacing w:after="0" w:line="149" w:lineRule="exact"/>
              <w:rPr>
                <w:sz w:val="20"/>
                <w:szCs w:val="20"/>
                <w:color w:val="auto"/>
              </w:rPr>
            </w:pPr>
            <w:r>
              <w:rPr>
                <w:rFonts w:ascii="Times New Roman" w:cs="Times New Roman" w:eastAsia="Times New Roman" w:hAnsi="Times New Roman"/>
                <w:sz w:val="12"/>
                <w:szCs w:val="12"/>
                <w:color w:val="auto"/>
              </w:rPr>
              <w:t>(726,913)</w:t>
            </w:r>
            <w:r>
              <w:rPr>
                <w:rFonts w:ascii="Times New Roman" w:cs="Times New Roman" w:eastAsia="Times New Roman" w:hAnsi="Times New Roman"/>
                <w:sz w:val="17"/>
                <w:szCs w:val="17"/>
                <w:color w:val="auto"/>
                <w:vertAlign w:val="superscript"/>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81,662</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628,908</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900,055</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(726,913)</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883,712</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Investment securities – related parties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3,326</w:t>
            </w:r>
          </w:p>
        </w:tc>
        <w:tc>
          <w:tcPr>
            <w:tcW w:w="1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3,326</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105,851</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248,766</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354,617</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116,319</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116,360</w:t>
            </w: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75,758</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97,345</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173,103</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 – third parties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49,433</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50,533</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non-current assets – related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2,706</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2,706</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Investments in consolidated entities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278,648</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205,957</w:t>
            </w:r>
          </w:p>
        </w:tc>
        <w:tc>
          <w:tcPr>
            <w:tcW w:w="160" w:type="dxa"/>
            <w:vAlign w:val="bottom"/>
          </w:tcPr>
          <w:p>
            <w:pPr>
              <w:spacing w:after="0"/>
              <w:rPr>
                <w:sz w:val="12"/>
                <w:szCs w:val="12"/>
                <w:color w:val="auto"/>
              </w:rPr>
            </w:pPr>
          </w:p>
        </w:tc>
        <w:tc>
          <w:tcPr>
            <w:tcW w:w="980" w:type="dxa"/>
            <w:vAlign w:val="bottom"/>
            <w:gridSpan w:val="2"/>
          </w:tcPr>
          <w:p>
            <w:pPr>
              <w:jc w:val="right"/>
              <w:ind w:right="16"/>
              <w:spacing w:after="0" w:line="149" w:lineRule="exact"/>
              <w:rPr>
                <w:sz w:val="20"/>
                <w:szCs w:val="20"/>
                <w:color w:val="auto"/>
              </w:rPr>
            </w:pPr>
            <w:r>
              <w:rPr>
                <w:rFonts w:ascii="Times New Roman" w:cs="Times New Roman" w:eastAsia="Times New Roman" w:hAnsi="Times New Roman"/>
                <w:sz w:val="12"/>
                <w:szCs w:val="12"/>
                <w:color w:val="auto"/>
              </w:rPr>
              <w:t>(484,605)</w:t>
            </w:r>
            <w:r>
              <w:rPr>
                <w:rFonts w:ascii="Times New Roman" w:cs="Times New Roman" w:eastAsia="Times New Roman" w:hAnsi="Times New Roman"/>
                <w:sz w:val="17"/>
                <w:szCs w:val="17"/>
                <w:color w:val="auto"/>
                <w:vertAlign w:val="superscript"/>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3,326</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461,398</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720,847</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(484,605)</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700,966</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84,988</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1,090,306</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1,620,902</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(1,211,518)</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1,584,678</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MEZZANINE EQUITY AND SHAREHOLDERS’ EQUITY</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Short-term borrowings – third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75,624</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151,148</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226,772</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 – third parties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20,105</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20,123</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 – related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340,419</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340,419</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Contract liabilities – third parties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44,184</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44,184</w:t>
            </w: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liabilities – third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4,454</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12,306</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16,760</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Accrued expenses and other current liabilities – third parties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99,466</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319,242</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419,422</w:t>
            </w: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expenses and other current liabilities – related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4,504</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286,182</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290,686</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Exchangeable notes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378,638</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378,638</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notes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20,277</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20,277</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Amounts due to inter-companies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115,079</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611,834</w:t>
            </w:r>
          </w:p>
        </w:tc>
        <w:tc>
          <w:tcPr>
            <w:tcW w:w="160" w:type="dxa"/>
            <w:vAlign w:val="bottom"/>
          </w:tcPr>
          <w:p>
            <w:pPr>
              <w:spacing w:after="0"/>
              <w:rPr>
                <w:sz w:val="12"/>
                <w:szCs w:val="12"/>
                <w:color w:val="auto"/>
              </w:rPr>
            </w:pPr>
          </w:p>
        </w:tc>
        <w:tc>
          <w:tcPr>
            <w:tcW w:w="980" w:type="dxa"/>
            <w:vAlign w:val="bottom"/>
            <w:gridSpan w:val="2"/>
          </w:tcPr>
          <w:p>
            <w:pPr>
              <w:jc w:val="right"/>
              <w:ind w:right="16"/>
              <w:spacing w:after="0" w:line="149" w:lineRule="exact"/>
              <w:rPr>
                <w:sz w:val="20"/>
                <w:szCs w:val="20"/>
                <w:color w:val="auto"/>
              </w:rPr>
            </w:pPr>
            <w:r>
              <w:rPr>
                <w:rFonts w:ascii="Times New Roman" w:cs="Times New Roman" w:eastAsia="Times New Roman" w:hAnsi="Times New Roman"/>
                <w:sz w:val="12"/>
                <w:szCs w:val="12"/>
                <w:color w:val="auto"/>
              </w:rPr>
              <w:t>(726,913)</w:t>
            </w:r>
            <w:r>
              <w:rPr>
                <w:rFonts w:ascii="Times New Roman" w:cs="Times New Roman" w:eastAsia="Times New Roman" w:hAnsi="Times New Roman"/>
                <w:sz w:val="17"/>
                <w:szCs w:val="17"/>
                <w:color w:val="auto"/>
                <w:vertAlign w:val="superscript"/>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20,991</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677,783</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1,785,420</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(726,913)</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1,757,281</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liabilities – third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6,245</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6,245</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 – third parties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39,815</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52,114</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91,929</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liabilities – related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12,064</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12,064</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Put option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11,884</w:t>
            </w:r>
          </w:p>
        </w:tc>
        <w:tc>
          <w:tcPr>
            <w:tcW w:w="1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11,884</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Exchangeable notes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75,678</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75,678</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Convertible notes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81,635</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81,635</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268,259</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1,838</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270,097</w:t>
            </w: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non-current liabilities – third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103,403</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103,403</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 – related parties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1,634</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1,634</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of losses in excess of investments in consolidated entities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873,881</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ind w:right="16"/>
              <w:spacing w:after="0" w:line="149" w:lineRule="exact"/>
              <w:rPr>
                <w:sz w:val="20"/>
                <w:szCs w:val="20"/>
                <w:color w:val="auto"/>
              </w:rPr>
            </w:pPr>
            <w:r>
              <w:rPr>
                <w:rFonts w:ascii="Times New Roman" w:cs="Times New Roman" w:eastAsia="Times New Roman" w:hAnsi="Times New Roman"/>
                <w:sz w:val="12"/>
                <w:szCs w:val="12"/>
                <w:color w:val="auto"/>
              </w:rPr>
              <w:t>(873,881)</w:t>
            </w:r>
            <w:r>
              <w:rPr>
                <w:rFonts w:ascii="Times New Roman" w:cs="Times New Roman" w:eastAsia="Times New Roman" w:hAnsi="Times New Roman"/>
                <w:sz w:val="17"/>
                <w:szCs w:val="17"/>
                <w:color w:val="auto"/>
                <w:vertAlign w:val="superscript"/>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885,765</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308,074</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334,611</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(873,881)</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654,569</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906,756</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985,857</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2,120,031</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(1,600,794)</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2,411,850</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mezzanine equity</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383,530</w:t>
            </w:r>
          </w:p>
        </w:tc>
        <w:tc>
          <w:tcPr>
            <w:tcW w:w="1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383,530</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SHAREHOLDERS’ EQUITY (DEFICIT)</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Ordinary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160,651</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251,376</w:t>
            </w:r>
          </w:p>
        </w:tc>
        <w:tc>
          <w:tcPr>
            <w:tcW w:w="160" w:type="dxa"/>
            <w:vAlign w:val="bottom"/>
          </w:tcPr>
          <w:p>
            <w:pPr>
              <w:spacing w:after="0"/>
              <w:rPr>
                <w:sz w:val="12"/>
                <w:szCs w:val="12"/>
                <w:color w:val="auto"/>
              </w:rPr>
            </w:pPr>
          </w:p>
        </w:tc>
        <w:tc>
          <w:tcPr>
            <w:tcW w:w="980" w:type="dxa"/>
            <w:vAlign w:val="bottom"/>
            <w:gridSpan w:val="2"/>
          </w:tcPr>
          <w:p>
            <w:pPr>
              <w:jc w:val="right"/>
              <w:ind w:right="16"/>
              <w:spacing w:after="0" w:line="149" w:lineRule="exact"/>
              <w:rPr>
                <w:sz w:val="20"/>
                <w:szCs w:val="20"/>
                <w:color w:val="auto"/>
              </w:rPr>
            </w:pPr>
            <w:r>
              <w:rPr>
                <w:rFonts w:ascii="Times New Roman" w:cs="Times New Roman" w:eastAsia="Times New Roman" w:hAnsi="Times New Roman"/>
                <w:sz w:val="12"/>
                <w:szCs w:val="12"/>
                <w:color w:val="auto"/>
              </w:rPr>
              <w:t>(412,027)</w:t>
            </w:r>
            <w:r>
              <w:rPr>
                <w:rFonts w:ascii="Times New Roman" w:cs="Times New Roman" w:eastAsia="Times New Roman" w:hAnsi="Times New Roman"/>
                <w:sz w:val="17"/>
                <w:szCs w:val="17"/>
                <w:color w:val="auto"/>
                <w:vertAlign w:val="superscript"/>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358,187</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56,776</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700,734</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
              <w:spacing w:after="0" w:line="149" w:lineRule="exact"/>
              <w:rPr>
                <w:sz w:val="20"/>
                <w:szCs w:val="20"/>
                <w:color w:val="auto"/>
              </w:rPr>
            </w:pPr>
            <w:r>
              <w:rPr>
                <w:rFonts w:ascii="Times New Roman" w:cs="Times New Roman" w:eastAsia="Times New Roman" w:hAnsi="Times New Roman"/>
                <w:sz w:val="12"/>
                <w:szCs w:val="12"/>
                <w:color w:val="auto"/>
              </w:rPr>
              <w:t>(757,510)</w:t>
            </w:r>
            <w:r>
              <w:rPr>
                <w:rFonts w:ascii="Times New Roman" w:cs="Times New Roman" w:eastAsia="Times New Roman" w:hAnsi="Times New Roman"/>
                <w:sz w:val="17"/>
                <w:szCs w:val="17"/>
                <w:color w:val="auto"/>
                <w:vertAlign w:val="superscript"/>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358,187</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25,267</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793</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1,027</w:t>
            </w:r>
          </w:p>
        </w:tc>
        <w:tc>
          <w:tcPr>
            <w:tcW w:w="160" w:type="dxa"/>
            <w:vAlign w:val="bottom"/>
          </w:tcPr>
          <w:p>
            <w:pPr>
              <w:spacing w:after="0"/>
              <w:rPr>
                <w:sz w:val="12"/>
                <w:szCs w:val="12"/>
                <w:color w:val="auto"/>
              </w:rPr>
            </w:pPr>
          </w:p>
        </w:tc>
        <w:tc>
          <w:tcPr>
            <w:tcW w:w="980" w:type="dxa"/>
            <w:vAlign w:val="bottom"/>
            <w:gridSpan w:val="2"/>
          </w:tcPr>
          <w:p>
            <w:pPr>
              <w:jc w:val="right"/>
              <w:ind w:right="16"/>
              <w:spacing w:after="0" w:line="149" w:lineRule="exact"/>
              <w:rPr>
                <w:sz w:val="20"/>
                <w:szCs w:val="20"/>
                <w:color w:val="auto"/>
              </w:rPr>
            </w:pPr>
            <w:r>
              <w:rPr>
                <w:rFonts w:ascii="Times New Roman" w:cs="Times New Roman" w:eastAsia="Times New Roman" w:hAnsi="Times New Roman"/>
                <w:sz w:val="12"/>
                <w:szCs w:val="12"/>
                <w:color w:val="auto"/>
              </w:rPr>
              <w:t>(1,820)</w:t>
            </w:r>
            <w:r>
              <w:rPr>
                <w:rFonts w:ascii="Times New Roman" w:cs="Times New Roman" w:eastAsia="Times New Roman" w:hAnsi="Times New Roman"/>
                <w:sz w:val="17"/>
                <w:szCs w:val="17"/>
                <w:color w:val="auto"/>
                <w:vertAlign w:val="superscript"/>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25,267</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(1,588,773)</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(113,771)</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(1,446,862)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1,560,633</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w w:val="75"/>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(1,588,773)</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shareholders’ equity (deficit) attributable to ordinary shareholders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(1,205,298)</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104,449</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(493,725)</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389,276</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(1,205,298)</w:t>
            </w:r>
          </w:p>
        </w:tc>
      </w:tr>
      <w:tr>
        <w:trPr>
          <w:trHeight w:val="14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(5,404)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(5,404)</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shareholders’ equity (deficit)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(1,205,298)</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104,449</w:t>
            </w:r>
          </w:p>
        </w:tc>
        <w:tc>
          <w:tcPr>
            <w:tcW w:w="180" w:type="dxa"/>
            <w:vAlign w:val="bottom"/>
          </w:tcPr>
          <w:p>
            <w:pPr>
              <w:spacing w:after="0"/>
              <w:rPr>
                <w:sz w:val="12"/>
                <w:szCs w:val="12"/>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(499,129)</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389,276</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(1,210,702)</w:t>
            </w: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mezzanine equity and shareholders’ deficit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84,988</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1,090,306</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1,620,902</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(1,211,518)</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1,584,678</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As of December 31, 2022</w:t>
            </w: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42"/>
        </w:trPr>
        <w:tc>
          <w:tcPr>
            <w:tcW w:w="24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left="717"/>
              <w:spacing w:after="0" w:line="142"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2"/>
        </w:trPr>
        <w:tc>
          <w:tcPr>
            <w:tcW w:w="2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The former</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Lotus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VIE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3"/>
              </w:rPr>
              <w:t>Technology</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and its</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Elimination</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2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3"/>
              </w:rPr>
              <w:t>Inc.</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WFOE</w:t>
            </w: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6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Consolidated</w:t>
            </w:r>
          </w:p>
        </w:tc>
      </w:tr>
      <w:tr>
        <w:trPr>
          <w:trHeight w:val="162"/>
        </w:trPr>
        <w:tc>
          <w:tcPr>
            <w:tcW w:w="4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353,107</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148,949</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156,571</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77,978</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736,605</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1,955</w:t>
            </w:r>
          </w:p>
        </w:tc>
        <w:tc>
          <w:tcPr>
            <w:tcW w:w="180" w:type="dxa"/>
            <w:vAlign w:val="bottom"/>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2,392</w:t>
            </w:r>
          </w:p>
        </w:tc>
      </w:tr>
      <w:tr>
        <w:trPr>
          <w:trHeight w:val="144"/>
        </w:trPr>
        <w:tc>
          <w:tcPr>
            <w:tcW w:w="41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Accounts receivable – related parties, net of nil allowance for doubtful</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80"/>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8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7,757</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8,545</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Inventories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22,595</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22,703</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Prepayments and other current assets – third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7,598</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2,313</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34,575</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44,486</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Prepayments and other current assets – related parties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80" w:type="dxa"/>
            <w:vAlign w:val="bottom"/>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8,663</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8,732</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Amounts due from inter-companies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6,089</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112,833</w:t>
            </w:r>
          </w:p>
        </w:tc>
        <w:tc>
          <w:tcPr>
            <w:tcW w:w="18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5,387</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(124,309)</w:t>
            </w:r>
            <w:r>
              <w:rPr>
                <w:rFonts w:ascii="Times New Roman" w:cs="Times New Roman" w:eastAsia="Times New Roman" w:hAnsi="Times New Roman"/>
                <w:sz w:val="9"/>
                <w:szCs w:val="9"/>
                <w:color w:val="auto"/>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359,196</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272,192</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158,992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157,392</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(124,309)</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823,463</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Non-current assets</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securities – related parties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8,411</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8,411</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Property, equipment and software, net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100,876</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138,406</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253,471</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Intangible assets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8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116,322</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116,364</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84,972</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12,388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61,364</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158,724</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1,484</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8,377</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10,983</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Investments in consolidated entities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230,015</w:t>
            </w:r>
          </w:p>
        </w:tc>
        <w:tc>
          <w:tcPr>
            <w:tcW w:w="180" w:type="dxa"/>
            <w:vAlign w:val="bottom"/>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116,385</w:t>
            </w:r>
          </w:p>
        </w:tc>
        <w:tc>
          <w:tcPr>
            <w:tcW w:w="1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(346,400)</w:t>
            </w:r>
            <w:r>
              <w:rPr>
                <w:rFonts w:ascii="Times New Roman" w:cs="Times New Roman" w:eastAsia="Times New Roman" w:hAnsi="Times New Roman"/>
                <w:sz w:val="9"/>
                <w:szCs w:val="9"/>
                <w:color w:val="auto"/>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8,411</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417,389</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27,699</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441,390</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(346,400)</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548,489</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367,607</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689,581</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186,691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598,782</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(470,709)</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1,371,952</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Short-term borrowings – third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28,748</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28,748</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Accounts payable – third parties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 related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5,770</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5,770</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Contract liabilities – third parties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7,843</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7,843</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liabilities – third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4,848</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10,251</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15,815</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Accrued expenses and other current liabilities – third parties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65,886</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35,254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222,159</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323,299</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expenses and other current liabilities – related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8,098</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174,338</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183,237</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Exchangeable notes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355,320</w:t>
            </w:r>
          </w:p>
        </w:tc>
        <w:tc>
          <w:tcPr>
            <w:tcW w:w="180" w:type="dxa"/>
            <w:vAlign w:val="bottom"/>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355,320</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Mandatorily redeemable noncontrolling interest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11,381</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11,381</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Amounts due to inter-companies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2,415</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111,343</w:t>
            </w:r>
          </w:p>
        </w:tc>
        <w:tc>
          <w:tcPr>
            <w:tcW w:w="1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(124,309)</w:t>
            </w:r>
            <w:r>
              <w:rPr>
                <w:rFonts w:ascii="Times New Roman" w:cs="Times New Roman" w:eastAsia="Times New Roman" w:hAnsi="Times New Roman"/>
                <w:sz w:val="9"/>
                <w:szCs w:val="9"/>
                <w:color w:val="auto"/>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436,567</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58,703</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561,918</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(124,309)</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932,879</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Non-current liabilities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liabilities – third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46,391</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50,910</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98,963</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Exchangeable notes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71,792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71,792</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Convertible notes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76,770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76,770</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income</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258,450</w:t>
            </w:r>
          </w:p>
        </w:tc>
        <w:tc>
          <w:tcPr>
            <w:tcW w:w="18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258,450</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non-current liabilities – third parties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15,824</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15,824</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liabilities – related parties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8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1,584</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Share of losses in excess of investments in consolidated entities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451,571</w:t>
            </w:r>
          </w:p>
        </w:tc>
        <w:tc>
          <w:tcPr>
            <w:tcW w:w="16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(451,571)</w:t>
            </w:r>
            <w:r>
              <w:rPr>
                <w:rFonts w:ascii="Times New Roman" w:cs="Times New Roman" w:eastAsia="Times New Roman" w:hAnsi="Times New Roman"/>
                <w:sz w:val="9"/>
                <w:szCs w:val="9"/>
                <w:color w:val="auto"/>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451,571</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305,011</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150,224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68,444</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(451,571)</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523,679</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451,571</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741,578</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208,927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630,362</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(575,880)</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1,456,558</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mezzanine equity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368,409</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368,409</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SHAREHOLDERS’ EQUITY (DEFICIT)</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Ordinary shares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85,009</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233,149</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(318,313)</w:t>
            </w:r>
            <w:r>
              <w:rPr>
                <w:rFonts w:ascii="Times New Roman" w:cs="Times New Roman" w:eastAsia="Times New Roman" w:hAnsi="Times New Roman"/>
                <w:sz w:val="9"/>
                <w:szCs w:val="9"/>
                <w:color w:val="auto"/>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403,103</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45,547</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39,951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313,752</w:t>
            </w:r>
          </w:p>
        </w:tc>
        <w:tc>
          <w:tcPr>
            <w:tcW w:w="1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(399,250)</w:t>
            </w:r>
            <w:r>
              <w:rPr>
                <w:rFonts w:ascii="Times New Roman" w:cs="Times New Roman" w:eastAsia="Times New Roman" w:hAnsi="Times New Roman"/>
                <w:sz w:val="9"/>
                <w:szCs w:val="9"/>
                <w:color w:val="auto"/>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403,103</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Receivable from shareholders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(26,447)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(26,447)</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17,707</w:t>
            </w:r>
          </w:p>
        </w:tc>
        <w:tc>
          <w:tcPr>
            <w:tcW w:w="16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(491)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(1,173)</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w:t>
            </w:r>
          </w:p>
        </w:tc>
        <w:tc>
          <w:tcPr>
            <w:tcW w:w="1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(266)</w:t>
            </w:r>
            <w:r>
              <w:rPr>
                <w:rFonts w:ascii="Times New Roman" w:cs="Times New Roman" w:eastAsia="Times New Roman" w:hAnsi="Times New Roman"/>
                <w:sz w:val="9"/>
                <w:szCs w:val="9"/>
                <w:color w:val="auto"/>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17,707</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(846,757)</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(182,062)</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(60,527)</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(580,411)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(846,757)</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shareholders’ deficit attributable to ordinary shareholders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(452,373)</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(51,997)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(21,594)</w:t>
            </w:r>
          </w:p>
        </w:tc>
        <w:tc>
          <w:tcPr>
            <w:tcW w:w="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(31,580)</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105,171</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(452,373)</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(642)</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w:t>
            </w:r>
          </w:p>
        </w:tc>
      </w:tr>
      <w:tr>
        <w:trPr>
          <w:trHeight w:val="162"/>
        </w:trPr>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shareholders’ deficit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(452,373)</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(51,997)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(22,236)</w:t>
            </w:r>
          </w:p>
        </w:tc>
        <w:tc>
          <w:tcPr>
            <w:tcW w:w="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(31,580)</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105,171</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(453,015)</w:t>
            </w: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mezzanine equity and shareholders’ deficit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367,607</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689,581</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186,691</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598,782</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(470,709)</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1,371,952</w:t>
            </w:r>
          </w:p>
        </w:tc>
      </w:tr>
      <w:tr>
        <w:trPr>
          <w:trHeight w:val="94"/>
        </w:trPr>
        <w:tc>
          <w:tcPr>
            <w:tcW w:w="248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1"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intercompany balances among the Lotus Technology Inc., the WFOE, the former VIE and its subsidiaries and other subsidiaries.</w:t>
      </w:r>
    </w:p>
    <w:p>
      <w:pPr>
        <w:spacing w:after="0" w:line="230"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investments among the Lotus Technology Inc., the WFOE, the former VIE and its subsidiaries and other subsidiaries.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Consolidated and Combined Cash Flows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tables present our condensed consolidating schedule depicting the consolidated and combined cash flows for the fiscal years ended December 31, 2023, 2022, and 2021 of Lotus Technology Inc., the WFOE, the VIEs, other subsidiaries, and corresponding eliminating adjustments separately.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The former</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Lotus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VIE</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and its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7"/>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generated from (used in) operating activities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3,127</w:t>
            </w:r>
          </w:p>
        </w:tc>
        <w:tc>
          <w:tcPr>
            <w:tcW w:w="16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(49,744)</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(8,281)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(332,034)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(386,932)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Payments for purchases of property, equipment and software and</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(51,656)</w:t>
            </w:r>
          </w:p>
        </w:tc>
        <w:tc>
          <w:tcPr>
            <w:tcW w:w="10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(162,058)</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(213,714)</w:t>
            </w:r>
          </w:p>
        </w:tc>
        <w:tc>
          <w:tcPr>
            <w:tcW w:w="0" w:type="dxa"/>
            <w:vAlign w:val="bottom"/>
          </w:tcPr>
          <w:p>
            <w:pPr>
              <w:spacing w:after="0"/>
              <w:rPr>
                <w:sz w:val="1"/>
                <w:szCs w:val="1"/>
                <w:color w:val="auto"/>
              </w:rPr>
            </w:pPr>
          </w:p>
        </w:tc>
      </w:tr>
      <w:tr>
        <w:trPr>
          <w:trHeight w:val="185"/>
        </w:trPr>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9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disposal of property, equipment and software</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Payments for purchases of short-term investments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(38,254)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sales of short-term investments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37,428</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Receipt of government grant related to assets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for investments in equity investees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(4,911)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disposal of a subsidiary, net of cash disposed</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to related parties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(1,227)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Loans to intercompanies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(231,578)</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(316,713)</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(180,466)</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728,757</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collection of loans from intercompanies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186,148</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150,870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71,849</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(408,867)</w:t>
            </w:r>
            <w:r>
              <w:rPr>
                <w:rFonts w:ascii="Times New Roman" w:cs="Times New Roman" w:eastAsia="Times New Roman" w:hAnsi="Times New Roman"/>
                <w:sz w:val="10"/>
                <w:szCs w:val="10"/>
                <w:color w:val="auto"/>
              </w:rPr>
              <w:t>(4)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Cash contribution to consolidated entities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(302,267)</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(22,347)</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(89,408)</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414,022</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(347,697)</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(219,319)</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(38,400)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(326,481)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733,912</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(197,985)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settlement of receivable from shareholders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7,514</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18,625</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convertible notes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25,297</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exchangeable notes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Repayment of mandatorily redeemable noncontrolling interest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(11,554)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 for redemption of convertible notes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(5,648)</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Receipts of refundable deposits in connection with the Private</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in Public Equity (“PIPE”) investments</w:t>
            </w:r>
          </w:p>
        </w:tc>
        <w:tc>
          <w:tcPr>
            <w:tcW w:w="9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contributions by noncontrolling interests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bank loans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298,679</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481,176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Repayments for bank loans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(102,736)</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(170,161)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(272,897)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Payments to a noncontrolling interest in the liquidation of a</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(148)</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85"/>
        </w:trPr>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subsidiary</w:t>
            </w:r>
          </w:p>
        </w:tc>
        <w:tc>
          <w:tcPr>
            <w:tcW w:w="9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loans borrowed from intercompanies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180,466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548,291</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(728,757)</w:t>
            </w:r>
            <w:r>
              <w:rPr>
                <w:rFonts w:ascii="Times New Roman" w:cs="Times New Roman" w:eastAsia="Times New Roman" w:hAnsi="Times New Roman"/>
                <w:sz w:val="10"/>
                <w:szCs w:val="10"/>
                <w:color w:val="auto"/>
              </w:rPr>
              <w:t>(1)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Repayments for loans borrowed from intercompanies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(71,849)</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(337,018)</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408,867</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contributed by the respective parent companies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89,408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324,614</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(414,022)</w:t>
            </w:r>
            <w:r>
              <w:rPr>
                <w:rFonts w:ascii="Times New Roman" w:cs="Times New Roman" w:eastAsia="Times New Roman" w:hAnsi="Times New Roman"/>
                <w:sz w:val="10"/>
                <w:szCs w:val="10"/>
                <w:color w:val="auto"/>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Cash transfer due to the Restructuring</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(32,715)</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(125,794)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158,509</w:t>
            </w:r>
          </w:p>
        </w:tc>
        <w:tc>
          <w:tcPr>
            <w:tcW w:w="160" w:type="dxa"/>
            <w:vAlign w:val="bottom"/>
          </w:tcPr>
          <w:p>
            <w:pPr>
              <w:spacing w:after="0"/>
              <w:rPr>
                <w:sz w:val="16"/>
                <w:szCs w:val="16"/>
                <w:color w:val="auto"/>
              </w:rPr>
            </w:pPr>
          </w:p>
        </w:tc>
        <w:tc>
          <w:tcPr>
            <w:tcW w:w="102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0"/>
                <w:szCs w:val="10"/>
                <w:color w:val="auto"/>
              </w:rPr>
              <w:t>(5)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27,163</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282,954</w:t>
            </w:r>
          </w:p>
        </w:tc>
        <w:tc>
          <w:tcPr>
            <w:tcW w:w="8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(107,317)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815,820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(733,912)</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284,708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restricted cash</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16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16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6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(decrease) increase in cash and restricted cash</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(319,219)</w:t>
            </w:r>
          </w:p>
        </w:tc>
        <w:tc>
          <w:tcPr>
            <w:tcW w:w="16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(156,571)</w:t>
            </w:r>
          </w:p>
        </w:tc>
        <w:tc>
          <w:tcPr>
            <w:tcW w:w="16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156,111</w:t>
            </w:r>
          </w:p>
        </w:tc>
        <w:tc>
          <w:tcPr>
            <w:tcW w:w="16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(312,398)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restricted cash at the beginning of the year</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353,107</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150,904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156,571</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78,951</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739,533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restricted cash at the end of the year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33,888</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158,185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235,062</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427,135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4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The former</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Lotus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VIE</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and its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88"/>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generated from (used in) operating activities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2,682</w:t>
            </w:r>
          </w:p>
        </w:tc>
        <w:tc>
          <w:tcPr>
            <w:tcW w:w="16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(144,423)</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(8,869)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(200,809)</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(351,419)</w:t>
            </w:r>
          </w:p>
        </w:tc>
        <w:tc>
          <w:tcPr>
            <w:tcW w:w="20" w:type="dxa"/>
            <w:vAlign w:val="bottom"/>
          </w:tcPr>
          <w:p>
            <w:pPr>
              <w:spacing w:after="0"/>
              <w:rPr>
                <w:sz w:val="16"/>
                <w:szCs w:val="16"/>
                <w:color w:val="auto"/>
              </w:rPr>
            </w:pPr>
          </w:p>
        </w:tc>
      </w:tr>
      <w:tr>
        <w:trPr>
          <w:trHeight w:val="18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66"/>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Payments for purchases of property, equipment and software and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8"/>
        </w:trPr>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(71,839)</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(2,635)</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(58,871)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(133,345)</w:t>
            </w:r>
          </w:p>
        </w:tc>
      </w:tr>
      <w:tr>
        <w:trPr>
          <w:trHeight w:val="19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disposal of property, equipment and software</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20" w:type="dxa"/>
            <w:vAlign w:val="bottom"/>
          </w:tcPr>
          <w:p>
            <w:pPr>
              <w:spacing w:after="0"/>
              <w:rPr>
                <w:sz w:val="17"/>
                <w:szCs w:val="17"/>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Payments for purchases of short-term investments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(290,662)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(300,662)</w:t>
            </w:r>
          </w:p>
        </w:tc>
        <w:tc>
          <w:tcPr>
            <w:tcW w:w="20" w:type="dxa"/>
            <w:vAlign w:val="bottom"/>
          </w:tcPr>
          <w:p>
            <w:pPr>
              <w:spacing w:after="0"/>
              <w:rPr>
                <w:sz w:val="16"/>
                <w:szCs w:val="16"/>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sales of short-term investments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289,587</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289,587</w:t>
            </w:r>
          </w:p>
        </w:tc>
        <w:tc>
          <w:tcPr>
            <w:tcW w:w="20" w:type="dxa"/>
            <w:vAlign w:val="bottom"/>
          </w:tcPr>
          <w:p>
            <w:pPr>
              <w:spacing w:after="0"/>
              <w:rPr>
                <w:sz w:val="16"/>
                <w:szCs w:val="16"/>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Payment upon settlement of derivative instruments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(2,652)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20" w:type="dxa"/>
            <w:vAlign w:val="bottom"/>
          </w:tcPr>
          <w:p>
            <w:pPr>
              <w:spacing w:after="0"/>
              <w:rPr>
                <w:sz w:val="16"/>
                <w:szCs w:val="16"/>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for investments in equity investees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(1,920)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(1,194)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20" w:type="dxa"/>
            <w:vAlign w:val="bottom"/>
          </w:tcPr>
          <w:p>
            <w:pPr>
              <w:spacing w:after="0"/>
              <w:rPr>
                <w:sz w:val="16"/>
                <w:szCs w:val="16"/>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Loans to related parties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(2,310)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20" w:type="dxa"/>
            <w:vAlign w:val="bottom"/>
          </w:tcPr>
          <w:p>
            <w:pPr>
              <w:spacing w:after="0"/>
              <w:rPr>
                <w:sz w:val="16"/>
                <w:szCs w:val="16"/>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to intercompanies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(5,876)</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(49,602)</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55,478</w:t>
            </w:r>
          </w:p>
        </w:tc>
        <w:tc>
          <w:tcPr>
            <w:tcW w:w="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collection of advances from an intercompany</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rPr>
              <w:t>(10,611)</w:t>
            </w:r>
            <w:r>
              <w:rPr>
                <w:rFonts w:ascii="Times New Roman" w:cs="Times New Roman" w:eastAsia="Times New Roman" w:hAnsi="Times New Roman"/>
                <w:sz w:val="10"/>
                <w:szCs w:val="10"/>
                <w:color w:val="auto"/>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contribution to consolidated entities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(94,688)</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(137,200)</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231,888</w:t>
            </w:r>
          </w:p>
        </w:tc>
        <w:tc>
          <w:tcPr>
            <w:tcW w:w="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r>
      <w:tr>
        <w:trPr>
          <w:trHeight w:val="189"/>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(113,216)</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(245,986)</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(5,630)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(61,337)</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276,755</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(149,414)</w:t>
            </w:r>
          </w:p>
        </w:tc>
        <w:tc>
          <w:tcPr>
            <w:tcW w:w="20" w:type="dxa"/>
            <w:vAlign w:val="bottom"/>
          </w:tcPr>
          <w:p>
            <w:pPr>
              <w:spacing w:after="0"/>
              <w:rPr>
                <w:sz w:val="16"/>
                <w:szCs w:val="16"/>
                <w:color w:val="auto"/>
              </w:rPr>
            </w:pPr>
          </w:p>
        </w:tc>
      </w:tr>
      <w:tr>
        <w:trPr>
          <w:trHeight w:val="183"/>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settlement of receivable from shareholders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74,638</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76,147</w:t>
            </w:r>
          </w:p>
        </w:tc>
        <w:tc>
          <w:tcPr>
            <w:tcW w:w="20" w:type="dxa"/>
            <w:vAlign w:val="bottom"/>
          </w:tcPr>
          <w:p>
            <w:pPr>
              <w:spacing w:after="0"/>
              <w:rPr>
                <w:sz w:val="16"/>
                <w:szCs w:val="16"/>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Series Pre-A Preferred Shares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129,681</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129,681</w:t>
            </w:r>
          </w:p>
        </w:tc>
        <w:tc>
          <w:tcPr>
            <w:tcW w:w="20" w:type="dxa"/>
            <w:vAlign w:val="bottom"/>
          </w:tcPr>
          <w:p>
            <w:pPr>
              <w:spacing w:after="0"/>
              <w:rPr>
                <w:sz w:val="16"/>
                <w:szCs w:val="16"/>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Series A Preferred 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187,734</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187,734</w:t>
            </w:r>
          </w:p>
        </w:tc>
        <w:tc>
          <w:tcPr>
            <w:tcW w:w="20" w:type="dxa"/>
            <w:vAlign w:val="bottom"/>
          </w:tcPr>
          <w:p>
            <w:pPr>
              <w:spacing w:after="0"/>
              <w:rPr>
                <w:sz w:val="16"/>
                <w:szCs w:val="16"/>
                <w:color w:val="auto"/>
              </w:rPr>
            </w:pPr>
          </w:p>
        </w:tc>
      </w:tr>
      <w:tr>
        <w:trPr>
          <w:trHeight w:val="167"/>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 of exchangeable notes for issuance of Series A Preferred</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(57,430)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(57,430)</w:t>
            </w:r>
          </w:p>
        </w:tc>
        <w:tc>
          <w:tcPr>
            <w:tcW w:w="20" w:type="dxa"/>
            <w:vAlign w:val="bottom"/>
          </w:tcPr>
          <w:p>
            <w:pPr>
              <w:spacing w:after="0"/>
              <w:rPr>
                <w:sz w:val="17"/>
                <w:szCs w:val="17"/>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convertible notes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75,037</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75,037</w:t>
            </w:r>
          </w:p>
        </w:tc>
        <w:tc>
          <w:tcPr>
            <w:tcW w:w="20" w:type="dxa"/>
            <w:vAlign w:val="bottom"/>
          </w:tcPr>
          <w:p>
            <w:pPr>
              <w:spacing w:after="0"/>
              <w:rPr>
                <w:sz w:val="16"/>
                <w:szCs w:val="16"/>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exchangeable notes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307,172</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71,792</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378,964</w:t>
            </w:r>
          </w:p>
        </w:tc>
        <w:tc>
          <w:tcPr>
            <w:tcW w:w="20" w:type="dxa"/>
            <w:vAlign w:val="bottom"/>
          </w:tcPr>
          <w:p>
            <w:pPr>
              <w:spacing w:after="0"/>
              <w:rPr>
                <w:sz w:val="16"/>
                <w:szCs w:val="16"/>
                <w:color w:val="auto"/>
              </w:rPr>
            </w:pPr>
          </w:p>
        </w:tc>
      </w:tr>
      <w:tr>
        <w:trPr>
          <w:trHeight w:val="166"/>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Receipt of refundable deposits in connection with the issuance of</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8"/>
        </w:trPr>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Series A Preferred Shares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28,945</w:t>
            </w:r>
          </w:p>
        </w:tc>
        <w:tc>
          <w:tcPr>
            <w:tcW w:w="20" w:type="dxa"/>
            <w:vAlign w:val="bottom"/>
          </w:tcPr>
          <w:p>
            <w:pPr>
              <w:spacing w:after="0"/>
              <w:rPr>
                <w:sz w:val="16"/>
                <w:szCs w:val="16"/>
                <w:color w:val="auto"/>
              </w:rPr>
            </w:pPr>
          </w:p>
        </w:tc>
      </w:tr>
      <w:tr>
        <w:trPr>
          <w:trHeight w:val="17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 of refundable deposits in connection with the issuance of</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8"/>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A Preferred Shares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(28,628)</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(28,628)</w:t>
            </w:r>
          </w:p>
        </w:tc>
        <w:tc>
          <w:tcPr>
            <w:tcW w:w="20" w:type="dxa"/>
            <w:vAlign w:val="bottom"/>
          </w:tcPr>
          <w:p>
            <w:pPr>
              <w:spacing w:after="0"/>
              <w:rPr>
                <w:sz w:val="17"/>
                <w:szCs w:val="17"/>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Consideration payment in connection with reorganization</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(50,794)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(50,794)</w:t>
            </w:r>
          </w:p>
        </w:tc>
        <w:tc>
          <w:tcPr>
            <w:tcW w:w="20" w:type="dxa"/>
            <w:vAlign w:val="bottom"/>
          </w:tcPr>
          <w:p>
            <w:pPr>
              <w:spacing w:after="0"/>
              <w:rPr>
                <w:sz w:val="16"/>
                <w:szCs w:val="16"/>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contribution by noncontrolling interests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0" w:type="dxa"/>
            <w:vAlign w:val="bottom"/>
          </w:tcPr>
          <w:p>
            <w:pPr>
              <w:spacing w:after="0"/>
              <w:rPr>
                <w:sz w:val="16"/>
                <w:szCs w:val="16"/>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Repayment of loans from a related party</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(9,844)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(9,844)</w:t>
            </w:r>
          </w:p>
        </w:tc>
        <w:tc>
          <w:tcPr>
            <w:tcW w:w="20" w:type="dxa"/>
            <w:vAlign w:val="bottom"/>
          </w:tcPr>
          <w:p>
            <w:pPr>
              <w:spacing w:after="0"/>
              <w:rPr>
                <w:sz w:val="16"/>
                <w:szCs w:val="16"/>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bank loans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28,170</w:t>
            </w:r>
          </w:p>
        </w:tc>
        <w:tc>
          <w:tcPr>
            <w:tcW w:w="20" w:type="dxa"/>
            <w:vAlign w:val="bottom"/>
          </w:tcPr>
          <w:p>
            <w:pPr>
              <w:spacing w:after="0"/>
              <w:rPr>
                <w:sz w:val="16"/>
                <w:szCs w:val="16"/>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loans borrowed from intercompanies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55,478</w:t>
            </w:r>
          </w:p>
        </w:tc>
        <w:tc>
          <w:tcPr>
            <w:tcW w:w="160" w:type="dxa"/>
            <w:vAlign w:val="bottom"/>
          </w:tcPr>
          <w:p>
            <w:pPr>
              <w:spacing w:after="0"/>
              <w:rPr>
                <w:sz w:val="16"/>
                <w:szCs w:val="16"/>
                <w:color w:val="auto"/>
              </w:rPr>
            </w:pPr>
          </w:p>
        </w:tc>
        <w:tc>
          <w:tcPr>
            <w:tcW w:w="102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rPr>
              <w:t>(55,478)</w:t>
            </w:r>
            <w:r>
              <w:rPr>
                <w:rFonts w:ascii="Times New Roman" w:cs="Times New Roman" w:eastAsia="Times New Roman" w:hAnsi="Times New Roman"/>
                <w:sz w:val="10"/>
                <w:szCs w:val="10"/>
                <w:color w:val="auto"/>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 of advances from an intercompany</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(10,611)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10,611</w:t>
            </w:r>
          </w:p>
        </w:tc>
        <w:tc>
          <w:tcPr>
            <w:tcW w:w="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Cash contributed by the respective parent companies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231,888</w:t>
            </w:r>
          </w:p>
        </w:tc>
        <w:tc>
          <w:tcPr>
            <w:tcW w:w="160" w:type="dxa"/>
            <w:vAlign w:val="bottom"/>
          </w:tcPr>
          <w:p>
            <w:pPr>
              <w:spacing w:after="0"/>
              <w:rPr>
                <w:sz w:val="16"/>
                <w:szCs w:val="16"/>
                <w:color w:val="auto"/>
              </w:rPr>
            </w:pPr>
          </w:p>
        </w:tc>
        <w:tc>
          <w:tcPr>
            <w:tcW w:w="102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rPr>
              <w:t>(231,888)</w:t>
            </w:r>
            <w:r>
              <w:rPr>
                <w:rFonts w:ascii="Times New Roman" w:cs="Times New Roman" w:eastAsia="Times New Roman" w:hAnsi="Times New Roman"/>
                <w:sz w:val="10"/>
                <w:szCs w:val="10"/>
                <w:color w:val="auto"/>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392,053</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250,059</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137,876</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254,898</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(276,755)</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758,131</w:t>
            </w:r>
          </w:p>
        </w:tc>
        <w:tc>
          <w:tcPr>
            <w:tcW w:w="20" w:type="dxa"/>
            <w:vAlign w:val="bottom"/>
          </w:tcPr>
          <w:p>
            <w:pPr>
              <w:spacing w:after="0"/>
              <w:rPr>
                <w:sz w:val="16"/>
                <w:szCs w:val="16"/>
                <w:color w:val="auto"/>
              </w:rPr>
            </w:pPr>
          </w:p>
        </w:tc>
      </w:tr>
      <w:tr>
        <w:trPr>
          <w:trHeight w:val="182"/>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restricted cash</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(10,161)</w:t>
            </w:r>
          </w:p>
        </w:tc>
        <w:tc>
          <w:tcPr>
            <w:tcW w:w="16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(15,900)</w:t>
            </w:r>
          </w:p>
        </w:tc>
        <w:tc>
          <w:tcPr>
            <w:tcW w:w="16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(6,148)</w:t>
            </w:r>
          </w:p>
        </w:tc>
        <w:tc>
          <w:tcPr>
            <w:tcW w:w="16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(49,217)</w:t>
            </w:r>
          </w:p>
        </w:tc>
        <w:tc>
          <w:tcPr>
            <w:tcW w:w="20" w:type="dxa"/>
            <w:vAlign w:val="bottom"/>
          </w:tcPr>
          <w:p>
            <w:pPr>
              <w:spacing w:after="0"/>
              <w:rPr>
                <w:sz w:val="15"/>
                <w:szCs w:val="15"/>
                <w:color w:val="auto"/>
              </w:rPr>
            </w:pPr>
          </w:p>
        </w:tc>
      </w:tr>
      <w:tr>
        <w:trPr>
          <w:trHeight w:val="183"/>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increase (decrease) in cash and restricted cash</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271,358</w:t>
            </w:r>
          </w:p>
        </w:tc>
        <w:tc>
          <w:tcPr>
            <w:tcW w:w="16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(157,358)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107,477</w:t>
            </w:r>
          </w:p>
        </w:tc>
        <w:tc>
          <w:tcPr>
            <w:tcW w:w="16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(13,396)</w:t>
            </w:r>
          </w:p>
        </w:tc>
        <w:tc>
          <w:tcPr>
            <w:tcW w:w="16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208,081</w:t>
            </w:r>
          </w:p>
        </w:tc>
        <w:tc>
          <w:tcPr>
            <w:tcW w:w="20" w:type="dxa"/>
            <w:vAlign w:val="bottom"/>
          </w:tcPr>
          <w:p>
            <w:pPr>
              <w:spacing w:after="0"/>
              <w:rPr>
                <w:sz w:val="15"/>
                <w:szCs w:val="15"/>
                <w:color w:val="auto"/>
              </w:rPr>
            </w:pPr>
          </w:p>
        </w:tc>
      </w:tr>
      <w:tr>
        <w:trPr>
          <w:trHeight w:val="182"/>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restricted cash at the beginning of the year</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81,749</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308,350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49,094</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92,259</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531,452</w:t>
            </w:r>
          </w:p>
        </w:tc>
        <w:tc>
          <w:tcPr>
            <w:tcW w:w="20" w:type="dxa"/>
            <w:vAlign w:val="bottom"/>
          </w:tcPr>
          <w:p>
            <w:pPr>
              <w:spacing w:after="0"/>
              <w:rPr>
                <w:sz w:val="15"/>
                <w:szCs w:val="15"/>
                <w:color w:val="auto"/>
              </w:rPr>
            </w:pPr>
          </w:p>
        </w:tc>
      </w:tr>
      <w:tr>
        <w:trPr>
          <w:trHeight w:val="183"/>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restricted cash at the end of the year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353,107</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150,992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156,571</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78,863</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739,533</w:t>
            </w:r>
          </w:p>
        </w:tc>
        <w:tc>
          <w:tcPr>
            <w:tcW w:w="20" w:type="dxa"/>
            <w:vAlign w:val="bottom"/>
          </w:tcPr>
          <w:p>
            <w:pPr>
              <w:spacing w:after="0"/>
              <w:rPr>
                <w:sz w:val="15"/>
                <w:szCs w:val="15"/>
                <w:color w:val="auto"/>
              </w:rPr>
            </w:pPr>
          </w:p>
        </w:tc>
      </w:tr>
      <w:tr>
        <w:trPr>
          <w:trHeight w:val="20"/>
        </w:trPr>
        <w:tc>
          <w:tcPr>
            <w:tcW w:w="4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76"/>
        </w:trPr>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2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The former</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2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Lotus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VIE</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2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and its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5"/>
        </w:trPr>
        <w:tc>
          <w:tcPr>
            <w:tcW w:w="2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88"/>
        </w:trPr>
        <w:tc>
          <w:tcPr>
            <w:tcW w:w="4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r>
      <w:tr>
        <w:trPr>
          <w:trHeight w:val="189"/>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(997)</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(77,377)</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(7,993)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(40,138)</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(126,505)</w:t>
            </w:r>
          </w:p>
        </w:tc>
      </w:tr>
      <w:tr>
        <w:trPr>
          <w:trHeight w:val="18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66"/>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Payments for purchases of property, equipment and software and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(13,845)</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(20,745)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(34,590)</w:t>
            </w:r>
          </w:p>
        </w:tc>
      </w:tr>
      <w:tr>
        <w:trPr>
          <w:trHeight w:val="19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disposal of property, equipment and software</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Receipt of government grant related to assets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279,052</w:t>
            </w:r>
          </w:p>
        </w:tc>
      </w:tr>
      <w:tr>
        <w:trPr>
          <w:trHeight w:val="19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Advances to an intercompany</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(11,055)</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11,055</w:t>
            </w:r>
          </w:p>
        </w:tc>
        <w:tc>
          <w:tcPr>
            <w:tcW w:w="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contribution to consolidated entities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(108,898)</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108,898</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145,268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(20,745)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119,953</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244,476</w:t>
            </w:r>
          </w:p>
        </w:tc>
      </w:tr>
      <w:tr>
        <w:trPr>
          <w:trHeight w:val="173"/>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19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ordinary shares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58,631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100,690</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38,597</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197,918</w:t>
            </w:r>
          </w:p>
        </w:tc>
      </w:tr>
      <w:tr>
        <w:trPr>
          <w:trHeight w:val="18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Proceeds from issuance of convertible notes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23,445</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23,445</w:t>
            </w:r>
          </w:p>
        </w:tc>
      </w:tr>
      <w:tr>
        <w:trPr>
          <w:trHeight w:val="19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exchangeable notes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125,039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125,039</w:t>
            </w:r>
          </w:p>
        </w:tc>
      </w:tr>
      <w:tr>
        <w:trPr>
          <w:trHeight w:val="166"/>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Proceeds from issuance of mandatorily redeemable noncontrolling</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6,299</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6,299</w:t>
            </w:r>
          </w:p>
        </w:tc>
      </w:tr>
      <w:tr>
        <w:trPr>
          <w:trHeight w:val="19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contribution from shareholders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15,695</w:t>
            </w:r>
          </w:p>
        </w:tc>
      </w:tr>
      <w:tr>
        <w:trPr>
          <w:trHeight w:val="18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Dividends paid to a shareholder</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(1,880)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w:t>
            </w:r>
          </w:p>
        </w:tc>
      </w:tr>
      <w:tr>
        <w:trPr>
          <w:trHeight w:val="19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Consideration payment in connection with reorganization</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(1,663)</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w:t>
            </w:r>
          </w:p>
        </w:tc>
      </w:tr>
      <w:tr>
        <w:trPr>
          <w:trHeight w:val="18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Proceeds from advances from an intercompany</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11,055</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rPr>
              <w:t>(11,055)</w:t>
            </w:r>
            <w:r>
              <w:rPr>
                <w:rFonts w:ascii="Times New Roman" w:cs="Times New Roman" w:eastAsia="Times New Roman" w:hAnsi="Times New Roman"/>
                <w:sz w:val="10"/>
                <w:szCs w:val="10"/>
                <w:color w:val="auto"/>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contributed by the respective parent company</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108,898</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(108,898)</w:t>
            </w:r>
            <w:r>
              <w:rPr>
                <w:rFonts w:ascii="Times New Roman" w:cs="Times New Roman" w:eastAsia="Times New Roman" w:hAnsi="Times New Roman"/>
                <w:sz w:val="10"/>
                <w:szCs w:val="10"/>
                <w:color w:val="auto"/>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82,076</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239,761</w:t>
            </w:r>
          </w:p>
        </w:tc>
        <w:tc>
          <w:tcPr>
            <w:tcW w:w="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55,951</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107,018</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(119,953)</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364,853</w:t>
            </w:r>
          </w:p>
        </w:tc>
      </w:tr>
      <w:tr>
        <w:trPr>
          <w:trHeight w:val="183"/>
        </w:trPr>
        <w:tc>
          <w:tcPr>
            <w:tcW w:w="4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w:t>
            </w:r>
          </w:p>
        </w:tc>
      </w:tr>
      <w:tr>
        <w:trPr>
          <w:trHeight w:val="183"/>
        </w:trPr>
        <w:tc>
          <w:tcPr>
            <w:tcW w:w="4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increase in cash and restricted cash</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81,749</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308,350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49,094</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46,574</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485,767</w:t>
            </w:r>
          </w:p>
        </w:tc>
      </w:tr>
      <w:tr>
        <w:trPr>
          <w:trHeight w:val="183"/>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restricted cash at the beginning of the year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45,685</w:t>
            </w:r>
          </w:p>
        </w:tc>
        <w:tc>
          <w:tcPr>
            <w:tcW w:w="16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45,685</w:t>
            </w:r>
          </w:p>
        </w:tc>
      </w:tr>
      <w:tr>
        <w:trPr>
          <w:trHeight w:val="183"/>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and restricted cash at the end of the year</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81,749</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308,350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49,094</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92,259</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531,452</w:t>
            </w:r>
          </w:p>
        </w:tc>
      </w:tr>
      <w:tr>
        <w:trPr>
          <w:trHeight w:val="20"/>
        </w:trPr>
        <w:tc>
          <w:tcPr>
            <w:tcW w:w="2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1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1" w:lineRule="exact"/>
        <w:rPr>
          <w:sz w:val="20"/>
          <w:szCs w:val="20"/>
          <w:color w:val="auto"/>
        </w:rPr>
      </w:pPr>
    </w:p>
    <w:p>
      <w:pPr>
        <w:jc w:val="both"/>
        <w:ind w:left="340" w:hanging="332"/>
        <w:spacing w:after="0" w:line="268" w:lineRule="auto"/>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For the year ended December 31, 2022, Lotus Technology Inc. provided loans in the amount of US$5.9 million to its subsidiary, Lotus Tech UK, and the WFOE provided loans in the amount of US$49.6 million to its subsidiary, Wuhan Lotus Cars. For the year ended December 31, 2023, Lotus Technology Inc. provided loans in the amount of US$231.6 million to its subsidiaries, the WFOE provided loans in the amount of US$316.7 million to its subsidiaries and the other subsidiaries provided loans in the amount of US$180.5 million to WFOE. These transactions were eliminated upon consolidation</w:t>
      </w:r>
      <w:r>
        <w:rPr>
          <w:rFonts w:ascii="Times New Roman" w:cs="Times New Roman" w:eastAsia="Times New Roman" w:hAnsi="Times New Roman"/>
          <w:sz w:val="14"/>
          <w:szCs w:val="14"/>
          <w:color w:val="000000"/>
        </w:rPr>
        <w:t>.</w:t>
      </w:r>
    </w:p>
    <w:p>
      <w:pPr>
        <w:spacing w:after="0" w:line="185" w:lineRule="exact"/>
        <w:rPr>
          <w:rFonts w:ascii="Times New Roman" w:cs="Times New Roman" w:eastAsia="Times New Roman" w:hAnsi="Times New Roman"/>
          <w:sz w:val="14"/>
          <w:szCs w:val="14"/>
          <w:color w:val="auto"/>
        </w:rPr>
      </w:pPr>
    </w:p>
    <w:p>
      <w:pPr>
        <w:ind w:left="340" w:right="20" w:hanging="332"/>
        <w:spacing w:after="0" w:line="282" w:lineRule="auto"/>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2022, the WFOE collected the advances of US$10.6 million from the former VIE. These transactions were eliminated upon consolidation.</w:t>
      </w:r>
    </w:p>
    <w:p>
      <w:pPr>
        <w:spacing w:after="0" w:line="175" w:lineRule="exact"/>
        <w:rPr>
          <w:rFonts w:ascii="Times New Roman" w:cs="Times New Roman" w:eastAsia="Times New Roman" w:hAnsi="Times New Roman"/>
          <w:sz w:val="14"/>
          <w:szCs w:val="14"/>
          <w:color w:val="auto"/>
        </w:rPr>
      </w:pPr>
    </w:p>
    <w:p>
      <w:pPr>
        <w:jc w:val="both"/>
        <w:ind w:left="340" w:hanging="332"/>
        <w:spacing w:after="0" w:line="261" w:lineRule="auto"/>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For the year ended December 31, 2021, the WFOE made capital contribution of US$108.9 million to its consolidated entities. For the year ended December 31, 2022, Lotus Technology Inc. made capital contribution of US$94.7 million to its consolidated entities, and the WFOE made capital contribution of US$137.2 million to its consolidated entities. For the year ended December 31, 2023, Lotus Technology Inc. made capital contribution of US$302.3 million to its consolidated entities, the WFOE made capital contribution of US$22.3 million to its consolidated entities, and the other subsidiaries made capital contribution of US$89.4 million to its consolidated entities. The cash transfer were eliminated upon consolidation</w:t>
      </w:r>
      <w:r>
        <w:rPr>
          <w:rFonts w:ascii="Times New Roman" w:cs="Times New Roman" w:eastAsia="Times New Roman" w:hAnsi="Times New Roman"/>
          <w:sz w:val="14"/>
          <w:szCs w:val="14"/>
          <w:color w:val="000000"/>
        </w:rPr>
        <w:t>.</w:t>
      </w:r>
    </w:p>
    <w:p>
      <w:pPr>
        <w:spacing w:after="0" w:line="191" w:lineRule="exact"/>
        <w:rPr>
          <w:rFonts w:ascii="Times New Roman" w:cs="Times New Roman" w:eastAsia="Times New Roman" w:hAnsi="Times New Roman"/>
          <w:sz w:val="14"/>
          <w:szCs w:val="14"/>
          <w:color w:val="auto"/>
        </w:rPr>
      </w:pPr>
    </w:p>
    <w:p>
      <w:pPr>
        <w:jc w:val="both"/>
        <w:ind w:left="340" w:hanging="332"/>
        <w:spacing w:after="0" w:line="271" w:lineRule="auto"/>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For the year ended December 31, 2023, the other subsidiaries repaid loans borrowed from Lotus Technology Inc. and the WFOE in the amounts of US$186.1 million and US$150.9 million, respectively, and the WFOE repaid loans borrowed from the other subsidiaries in the amounts of US$71.8 million. These transactions were eliminated upon consolidation</w:t>
      </w:r>
      <w:r>
        <w:rPr>
          <w:rFonts w:ascii="Times New Roman" w:cs="Times New Roman" w:eastAsia="Times New Roman" w:hAnsi="Times New Roman"/>
          <w:sz w:val="14"/>
          <w:szCs w:val="14"/>
          <w:color w:val="000000"/>
        </w:rPr>
        <w:t>.</w:t>
      </w:r>
    </w:p>
    <w:p>
      <w:pPr>
        <w:spacing w:after="0" w:line="183" w:lineRule="exact"/>
        <w:rPr>
          <w:rFonts w:ascii="Times New Roman" w:cs="Times New Roman" w:eastAsia="Times New Roman" w:hAnsi="Times New Roman"/>
          <w:sz w:val="14"/>
          <w:szCs w:val="14"/>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we have implemented the Restructuring. In connection with the Restructuring, the WFOE paid US$32.7 million to acquire 100% equity interest in subsidiaries of the former VIE, and the former VIE transferred all of its cash of US$158.5 million to a subsidiary of the WFOE.</w:t>
      </w:r>
    </w:p>
    <w:p>
      <w:pPr>
        <w:spacing w:after="0" w:line="176"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right="7100" w:hanging="652"/>
        <w:spacing w:after="0" w:line="537" w:lineRule="auto"/>
        <w:tabs>
          <w:tab w:leader="none" w:pos="33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Capitalization and Indebtedness </w:t>
      </w: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513" w:right="99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right="6340" w:hanging="652"/>
        <w:spacing w:after="0" w:line="500" w:lineRule="auto"/>
        <w:tabs>
          <w:tab w:leader="none" w:pos="336"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w:t>
      </w:r>
    </w:p>
    <w:p>
      <w:pPr>
        <w:spacing w:after="0" w:line="229" w:lineRule="exact"/>
        <w:rPr>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automotive market is highly competitive, and we may not be successful in competing in this industry.</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variety of arrangements with Geely Holding, such as agreements related to research and development, procurement, manufacturing, engineering, and IT and human resource related supporting service, could subject us to risks.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continuing to maintain and strengthen our brand, and our brand and reputation could be harmed by negative publicity with respect to us, our directors, officers, employees, shareholders, peers, business partners, or our industry in general.</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our ability to develop, manufacture, and deliver automobiles of high quality and appeal to customers, on schedule, and on a large scale is unproven and still evolving.</w:t>
      </w:r>
    </w:p>
    <w:p>
      <w:pPr>
        <w:spacing w:after="0" w:line="161"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been profitable and had negative net cash flows from operations. If we do not effectively manage our cash and other liquid financial assets, execute our plan to increase profitability and obtain additional financing, we may not be able to continue as a going concern.</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a limited number of orders for our vehicles, some of which may be cancelled by customers despite their deposit payment and online confirmation.</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on revenues generated from a limited number of vehicle models.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Doing Business in China</w:t>
      </w:r>
    </w:p>
    <w:p>
      <w:pPr>
        <w:spacing w:after="0" w:line="229" w:lineRule="exact"/>
        <w:rPr>
          <w:sz w:val="20"/>
          <w:szCs w:val="20"/>
          <w:color w:val="auto"/>
        </w:rPr>
      </w:pPr>
    </w:p>
    <w:p>
      <w:pPr>
        <w:ind w:left="1000" w:right="2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the PRC government’s complex regulatory requirements on and significant oversight over our business operation could result in a material adverse change in our operations and the value of our securities.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complexity, uncertainties and changes in regulations of mainland China on automotive as well as internet-related businesses and companies.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and/or filing with CSRC or other PRC government authorities may be required in connection with our offshore offerings under PRC law, and, if required, we cannot predict whether or for how long we will be able to obtain such approval or complete such filing.</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securities may be prohibited from trading in the U.S. under the HFCAA if the PCAOB is unable to inspect or investigate completely auditors located in China. The delisting of our securities, or the threat of their being delisted, may materially and adversely affect the value of your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Intellectual Property and Legal Proceedings</w:t>
      </w:r>
    </w:p>
    <w:p>
      <w:pPr>
        <w:spacing w:after="0" w:line="229" w:lineRule="exact"/>
        <w:rPr>
          <w:sz w:val="20"/>
          <w:szCs w:val="20"/>
          <w:color w:val="auto"/>
        </w:rPr>
      </w:pPr>
    </w:p>
    <w:p>
      <w:pPr>
        <w:ind w:left="100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defend ourselves against intellectual property right infringement, misappropriation, or other claims, which may be time-consuming and would cause us to incur substantial costs.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prevent others from unauthorized use of our intellectual property, which could harm our business and competitive position.</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 which could materially and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Securities</w:t>
      </w:r>
    </w:p>
    <w:p>
      <w:pPr>
        <w:spacing w:after="0" w:line="229" w:lineRule="exact"/>
        <w:rPr>
          <w:sz w:val="20"/>
          <w:szCs w:val="20"/>
          <w:color w:val="auto"/>
        </w:rPr>
      </w:pPr>
    </w:p>
    <w:p>
      <w:pPr>
        <w:ind w:left="1000" w:hanging="317"/>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publish inaccurate or unfavorable research or cease publishing research about us, the price for our ADSs and the trading volume could decline significantly.</w:t>
      </w:r>
    </w:p>
    <w:p>
      <w:pPr>
        <w:spacing w:after="0" w:line="189"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Resales of our securities by our securityholders may cause the market price of the our securities to drop significantly, even if our business is doing well.</w:t>
      </w:r>
    </w:p>
    <w:p>
      <w:pPr>
        <w:spacing w:after="0" w:line="189" w:lineRule="exact"/>
        <w:rPr>
          <w:rFonts w:ascii="Times New Roman" w:cs="Times New Roman" w:eastAsia="Times New Roman" w:hAnsi="Times New Roman"/>
          <w:sz w:val="18"/>
          <w:szCs w:val="18"/>
          <w:color w:val="auto"/>
        </w:rPr>
      </w:pPr>
    </w:p>
    <w:p>
      <w:pPr>
        <w:ind w:left="1000" w:right="20" w:hanging="317"/>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prices of our ADSs and Warrants may be volatile and a market for our ADSs may not develop, which would adversely affect the liquidity and price of our ADSs.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automotive market is highly competitive, and we may not be successful in competing in this industry.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global automotive market is highly competitive and has historically been associated with significant barriers to entry, including large capital requirements for and investment costs of developing,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We have strategically entered into the sustainable luxury BEV market, and we face a variety of added challenges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and the need to establish or provide access to sufficient charging locations and unproven high-volume customer demand for fully electric vehicles. We expect the sustainable luxury BEV market segment to become even more competitive in the future as additional players enter into this segment. We compete with competitors all around the world. Our vehicles also compete with ICE vehicles as well as new energy vehicles.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of our current and potential competitors, particularly international competitors, have significantly greater financial, technical, manufacturing, marketing, and other resources than we do and may be able to devote greater resources to the design, development, manufacturing, distribution, promotion, sale, and support of their products.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expect competition in our industry to intensify in the future in light of increased demand and regulatory push for alternative fuel vehicles, continuing globalization and consolidation in the worldwide automotive industry. Factors affecting competition include, among others, local protectionism, brand recognition product quality and performance, technological innovation, product design and styling, pricing, safety, and customer service. Increased competition may lead to lower vehicle unit sales and increased inventory, which may adversely affect our business, financial condition, operating results, and prospects. Our ability to successfully overcome the industry barriers of and compete in our market will be fundamental to our future success in existing and new markets and our market share. There can be no assurance that we will be able to successfully overcome the industry barriers of and compete in our markets. If our competitors introduce new cars or services that successfully compete with or surpass the quality or performance of our cars or services at more competitive prices, we may be unable to satisfy existing customers or attract new customers at such prices and levels and our business, financial condition, results of operations, and prospects will be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a variety of arrangements with Geely Holding, such as agreements related to research and development, procurement, manufacturing, engineering, and IT and human resource related supporting service, could subject us to risks.</w:t>
      </w:r>
    </w:p>
    <w:p>
      <w:pPr>
        <w:spacing w:after="0" w:line="1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a variety of agreements, such as agreements related to research and development, procurement, manufacturing, engineering, and IT and human resource related supporting service with our strategic partner, Geely Holding. Our reliance on these agreements subjects us to a number of significant risks, including the risk of being unable to operate as a standalone business, launch new vehicles, reach our development and production targets or focus our efforts on core areas of differentiation.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Of particular importance for our operations are the related party agreements with Geely Holding and its affiliate entities. These related party agreements include the Technology License Agreement, the Manufacture Cooperation Agreement, and the Supply of Framework Agreement, amongst other areas. These agreements are described in more detail in this annual report under “Certain Relationships and Related Person Transactions—Related Party Transactions.” These partnerships permit us to benefit from Geely Holding’s decades of experience investing in established auto-manufacturers while focusing our efforts on core areas of differentiation, such as design, research and development, performance, and rapid adoption of the latest technologies and sustainability solutions. We intend to continue to rely on our partnership with Geely Holding as part of our strategy.</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Collaboration with Geely Holding for research and development, procurement, manufacturing, and engineering is subject to risks with respect to operations that are outside of our control. We currently rely and expect to continue to rely on Geely Holding, in terms of research and development, procurement, manufacturing, and engineering with regard to our vehicles. We cannot provide any assurance as to whether Geely Holding will be able to develop efficient, automated, low-cost production capabilities and processes, and reliable sources of component supply that will enable us to meet the quality, price, engineering, design, and production standards, as well as the production volumes, required to successfully commercialize our vehicles. Even if Geely Holding is successful in developing high volume production capabilities and processes and reliably source its component supplies, no assurance can be given as to whether it will be able to do so in a manner that avoids significant delays and cost overruns, including as a result of factors beyond its and our control, such as problems with suppliers and vendors, or force majeure events, or in time to meet our commercialization schedules or to satisfy the requirements of existing and potential customers. Any failure to develop such production processes and capabilities within our projected costs and timelines could have a material and adverse effect on our business, results of operations, financial condition and prospects. There is risk of potential disputes with Geely Holding, and we could be affected by adverse publicity related to Geely Holding whether or not such publicity is related to their collaboration with us. Our ability to successfully build a luxury lifestyle vehicle brand could also be adversely affected by perceptions about the quality of Geely Holding’s vehicles. In addition, although we are involved in each step of the supply chain and manufacturing process, given that we also rely on Geely Holding to meet our quality standards, there can be no assurance that we will successfully maintain quality standards.</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we are unable to maintain collaboration and partnership with Geely Holding, we may be unable to enter into new agreements with new third-party manufacturing partners on terms and conditions acceptable to us or at all, our ability to operate as a standalone business, produce vehicles, reach our development and production targets or focus our efforts on core areas of differentiation could be materially and adversely affected. Besides, we generated a portion of revenue from automotive design and development services provided to Geely Holding. If we are unable to maintain collaboration with Geely Holding, our financial performance would be directly and adversely affected. There can be no assurance that in such event we would be able to partner with other third parties to meet our needs on acceptable terms or at all. The expense and time required to complete any transition, and to assure that vehicles manufactured at facilities of new third party partners comply with our quality standards and regulatory requirements, may be greater than anticipated. Any of the foregoing could adversely affect our business, results of operations, financial condition, and prospects.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our supply chain efficiency also relies heavily on Geely Holding, largely attributable to its bargaining power derived from its volume and reputation. Failure to maintain agreements or partnership with Geely Holding could adversely affect our relationships with suppliers and there is no assurance that in such event we would be able to maintain relationships with current suppliers or to secure new suppliers to meet our needs on comparable and acceptable terms. If neither we nor Geely Holding enters into longer-term supplier agreements with guaranteed pricing for our parts or components, we may be exposed to fluctuations in prices of components, materials and equipment. For more details, see “—Risks Relating to Our Business and Industry—We are dependent on our suppliers, many of whom are our single source suppliers for the components they supply” and “—Risks Relating to Our Business and Industry—We could experience cost increases or disruptions in supply of raw materials or other components used in our vehicles.”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continuing to maintain and strengthen our brand, and our brand and reputation could be harmed by negative publicity with respect to us, our directors, officers, employees, shareholders, peers, business partners, or our industry in general.</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business and prospects will heavily depend on our ability to maintain and strengthen the “Lotus” brand associated with design, sustainability, and technological excellence. We obtained licenses from Group Lotus Limited to use the trademarks in the “Lotus” brand on lifestyle vehicles, parts and components. There is no assurance that our vehicles will maintain and strengthen a reputation comparable to that of Lotus’ sports vehicle segment. If we fail to do so we may lose the opportunity to build a critical mass of customers. Promoting and positioning our brand will likely depend significantly on our ability to provide high quality vehicles and services and engage with our customers as intended, and we have limited experience in these areas. In addition, we expect that our ability to develop, maintain, and strengthen the brand will depend heavily on the success of our branding efforts. We market our brand through media, word-of-mouth, events, and advertising. Such efforts may not achieve the desired results. If we do not maintain and strengthen a strong brand, our business, financial condition, results of operations, and prospects will be materially and adversely affected.</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trademark licenses granted to us to use the “Lotus” brand are on a royalty-free and worldwide basis and are for use of the trademarks (i) exclusively (subject to any existing licenses already granted) for lifestyle vehicles and parts and components in relation thereto that we design, develop, manufacture, assemble, distribute and sell; (ii) non-exclusively for our business of providing related after-sale services for the lifestyle vehicles; (iii) non-exclusively on related products (excluding anything relating to sports cars); and</w:t>
      </w:r>
    </w:p>
    <w:p>
      <w:pPr>
        <w:spacing w:after="0" w:line="3" w:lineRule="exact"/>
        <w:rPr>
          <w:sz w:val="20"/>
          <w:szCs w:val="20"/>
          <w:color w:val="auto"/>
        </w:rPr>
      </w:pPr>
    </w:p>
    <w:p>
      <w:pPr>
        <w:jc w:val="both"/>
        <w:ind w:firstLine="8"/>
        <w:spacing w:after="0" w:line="249"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occasions in relation to the business as duly approved by its board (excluding anything relating to sports cars). Due to certain of the licenses being non-exclusive, third parties may also be able to use the trademarks in the “Lotus” brand for similar purposes. The trademark licenses will terminate upon (1) a material breach of any terms of the license agreement of any party and non-remedy of such breach within 30 days after being notified in writing of the breach; (2) a takeover, liquidation, or arrangement with a party’s creditors or a party ceasing or threatening to cease to carry on its business; (3) a loss of power of the licensor’s majority shareholders as a whole to directly or indirectly instruct and control the management of the licensor; or (4) our material breach of any terms of the shareholders’ agreement and non-remedy of such breach within 30 days after being notified in writing of the breach.</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we are not the owners of the trademarks in the “Lotus” brand, we depend on the ability of Group Lotus Limited to obtain, maintain and enforce such trademarks in the “Lotus” brand. While we are able to request that Group Lotus Limited file additional, similar trademark applications to those that are currently licensed, Group Lotus Limited may determine not to pursue such applications. Furthermore, Group Lotus Limited may determine not to adequately protect or pursue litigation against other companies or may pursue such litigation less aggressively than we would. Additionally, Group Lotus Limited may allege that we have breached our license agreement with them, and accordingly seek to terminate the license, which could adversely affect our competitive business position and harm our business prospects.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Licensing of trademarks involves complex legal and business issues. Disputes may arise regarding trademarks subject to such licensing agreement, including (i) the scope of rights granted under such license agreement and other interpretation-related issues; and</w:t>
      </w:r>
    </w:p>
    <w:p>
      <w:pPr>
        <w:jc w:val="both"/>
        <w:ind w:firstLine="8"/>
        <w:spacing w:after="0" w:line="253" w:lineRule="auto"/>
        <w:tabs>
          <w:tab w:leader="none" w:pos="30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 If disputes over trademarks that we have or may in the future license prevent or impair our ability to maintain our current or future licensing arrangements on acceptable terms, we may be unable to successfully commercialize the affected products. We are generally also subject to all of the same risks with respect to protection of trademarks that we may license as we are for trademarks that we own. If we or any of our current or future licensors fail to adequately protect these trademarks, our ability to commercialize our products could suffer.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Our reputation and brand are vulnerable to many threats that can be difficult or impossible to predict, control, and costly or impossible to remediate. For example, from time to time, our vehicles are reviewed by media or other third parties. Any negative reviews or reviews that compare us unfavorably to competitors could adversely affect consumer perception about our vehicles. Negative publicity about us, such as alleged misconduct, unethical business practices, or other improper activities, or rumors relating to our business, directors, officers, employees, or shareholders, can harm our reputation, business, and results of operations, even if they are baseless or satisfactorily addressed. Such allegations, even if unproven or meritless, may lead to inquiries, investigations, or other legal or administrative actions against us by regulatory or government authorities as well as private parties. Any regulatory inquiries or investigations and lawsuits against us, perceptions of inappropriate business conduct by us or perceived wrongdoing by any member of our management team, among other things, could substantially damage our reputation, and cause us to incur significant costs to defend ourselves. Any negative market perception or publicity regarding our suppliers or other business partners that we closely cooperate with, or any regulatory inquiries or investigations and lawsuits initiated against them, may also have an impact on our brand and reputation, or subject us to regulatory inquiries or investigations or lawsuits. Moreover, any negative media publicity about the auto industry, especially the EV industry, or product or service quality problems of other automakers in the industry in which we operate, including our competitors, may also negatively impact our reputation and brand. In particular, given the popularity of social media, any negative publicity, whether true or not, such as road accidents, vehicle self-ignition, or other perceived or actual safety issues, could quickly proliferate and harm customer perceptions of, and confidence in, our brand. Perceived or actual concerns about battery deterioration that are often associated with EVs could also negatively impact customer confidence in BEVs in general and our vehicles in particular. If we are unable to maintain and strengthen our reputation or further strengthen our brand recognition, our ability to attract and retain customers, third-party partners, and key employees could be harmed and, as a result, our business, financial position, and results of operations could be materially and adversely affected.</w:t>
      </w:r>
    </w:p>
    <w:p>
      <w:pPr>
        <w:spacing w:after="0" w:line="1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our ability to develop, manufacture, and deliver automobiles of high quality and appeal to customers, on schedule, and on a large scale is unproven and still evolving.</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EV business was founded in 2018. Our first vehicle model, Eletre, was launched in 2022. There is limited historical basis for making judgments on the demand for our vehicles or our ability to develop, manufacture, and deliver vehicles, or our profitability in the future. It is difficult to predict our future revenues and appropriately budget for our expenses, and we may have limited insight into trends that may emerge and affect our business.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sustainability of our business depends, in large part, on our ability to timely execute our plan to develop, manufacture, and deliver on a large scale automobiles of high quality and appeal to customers. We have entered into an agreement with Geely Holding to manufacture our new BEV lifestyle models for the global market using the Wuhan manufacturing facility. We expect the Wuhan manufacturing facility will continue </w:t>
      </w:r>
      <w:r>
        <w:rPr>
          <w:rFonts w:ascii="Times New Roman" w:cs="Times New Roman" w:eastAsia="Times New Roman" w:hAnsi="Times New Roman"/>
          <w:sz w:val="18"/>
          <w:szCs w:val="18"/>
          <w:color w:val="231F20"/>
        </w:rPr>
        <w:t>production</w:t>
      </w:r>
      <w:r>
        <w:rPr>
          <w:rFonts w:ascii="Times New Roman" w:cs="Times New Roman" w:eastAsia="Times New Roman" w:hAnsi="Times New Roman"/>
          <w:sz w:val="18"/>
          <w:szCs w:val="18"/>
          <w:color w:val="auto"/>
        </w:rPr>
        <w:t xml:space="preserve"> and, with additional investment in necessary tooling and fixture upgrades, our planned Sedan and SUV. To date, we have limited automobile manufacturing experience, and therefore cannot assure you that we will be able to achieve our targeted production volume of commercially viable vehicles on a timely basis, or at all.</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continued development, manufacturing, and delivery of high quality automobiles to achieve our targeted production volume are and will be subject to risks, including with respect to:</w:t>
      </w:r>
    </w:p>
    <w:p>
      <w:pPr>
        <w:spacing w:after="0" w:line="162" w:lineRule="exact"/>
        <w:rPr>
          <w:sz w:val="20"/>
          <w:szCs w:val="20"/>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EV technology development;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necessary funding;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deficiencies;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adapt to changing market conditions and manage growth effectively;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incompliance with environmental, workplace safety, and regulations;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overruns.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Historically, automakers are expected to periodically introduce new and improved models to stay abreast of the market. To remain competitive, we may be required to introduce new vehicle models and perform facelifts on existing vehicle models earlier or more frequently than originally planned, which would require us to invest to a larger extent in research and development. We cannot assure you that facelifts on </w:t>
      </w:r>
      <w:r>
        <w:rPr>
          <w:rFonts w:ascii="Times New Roman" w:cs="Times New Roman" w:eastAsia="Times New Roman" w:hAnsi="Times New Roman"/>
          <w:sz w:val="18"/>
          <w:szCs w:val="18"/>
          <w:color w:val="231F20"/>
        </w:rPr>
        <w:t>our current and future models</w:t>
      </w:r>
      <w:r>
        <w:rPr>
          <w:rFonts w:ascii="Times New Roman" w:cs="Times New Roman" w:eastAsia="Times New Roman" w:hAnsi="Times New Roman"/>
          <w:sz w:val="18"/>
          <w:szCs w:val="18"/>
          <w:color w:val="auto"/>
        </w:rPr>
        <w:t xml:space="preserve"> will appeal to our customers as we expect, or that any introduction of new models or facelifts will not adversely affect the sales of existing models.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we rely on third-party suppliers for the provision and development of many of the key components and materials used in our vehicles. To the extent our suppliers experience any difficulties in providing us with or developing necessary components, we could experience delays in delivering vehicles. See also “—Risks Relating to our Business and Industry—We are dependent on suppliers, many of whom are our single source suppliers for the components they supply.” Any delay in the development, manufacturing, and delivery of our current or future models, or in performing facelifts to existing models, could subject us to customer complaints and materially and adversely affect our reputation, demand for our vehicles, and our growth prospects.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 foregoing could materially and adversely affect our business, financial condition, and results of operations.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been profitable and had negative net cash flows from operations. If we do not effectively manage our cash and other liquid financial assets, execute our plan to increase profitability and obtain additional financing, we may not be able to continue as a going concern.</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not been profitable since our inception. We incurred net loss of US$750.3 million, US$724.6 million and US$110.5 million in 2023, 2022 and 2021, respectively. In addition, we had negative net cash flows from operating activities of US$386.9 million, US$351.4 million and US$126.5 million in 2023, 2022 and 2021, respectively. As of December 31, 2023, 2022 and 2021, our accumulated deficit was US$1.6 billion, US$846.8 million and US$122.8 million, respectively. We incurred capital expenditures of US$213.7 million, US$133.3 million and US$34.6 million in 2023, 2022 and 2021, respectively. Historically, we relied principally on proceeds from the issuance of exchangeable notes, convertible notes and related party borrowings to finance our operations and business expansion. We will require additional liquidity to continue our operations over the next 12 months. We are evaluating strategies to obtain the required additional funding for future operations. These strategies may include, but are not limited to obtaining additional loans from banks or related parties and renewal of existing loans when they are due and improving operational efficiency to grow revenues and control expenses. The feasibility of such plan is contingent upon many factors out of our control, and is highly uncertain and difficult to predict. We may also seek additional equity or debt financing in the future to satisfy capital requirements, respond to adverse developments or changes in our circumstances or unforeseen events or conditions, or fund organic or inorganic growth. We cannot assure you that financing will be available in amounts or on terms acceptable to us, if at all. In the event that additional financing is required from third party sources, we may not be able to raise it on acceptable terms or at all, and there could be potential significant negative impact on our ability to continue its operations.</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pressure on us to generate positive cash flow may be further exacerbated by our contractual obligations, including capital commitments, operating lease commitments, borrowings, and debts. We expect to continue to invest in the production ramp-up of our vehicle models, expansion of sales and servicing network, design and testing of new models, and research and development to further expand our business. These investments may not result in revenue increases or positive net cash flow on a timely basis, or at all. If we were not able to continue as a going concern, or if there were continued doubt about our ability to do so, additional financing may not be available to us on reasonable terms or at all. These factors give rise to substantial doubt over our ability to continue as a going concern. See “Item 5. Operating and Financial Review and Prospects—B. Liquidity and Capital Resources.” The accompanying consolidated and combined financial statements do not include any adjustments that might result if we are unable to continue as a going concern and, therefore, be required to realize our assets and discharge our liabilities other than in the normal course of business which could cause investors to suffer the loss of all or a substantial portion of their investment.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not generate sufficient revenues and may incur substantial losses for a number of reasons, including lack of demand for our vehicles, increasing competition, and other risks discussed herein, and we may incur unforeseen expenses, or encounter difficulties, complications, or delays in deriving revenues or achieving profitability.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received a limited number of orders for our vehicles, some of which may be cancelled by customers despite their deposit payment and online confirmation.</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received a limited number of orders for our vehicles. Our customers may cancel their orders for many reasons outside of our control, and we have experienced cancellation of orders in the past. In addition, customers may terminate their orders even after such orders are deemed automatically confirmed on the expiry of two days after a customer has paid his or her deposit and has not cancelled the order during such period. The time lag between reservation to delivery could also impact customer decisions on whether to ultimately make a purchase, due to potential changes in preferences, competitive developments, and other factors. If we encounter delays in the deliveries of our current or future vehicle models, or if the finalized design and specifications do not match the prototypes we developed, a significant number of orders may be cancelled. As a result, we cannot assure you that orders will not be cancelled or that such orders will ultimately result in the final purchase, delivery, and sale of the vehicles. Such cancellations could harm our business, brand image, financial condition, results of operations,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depend on revenues generated from a limited number of vehicle models.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business will initially depend substantially on the sales and distribution of Eletre, Emira, Evija and Emeya. Customers tend to expect OEMs to offer a wide range of product portfolio and continue to upgrade their existing products. To better meet our customers’ demand, we plan to introduce two future new BEV models in the near future, and plan to upgrade our existing models on an ongoing basis. To the extent our product variety and cycle does not meet consumer expectations, or we cannot achieve our projected timelines and cost and volume targets, our future sales may be adversely affected. Given that, for the foreseeable future, our business will depend on a limited number of vehicle models, to the extent a particular model is not well-received by the market, our sales volume could be materially and adversely affected, which, in turn, could materially and adversely affect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delays in the manufacturing and launch of the commercial production vehicles in our pipeline could have a material adverse effect on our business.</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launched Eletre in 2022 and commenced deliveries of Eletre in China and Europe in 2023. We launched Emeya in September 2023 and began deliveries in China in March 2024 and expect to begin deliveries in Europe in the second half of 2024. We also started deliveries of Evija in 2024. In addition, we expect to launch new vehicle models in the near future as we ramp up our business. Automobile manufacturers often experience delays in the design, manufacture, and commercial release of new vehicle models. We plan to target a broader market with our future vehicles, and to the extent we need to delay the launch of our vehicles, our growth prospects could be adversely affected as we may fail to grow our market share. We also plan to periodically perform facelifts or refresh existing models, which could also be subject to delays. Furthermore, we rely on third-party suppliers for the provision and development of many of the key components and materials used in our vehicles. To the extent our suppliers experience any delays in providing us with or developing necessary components, we could experience delays in delivering on our timelines. Any delay in the manufacture and launch of our current or future models due to any factors, or in refreshing or performing facelifts to existing models, could subject us to customer complaints and materially and adversely affect our reputation, demand for our vehicles, results of operations, and growth prospects.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vehicles are subject to homologations and motor vehicle safety standards and the failure to acquire homologations or satisfy mandated safety standards in jurisdictions we operate would materially and adversely affect our business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vehicles sold must comply with various standards governing the market in which the vehicles are sold. In particular, our vehicles must meet or exceed all mandated safety standards to be certified under applicable regulations in jurisdictions we plan to sell our vehicles. Rigorous testing and the use of approved materials and equipment are among the requirements for achieving these standards. We have incurred, and expect to continue to incur, significant costs in complying with these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the EU, vehicles must be type-approved under EU Regulation 2018/858, or the Whole Vehicle Type Approval, and must comply with vehicles safety standard under EU Regulation 2019/2144. In the U.K., vehicles must be type-approved under the GB Type Approval Scheme from February 1, 2024 or under the Provisional GB Type Approval Scheme up until February 1, 2024, and must conform with the EU Regulation 661/2009 which was adopted as retained EU law by virtue of the European Union (Withdrawal) Act 2018 and implemented by the Road Vehicles (Approval) Regulations 2020. In the U.S., vehicles must be to certified to meet all applicable Federal Motor Vehicle Safety Standards, federal bumper standards, and federal anti-theft standards issued and administered by the National Highway Traffic Safety Administration. In addition, each state in the U.S. may impose additional vehicle safety requirements with respect to vehicle equipment or components that are not regulated by a federal standard. For more discussion, see “Item 4. Information on the Company—B. Business Overview—Regulations— Global Government Regulations—Regulations on Type Approval” and “Item 4. Information on the Company—B. Business Overview—Regulations—Global Government Regulations— Regulations on Safety.” As of the date of this annual report, Eletre has received type approval in the EU and the U.K. while it has not received type approval in the U.S. and Emeya has received type approval in the EU while it has not received type-approval in the U.K. or the U.S.</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China, each vehicle model must pass various tests and undergo a certification process and be affixed with the China Compulsory Certification, or CCC, before we receive delivery of vehicles from the factory, import or sell such vehicles, or use such vehicles for commercial activities, and such certification is also subject to periodic renewal. Although we have obtained the CCC for Eletre, Emira and Emeya, there is no guarantee that we will be able to renew such certification upon expiry in the future or to obtain</w:t>
      </w:r>
    </w:p>
    <w:p>
      <w:pPr>
        <w:spacing w:after="0" w:line="3" w:lineRule="exact"/>
        <w:rPr>
          <w:sz w:val="20"/>
          <w:szCs w:val="20"/>
          <w:color w:val="auto"/>
        </w:rPr>
      </w:pPr>
    </w:p>
    <w:p>
      <w:pPr>
        <w:jc w:val="both"/>
        <w:ind w:firstLine="8"/>
        <w:spacing w:after="0" w:line="249" w:lineRule="auto"/>
        <w:tabs>
          <w:tab w:leader="none" w:pos="4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future vehicles. To the extent that it takes us longer to acquire or we eventually fail to acquire the CCC certification for any of our future vehicles or we are unable to renew the CCC certification for any vehicle, we could experience delays in delivering or fail to deliver at all, which would have a material and adverse effect on our reputation, business, financial condition, and results of operations. Furthermore, the PRC government and issuing agencies of such certification may carry out supervisory activities on certified vehicles, including routine and unscheduled, and impromptu inspections. In the event that a certified vehicle has a defect resulting in quality or safety accidents, or consistent failure of certified vehicles to comply with certification requirements is discovered during follow-up inspections, the certification could be revoked. With effect from the date of revocation or during suspension of the certification, any vehicle that fails to satisfy the requirements for certification may not continue to be delivered, sold, imported, or used in other commercial activities.</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laws and standards are subject to change from time to time, and we could become subject to additional safety regulations in jurisdictions we operate in the future, which would increase the effort and expense of compliance. To the extent that it takes us longer to acquire or we eventually fail to acquire or renew safety standard certification in jurisdictions we plan to sell any of our existing or future vehicles, we could experience delays in delivering or fail to deliver at all, which would have a material and adverse effect on our reputation,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is dependent on the demand for, and upon consumers’ willingness to adopt luxury electric vehicles, which is associated with consumers’ demand for automobile and luxury vehicles, and adoption of new energy vehicles.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Demand for automobile sales depends to a large extent on general, economic, political and social conditions in a given market and the introduction of new vehicles and technologies. As our business grows, economic conditions and trends will impact our business, prospects, and operating results. A weak or uncertain macroeconomic environment, high or increasing inflation (including in relation to energy prices) and interest rates, stagnant or declining wages and restrictive lending policies may reduce consumers’ net purchasing power and lead existing and potential customers to refrain from purchasing a new vehicle. Demand for our vehicles may also be affected by factors directly impacting automobile price or the cost of purchasing and operating automobiles, such as sales and financing incentives, prices of raw materials and parts and components, and cost of fuel and governmental regulations, including tariffs, import regulation, and other taxes. Volatility in demand may lead to lower vehicle unit sales, which may result in further downward price pressure and adversely affect our business, prospects, financial condition and operating results.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future growth also depend on consumers’ demand for luxury vehicles. The economic environment and macroeconomic conditions influence levels of disposable income and consumer spending, thereby impacting demand for luxury vehicles, and defer a purchase further or to purchase a more affordable model with fewer optional features at a lower price. Further, a weak or uncertain economic environment, especially when combined with low consumer confidence, may disproportionately reduce demand for luxury vehicles, due to the discretionary nature of such purchases. A decrease in potential customers’ disposable income or their financial flexibility, an increase in the overall cost of financing or consumer concerns about the social perception of purchasing luxury products will therefore generally have a negative impact on demand for the our vehicles.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Demand for our luxury BEVs will also highly depend upon the adoption by consumers of new energy vehicles in general and electric vehicles in particular. The market for new energy vehicles is still rapidly evolving, characterized by rapidly changing technologies, price and other competition, evolving government regulation and industry standards, and changing consumer demands and behaviors. Other factors that may influence the adoption of alternative fuel vehicles, and specifically electric vehicles, include:</w:t>
      </w:r>
    </w:p>
    <w:p>
      <w:pPr>
        <w:spacing w:after="0" w:line="187" w:lineRule="exact"/>
        <w:rPr>
          <w:sz w:val="20"/>
          <w:szCs w:val="20"/>
          <w:color w:val="auto"/>
        </w:rPr>
      </w:pPr>
    </w:p>
    <w:p>
      <w:pPr>
        <w:jc w:val="both"/>
        <w:ind w:left="1000" w:right="20" w:hanging="31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electric vehicle quality, safety, design, performance, and cost, especially if adverse events or accidents occur that are linked to the quality or safety of electric vehicles, whether or not such vehicles are produced by us or other manufacturers;</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vehicle safety in general, in particular safety issues that may be attributed to the use of advanced technology, including electric vehicle and regenerative braking systems;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range over which electric vehicles may be driven on a single battery charge and the speed at which batteries can be recharged;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decline of an electric vehicle’s range resulting from deterioration over time in the battery’s ability to hold a charge;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electric grid capacity and reliability;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new energy vehicles;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the fuel economy of traditional ICE;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service for electric vehicles;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environmental consciousness of consumers;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charging stations, standardization of electric vehicle charging systems, and consumers’ perceptions about convenience and cost to charge an electric vehicle;</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tax and other governmental incentives to purchase and operate electric vehicles or future regulation requiring increased use of nonpolluting vehicles;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and the actual cost of alternative fuel;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 the factors described above may cause current or potential customers not to purchase our luxury electric vehicles and use our services. If the market for luxury electric vehicles does not develop as we expect or develops more slowly than we expect, our business, prospects, financial condition, and operating results will be affected.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depend in part on our ability to establish and maintain confidence in our business prospects among consumers, analysts and others within our industry.</w:t>
      </w:r>
    </w:p>
    <w:p>
      <w:pPr>
        <w:spacing w:after="0" w:line="14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Consumers may be less likely to purchase our vehicles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business prospects. Maintaining such confidence may be particularly difficult as a result of many factors, including our limited operating history, others’ unfamiliarity with our vehicles,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business prospects, even if exaggerated or unfounded, would likely harm our business and make it more difficult to raise additional capital in the future. In addition, a significant number of new electric vehicle companies have recently entered the automotive industry. If these new entrants or other manufacturers of electric vehicles go out of business, produce vehicles that do not perform as expected or otherwise fail to meet expectations, such failures may have the effect of increasing scrutiny of others in the industry, including us, and further challenging customer, supplier and analyst confidence in our business prospects.</w:t>
      </w:r>
    </w:p>
    <w:p>
      <w:pPr>
        <w:spacing w:after="0" w:line="3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and its technology are rapidly evolving and may be subject to unforeseen changes. Developments in alternative technologies or improvements in electric vehicle technology may materially and adversely affect the demand for our electric vehicles.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in the electric vehicle market, which is rapidly evolving and may not develop as we anticipate. The regulatory framework governing the industry in various countries is currently uncertain and may remain uncertain for the foreseeable future. As our industry and our business develop, we may need to modify our business model or change our services and solutions. Such changes may not achieve expected results, which could have a material adverse effect on our results of operations and prospects.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we may be unable to keep up with changes in electric vehicle technology and, as a result, our competitiveness may suffer. Our research and development efforts may not be sufficient to adapt to changes in electric vehicle technology. As technologies change, we plan to upgrade or adapt our vehicles and introduce new models in order to equip our vehicles with the latest technology, in particular battery cell technology. Such upgrades could involve substantial costs and lower our return on investment for existing vehicles. There can be no assurance that we will be able to compete effectively with alternative vehicles or source and integrate the latest technology into our vehicles, against the backdrop of our rapidly evolving industry. Even if we are able to keep pace with changes in technology and develop new models, our prior models could become obsolete more quickly than expected, potentially reducing our return on investment.</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Developments in alternative technologies, such as advanced diesel, ethanol, fuel cells or compressed natural gas, or improvements in the fuel economy of the ICE, may materially and adversely affect our business and prospects in ways we do not currently anticipate. For example, compressed natural gas may emerge as consumers’ preferred alternative to petroleum-based propulsion. Any failure by us to successfully react to changes in existing technologies could materially harm our competitive position and growth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intelligent driving technology and uncertain and evolving regulations pertaining to intelligent driving in jurisdictions we operate.</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rely on third-party suppliers for certain technologies and components used in our ADAS, and any defects in or quality issues with those technologies and components could result in actual or perceived quality issues with our vehicles. We plan to enhance and expand the intelligent driving capabilities of our vehicles through ongoing research and development. However, we cannot guarantee that our vehicles will achieve its targeted assisted or intelligent driving functionality within its projected timeframe, or ever. In addition, intelligent driving as an evolving and complex technology is subject to risks, and from time to time there have been accidents associated with such technology. The safety of such technology depends in part on user interaction and users may not be accustomed to using such technology. To the extent accidents associated with our future intelligent driving technology occur, we could be subject to liability, government scrutiny, and further regulation. Any of the foregoing could materially and adversely affect our brand image, financial condition, results of operations, and growth prospects.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ADAS technology is subject to considerable international regulatory uncertainty as the laws in different jurisdictions we operate evolve to catch up with the rapidly evolving nature of the technology itself, all of which is beyond our control. There is a variety of international, federal and state regulations that may apply to intelligent driving and driver-assisted vehicles. For example, in the EU, certain vehicle safety regulations apply to intelligent driving braking and steering systems, and certain treaties also restrict the legality of certain higher levels of self-driving vehicles. In the U.K., The Automated and Electric Vehicles Act 2018 provides a framework for ADAS regulations in the U.K. In the U.S., there are currently no federal U.S. regulations imposing additional mandatory safety or performance requirements on intelligent driving vehicles. Certain states have legal restrictions on intelligent driving vehicles, and many other states are considering them. See “Item 4. Information on the Company—B. Business Overview—Regulations—Global Government Regulations—Regulations on Automated Driving/Advanced Driver Assistance System (AD/ADAS).” For discussion on regulations on ADAS technology in China, see “Item 4. Information on the Company—B. Business Overview—Regulations—PRC Government Regulations—Regulations on Intelligent Connected Vehicles and Autonomous Driving.”</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Intelligent driving laws and regulations are expected to continue to evolve in numerous jurisdictions globally, which increases the likelihood of a patchwork of complex or conflicting regulations that may delay products or restrict intelligent driving features and availability, which could adversely affect our business. Our vehicles may not achieve the requisite level of autonomy that may be required in some countries or jurisdictions for certification and rollout to consumers or may not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suppliers, many of whom are our single source suppliers for the components they supply.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success depends upon our and our manufacturing partner’s ability to enter into new supplier agreements and maintain our relationships with suppliers who are critical and necessary to the output and production of our vehicles. We rely on suppliers to provide key components and technology for our vehicles.</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Many of our suppliers are currently single source suppliers for components of our vehicles, and we expect that this to be similar for any other future vehicle we may produce. While we try to obtain components from multiple sources whenever possible, similar to other automobile providers, many of the components used in our vehicles are purchased from a single source, which exposes us to multiple potential sources of delivery failure or component shortages. To date, we have no qualified alternative sources for most of the single sourced components used in our vehicles and we generally do not maintain long-term agreements with our single source suppliers. Agreements for the purchase of battery cells and other components contain or are likely to contain pricing provisions that are subject to adjustment based on changes in market prices of key commodities. Substantial increases in the prices for such components, materials and equipment, whether due to supply chain or logistics issues or due to inflation, would increase our operating costs and could reduce our margins if it cannot recoup the increased costs. Any attempts to increase the announced or expected prices of our vehicles in response to increased costs could be viewed negatively by our customers or potential customers and could adversely affect our business, prospects, financial condition, and results of operations. Furthermore, qualifying alternate suppliers or developing our own replacements for certain highly customized components of our existing and future vehicles may be time consuming and costly. A recent supply chain disruption related to certain EV components could expose us to delayed deliveries and component shortages in 2024. There can be no assurance that our business, financial condition, and results of operations will not be materially and adversely affected by future supply chain disruptions. Any disruption in the supply of components, whether or not from a single source supplier, could temporarily disrupt production of our vehicles until an alternative supplier is fully qualified by us or is otherwise able to supply us the required material. There can be no assurance that we would be able to successfully retain alternative suppliers or supplies on a timely basis, on acceptable terms or at all. Changes in business conditions, force majeure, governmental changes, and other factors beyond our control or which we do not presently anticipate, could also affect our suppliers’ ability to deliver components to us on a timely basis. Any of the foregoing could materially and adversely affect our results of operations, financial condition, and prospects.</w:t>
      </w: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supplier agreements for our current or future vehicles may have provisions where such agreements can be terminated in various circumstances, including potentially without cause. If the suppliers and strategic partners become unable to provide, or experience delays in, providing components or technology, or if the supplier agreements we have in place are terminated, it may be difficult to find replacement components and technology. Changes in business conditions, pandemics, governmental changes, and other factors beyond our control or that we do not presently anticipate could affect our ability to receive components or technology from our suppliers.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we rely on Geely Holding’s bargaining power derived from its volume and reputation in negotiating supply agreements for the production of our vehicles and we may be at a disadvantage due to our limited operating history as a standalone business. There is the possibility that finalizing the supply agreements for the parts and components of our vehicles will cause significant disruption to our operations, or such supply agreements could be priced in manners that make it difficult for us to operate profitably.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experience cost increases or disruptions in supply of raw materials or other components used in our vehicles.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Significant costs are incurred related to procuring raw materials required to manufacture and assemble our vehicles. Various raw materials are used in our vehicles including aluminum, steel, carbon fiber, non-ferrous metals such as copper, lithium, nickel as well as cobalt. The prices for these raw materials fluctuate depending on factors beyond our control, including market conditions and global demand for these materials, and could adversely affect our business and operating results. Our business also depends on the continued supply of battery cells for our vehicles. Battery cell manufacturers may refuse to supply electric vehicle manufacturers to the extent they determine that the vehicles are not sufficiently safe. We are exposed to multiple risks relating to availability and pricing of quality lithium-ion battery cells. These risks include:</w:t>
      </w:r>
    </w:p>
    <w:p>
      <w:pPr>
        <w:spacing w:after="0" w:line="187" w:lineRule="exact"/>
        <w:rPr>
          <w:sz w:val="20"/>
          <w:szCs w:val="20"/>
          <w:color w:val="auto"/>
        </w:rPr>
      </w:pPr>
    </w:p>
    <w:p>
      <w:pPr>
        <w:jc w:val="both"/>
        <w:ind w:left="1000" w:right="20" w:hanging="317"/>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unwillingness of current battery cell manufacturers to build or operate battery cell manufacturing plants to supply the numbers of lithium-ion cells required to support the growth of the electric vehicle industry as demand for such cells increases;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of cells due to quality issues or recalls by the battery cell manufacturers;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of raw materials, such as lithium, nickel, and cobalt, used in lithium-ion cells.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control our suppliers or their business practices. Accordingly, we cannot guarantee that the quality of the components manufactured by them will be consistent and maintained to a high standard. Any defects of or quality issues with these components or any noncompliance incidents associated with these third-party suppliers could result in quality issues with our vehicles and hence compromise our brand image and results of operations.</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currency fluctuations, tariffs or shortages in petroleum and other economic or political conditions may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or impact our prospects.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hold our suppliers to high ethical standards of code of conducts in areas such as human rights, labor conventions such as prohibition of forced labor and child labor, environmental protection and anti-corruption. However, violations of any of the foregoing by our major suppliers could have material impacts on our operations caused by supply chain disruptions and human rights-based trade restrictions.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global shortage in the supply of semiconductor chips may disrupt our operations and adversely affect our business, results of operations, and financial condition.</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Since October 2020, the supply of semiconductor chips used for automotive manufacturing has experienced a global shortage following the disruption to semiconductor manufacturers due to, among other factors, the COVID-19 pandemic, an increase in global demand for personal computers for work-from-home economies, and controls and restrictions on the import or export of semiconductor chips imposed or intended to be imposed by the U.S. and various foreign governments. We cannot assure you that we will be able to continue to obtain sufficient quantity of chips or other semiconductor components at a reasonable cost. In addition, similar to other components, many of the semiconductor components used in our vehicles are purchased from limited sources although we reserve the flexibility to obtain the components from multiple sources. If the suppliers of the semiconductor components become unable to meet our demand on acceptable terms, or at all, we may be required to switch to other suppliers, which could be time consuming and costly. If we fail to find alternative suppliers in time, or at all, our production and deliveries could be materially disrupted, which may materially and adversely affect our business, results of operations, and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expand our business and operations internationally to various jurisdictions in which we do not currently operate and where we have limited operating experience, all of which exposes us to business, regulatory, political, operational and financial risk.</w:t>
      </w:r>
    </w:p>
    <w:p>
      <w:pPr>
        <w:spacing w:after="0" w:line="14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conduct our business worldwide. For example, LTIL and Lotus Tech Creative Center operate in the U.K., Lotus Tech Innovation Center GmbH operates in Germany, and Lotus Cars Europe B.V. operates in Netherlands. One of our key business strategies is to pursue international expansion of our business operations and market our products in multiple jurisdictions, and the global nature of our business could have a material adverse effect on our business, financial condition, and results of operations. As a result, our business is and we expect that our business will be subject to a variety of risks and challenges associated with doing business internationally and entering into new markets, including an increase in our expenses and diversion of the management’s attention from other aspects of our business. Accordingly, our business and financial results in the future could be adversely affected due to a variety of factors, including:</w:t>
      </w:r>
    </w:p>
    <w:p>
      <w:pPr>
        <w:spacing w:after="0" w:line="175" w:lineRule="exact"/>
        <w:rPr>
          <w:sz w:val="20"/>
          <w:szCs w:val="20"/>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impositions of, legislative or regulatory requirements on automotive industry and supply chain management;</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related to export or import restrictions, including deemed export restrictions, tariffs, quotas, and other trade barriers and restrictions, as well as overseas shipment schedules and custom clearance requirements and processes;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economic and political conditions, and other political tensions between countries in which we do business;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conforming our vehicles to various international regulatory requirements where our vehicles are sold, and unexpected changes in such regulatory requirements and enforcement, in connection with type approval, safety, data protection and privacy, automated driving, environmental protection, recall, distribution, government incentives, batteries regulations, and end-of-life regulations, among others. See “Item 4. Information on the Company—B. Business Overview —Regulations—Global Government Regulations;”</w:t>
      </w:r>
    </w:p>
    <w:p>
      <w:pPr>
        <w:spacing w:after="0" w:line="169"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reduced protection for intellectual property rights in some countries;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le-gal compliance costs associated with multiple international locations and subsidiaries;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to foreign labor laws, regulations and restrictions;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localized supply chains and managing international supply chain and logistics costs;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sufficient charging points for our customers in those jurisdictions, via partnerships or, if necessary, via development of our own charging networks;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attracting customers in new jurisdictions;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credit risk and payment fraud;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political risk and customer perceptions based on such changes and risks;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capital and trading markets and currency fluctuations;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tax consequences and compliance;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due to imposition of climate change regulations, such as carbon taxes, fuel or energy taxes, and pollution limits; and</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challenges caused by distance, language, and cultural differences, making it harder to do business in certain international jurisdictions.</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our sales are delayed or cancelled because of any of the above factors, our revenue may be adversely affected. In addition, we may be subject to increased regulatory risks and local competition in various jurisdictions where we plan to expand operations but has limited operating experience. Such increased regulatory burden and competition may limit the available market for our products and services and increase the costs associated with marketing the products and services where we are able to offer our products. We may also face local protectionism in some of our target markets that could hinder our ability to execute our business strategies and put us at a competitive disadvantage relative to domestic automotive manufacturer. For example, in September 2023, the European Commission announced that an investigation will be launched on whether to impose punitive tariffs to protect the EU producers against cheaper Chinese electric vehicle imports it says are benefiting from state subsidies. If there are any adverse findings during or upon the conclusion of such investigation, the European Commission may impose countervailing duties or punitive tariffs, which may in turn negatively affect our operations and planned future expansion in Europe. For example, we may be required to increase the price of our products in Europe, which may decrease our sales. If we are unable to manage the complexity of global operations successfully, or fail to comply with any of the regulations in other jurisdictions, our financial performance and operating results could suffer.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devoted significant capital to developing and growing our business, including developing our first model, Eletre, expanding our sales and servicing network and building our headquarters in Wuhan. In addition, we plan to introduce two future new BEV models the near future. We expect to further incur significant costs that will impact our profitability, including research and development expenses as we roll out new models and improve existing models, additional operating costs and expenses for production ramp-up, selling and distribution expenses as we continue to build our brand and market our vehicles, and additional costs associated with being a public company. Furthermore, currency fluctuations, tariffs or shortages in petroleum and other economic or political conditions may result in significant increases in freight charges and raw material costs. In addition, we may also face increased costs in connection with the services we provide, including after-sale services. Our ability to become profitable in the future will not only depend on our ability to successfully market our vehicles and other products and services but also to control our costs. If we are unable to design, develop, market, sell, and service our vehicles and provide services, or if the manufacturing of our vehicles could not be conducted in a cost-efficient manner, our margins, profitability, and prospects would be materially and adversely affected.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not be able to market and sell our vehicles successfully.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expanded our operations, and as we ramp up our production, significant expansion will be required, especially in connection with potential increases in sales, providing our customers with high-quality servicing, expansion of our retail, delivery, and servicing center network, and managing different models of vehicles. Our future operating results depend to a large extent on our ability to manage this expansion and growth successfully. Risks that we face in undertaking this expansion include, among others:</w:t>
      </w:r>
    </w:p>
    <w:p>
      <w:pPr>
        <w:spacing w:after="0" w:line="180" w:lineRule="exact"/>
        <w:rPr>
          <w:sz w:val="20"/>
          <w:szCs w:val="20"/>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supply chain to support fast business growth;</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partnership with Geely Holding to manufacture our vehicles;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 larger organization with a greater number of employees in different divisions;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investments in anticipation of expanded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or expanding design, sales, and service facilities;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and processes;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new markets and potentially unforeseen challenges as they arise.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failure to manage our growth effectively could materially and adversely affect our business, financial condition, results of operations, and prospects.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In addition, our future capital needs may require us to obtain additional equity or debt financing that may dilute our shareholders or introduce covenants that may restrict our operations or our ability to pay dividends.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will need significant capital to, among other things, conduct research and development, expand our production capacity, and roll out our sales network, and delivery and servicing centers. As we ramp up our production capacity and operations we may also require significant capital to maintain our property, plant, and equipment and such costs may be greater than what we currently anticipate. We expect that our level of capital expenditures will be significantly affected by consumer demand for our products and services. The fact that we have a limited operating history means we have limited historical data on the demand for our products and services. As a result, our future capital requirements may be uncertain and actual capital requirements may be significantly different from what we currently anticipate. We may need to seek equity or debt financing to finance a portion of our capital expenditures. Such financing might not be available to us in a timely manner or on terms that are acceptable, or at all. If we cannot obtain sufficient capital on acceptable terms, our business, financial condition, and prospects may be materially and adversely affected.</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and investor acceptance of our business plan. These factors may make the timing, amount, terms and conditions of such financing unattractive or unavailable to us. If we are unable to raise sufficient funds, we may need to significantly reduce our spending, delay or cancel our planned investment or expansion activities, or substantially change our corporate structure. We might not be able to obtain any funding or service any of the debts we incurred, and we might not have sufficient resources to conduct our business as projected, both of which could mean that we would be forced to curtail or discontinue our operations.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entered into a put option agreement with each of Geely HK and Etika, pursuant to which each of Geely and Etika will have an option to require us to purchase at a pre-agreed price, the equity interests held by Geely HK and Etika in Lotus Advance Technologies Sdn Bhd. The put options are exercisable during the period from April 1, 2025 to June 30, 2025 upon satisfaction of the condition that the total number of vehicles sold by Lotus Advance Technologies Sdn Bhd and its subsidiaries exceeds 5,000 in 2024 (with the exercise of such options by Geely HK and Etika not cross-conditioned on one another). The exercise of the put options to require us to purchase the equity interests held by Geely HK and Etika in Lotus Advance Technologies Sdn Bhd may represent a significant financial obligation that could have a material adverse impact on our liquidity, results of operations, and financial condition.</w:t>
      </w:r>
    </w:p>
    <w:p>
      <w:pPr>
        <w:spacing w:after="0" w:line="187"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our future capital needs and other business reasons could require us to issue additional equity or debt securities or obtain a credit facility. The issuance of additional equity or equity-linked securities could dilute our shareholders. The incurrence of indebtedness would result in an increase in debt service obligations and could result in operating and financing covenants that would restrict our operations or our ability to pay dividends to our shareholders.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use ethical business practices and comply with applicable laws and regulations, our brand image could be harmed due to negative publicity.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core values, which include developing high quality electric vehicles while operating with integrity, are an important component of our brand image, which makes our reputation sensitive to allegations of unethical business practices. We do not control our independent suppliers or their business practices. Accordingly, we cannot guarantee their compliance with ethical business practices, such as environmental responsibilities, fair wage practices, and compliance with child labor laws, among others. A lack of demonstrated compliance could lead us to seek alternative suppliers, which could increase our costs and result in delayed delivery of our products, product shortages or other disruptions of our operations.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Violation of labor or other laws by our suppliers or the divergence of an independent supplier’s labor or other practices from those generally accepted as ethical in the markets in which we do business could also attract negative publicity for us and our brand. This could diminish the value of our brand image and reduce demand for our electric vehicles. If we, or other manufacturers in our industry, encounter similar problems in the future, it could harm our brand image, business, prospects, results of operations, and financial condition.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expand our physical sales network cost-efficiently. Our distribution model is different from the currently predominant distribution model for automakers, and its long-term viability is unproven.</w:t>
      </w:r>
    </w:p>
    <w:p>
      <w:pPr>
        <w:spacing w:after="0" w:line="14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distribution model is not common in the automotive industry today. In particular, in China, our vehicles are sold either directly to users (rather than through dealerships) or through city partners that act as our sales agents and collect sales commissions on such sales. As of December 31, 2023, we had 215 stores in our global distribution network. We plan to further expand our physical sales network through a balanced combination of company-operated stores and partner stores. This planned expansion may not have the desired effect of increasing sales and enhancing our brand recognition in a cost-efficient manner. We may need to invest significant capital and management resources to operate existing company-operated stores and open new ones, and there can be no assurance that we will be able to improve the operational efficiency of our company-operated stores.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direct-to-consumer approach to vehicle distribution is relatively new and its long-term effectiveness is unproven, especially in China. It thus subjects us to substantial risks as it requires, in the aggregate, significant expenditures and provides for slower expansion of our distribution and sales systems as compared to the traditional dealership system. For example, we will not be able to utilize long established sales channels developed through a dealership system to increase our sales volume. Moreover, we will be competing with automakers with well established distribution channels and we may not be able to satisfy customer expectations.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also leverage our network of city partners as a pipeline of potential sales partners. However, we may not be able to identify, attract, and retain a sufficient number of city partners with the requisite experience and resources to operate our partner stores. Our city partners are responsible for the day-to-day operation of their stores. Although we offer the same training and implement the same service standards for staff from both company-operated stores and partner stores, we have limited control over how our city partners’ businesses are run. If our city partners fail to deliver high quality customer service and resolve customer complaints in a timely manner, or if any of their misconduct damages our brand image and reputation, our business could be adversely affected. Furthermore, we may experience disagreements or disputes in the course of our relationship with our city partners or upon termination of our relationships with city partners, which may lead to financial costs, disruptions, and reputational harm.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vehicles may not perform in line with customer expectations and may contain defects.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vehicles may not perform in line with customer expectations. Any product defect or any other failure of our vehicles to perform or operate as expected could harm our reputation and result in negative publicity, lost revenue, delivery delays, product recalls, product liability claims, harm to our brand, significant expenses including warranty claims, and other consequences that could materially and adversely affect our business, financial condition, results of operations, and prospects.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vehicles may have design and manufacturing defects. The design and manufacturing of our vehicles are complex and could have latent defects and errors, which may cause our vehicles not to perform or operate as expected or even result in property damage or personal injury. Furthermore, our vehicles use a substantial amount of third-party and in-house software code and complex hardware to operate. Advanced technologies are inherently complex, and defects and errors may only be revealed over time. Our control over the long-term consistent performance of third-party services and systems is limited. While we have performed extensive internal testing on the software and hardware systems and we plan to do so on our future models, we have a limited frame of reference by which to assess the long-term performance of our systems and vehicles. We cannot assure you that we will be able to detect and fix any defects in the vehicles we design and produce on a timely basis, or at all.</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have limited operating history in testing, delivering, and servicing our vehicles. Although we have established rigorous protocols for each manual operational process, such as testing, vehicle delivery, and servicing of our vehicles, there may be instances of, operational mistakes, negligence, failures to follow protocols or other human errors by our employees or third-party service providers. Such human error could result in failure of our vehicles to perform or operate as expected. We cannot assure you that we will be able to completely prevent human errors.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if any of our vehicles fail to perform or operate as expected, whether as a result of human error or otherwise, we may need to delay deliveries, initiate product recalls, provide servicing or updates under warranty at our expense, and face potential lawsuits, which could adversely affect our brand, business, financial condition,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vehicles currently make use of lithium-ion battery cells, which have been observed to catch fire or vent smoke and flame.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battery packs that we produce make use of lithium-ion cells, which we purchase from third-party suppliers. On rare occasions, lithium-ion cells can rapidly release the energy they contain by venting smoke and flames in a manner that can ignite nearby materials as well as other lithium-ion cells. We have implemented a battery management system that automatically monitors temperature, power output, and other status of the battery pack, including a thermal management system that keeps the temperature of the battery pack within an ideal range. However, our vehicles or their battery packs may still experience failure, which could subject us to lawsuits, product recalls, or redesign efforts, all of which would be time consuming and expensive. In addition, negative public perceptions regarding the suitability of lithium-ion cells for automotive use or any future incident involving lithium-ion cells such as a vehicle or other fire, even if not involving our vehicles, could seriously harm our business.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any mishandling of battery cells may cause disruption to our business operations. While we have implemented safety procedures related to the handling of the cells, a safety issue or fire related to the cells could result in damage or injury, which could further lead to adverse publicity and potentially a safety recall. Moreover, any failure of a competitor’s electric vehicle or energy storage product may cause indirect adverse publicity for us and our products. Such adverse publicity could negatively affect our brand and harm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challenges providing our charging solutions.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Demand for our vehicles will also depend in part on the availability of charging infrastructure. Customers may charge through super charging stations provided by us or third-party charging piles. While the prevalence of charging stations has been increasing, charging station locations are significantly less widespread than gas stations. Some potential customers may choose not to purchase an electric vehicle because of the lack of a more widespread service network or charging infrastructure at the time of sale.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very limited experience in the actual provision of our charging solutions to users and providing these services is subject to challenges, which include the logistics of rolling out our network and teams in appropriate areas, inadequate capacity or over capacity in certain areas, security risks or risk of damage to vehicles during our charging services, and the potential for lack of user acceptance of our services. In addition, although the PRC government has supported the roll-out of a public charging network, the current charging facility infrastructure is generally considered to be insufficient. We face significant challenges as we roll out our charging solution, including access to sufficient charging infrastructure, obtaining any required permits, land use rights and filings, and, to a certain extent, such roll out is subject to the risk that the government support may discontinue.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given our limited experience in providing charging solutions, there could be unanticipated challenges which may hinder our ability to provide our solutions or make the provision of our solutions costlier than anticipated. To the extent we are unable to meet user expectations or experience difficulties in providing our charging solutions, our ability to generate customer loyalty and grow our business could be impaired by a lack of satisfactory access to charging infrastructure, demand for our vehicles may suffer, and our reputation and business may be materially and adversely affected.</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services, including those provided through third parties, may not be generally accepted by our customers. If we are unable to provide or arrange adequate services for our customers, our brand, business and reputation may be materially and adversely affected.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cannot assure you that our services or our efforts to engage with our customers using both our online and offline channels, will be successful, which could affect our revenues as well as our customer satisfaction and marketing. Moreover, we are unable to ensure the availability or quality of services provided by third parties, such as road assistance, vehicle logistics, and automobile financing and insurance. If any of the services provided by third parties becomes unavailable or inadequate, our customers’ experience may be adversely affected, which in turn may materially and adversely affect our business and reputation.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our delivery and servicing centers, some of our after-sales services are carried out by third-party service providers. Some of these third-party service providers have limited experience in servicing EVs. We cannot assure you that our service arrangements will adequately address the service requirements of our customers to their satisfaction, or that we and our authorized body and paint shops will have sufficient resources to meet these service requirements in a timely manner as the volume of vehicles we deliver increases.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if we are unable to roll out and establish a widespread service network through a combination of our delivery and servicing centers and authorized body and paint shops, customer satisfaction could be adversely affected, which in turn could materially and adversely affect our sales, results of operations, and prospects.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become subject to product liability claims, which could harm our business, financial condition, results of operations, and prospects. The automotive industry experiences significant product liability claims and we face inherent risk of exposure to claims in the event our vehicles do not perform as expected or malfunction resulting in property damage, personal injury, or death. Our risks in this area are particularly pronounced given we have limited field experience in the operation of our vehicles. A successful product liability claim against us could require us to pay substantial monetary compensation. Moreover, a product liability claim could generate substantial negative publicity about our vehicles and business and inhibit or prevent commercialization of our future vehicles, which would materially and adversely affect our brand, business, prospects, and results of operations. Our insurance coverage might not be sufficient to cover all potential product liability claims. Any lawsuit seeking significant monetary damages may materially and adversely affect our reputation, business, financial condition, and results of operations.</w:t>
      </w:r>
    </w:p>
    <w:p>
      <w:pPr>
        <w:spacing w:after="0" w:line="1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compelled to undertake product recalls or other actions, which could adversely affect our brand image, financial condition, results of operations, and growth prospects.</w:t>
      </w:r>
    </w:p>
    <w:p>
      <w:pPr>
        <w:spacing w:after="0" w:line="1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vehicles are subject to recalls, which may cause adverse publicity, damage to our brand, and liability for costs. In the future, we may at various times, voluntarily or involuntarily, initiate a recall if any of our vehicles, including any systems or parts sourced from our suppliers, prove to be defective or noncompliant with applicable laws and regulations. Such recalls, whether voluntary or involuntary, could involve significant expense and could adversely affect our brand image in our target markets, as well as our business, financial condition, results of operations, and growth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warranty reserves may be insufficient to cover future warranty claims and repair needs, which could adversely affect our financial condition and results of operations.</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currently provide a 5-year or 150,000-kilometer limited warranty and an 8-year or 200,000-kilometer limited warranty for battery packs, electric motors, and electric motor controllers for Eletre and we provide a 3-year or 60,000-kilometer limited warranty for Emira. In addition to warranty mandated by applicable laws and regulations, we also provide an extended warranty subject to certain conditions. We believe our warranty program is similar to other automakers’ warranty programs and is intended to cover all parts and labor to repair defects in material or workmanship in the body, chassis, suspension, interior, electric systems, battery, powertrain, and brake system. We plan to record and adjust warranty reserves based on changes in estimated costs and actual warranty costs. However, because we commenced initial deliveries of our vehicles in 2023, we have little experience with warranty claims regarding our vehicles or with estimating warranty reserves. We cannot assure you that our warranty reserves will be sufficient to cover future warranty claims. We could, in the future, become subject to a significant and unexpected warranty claims, resulting in significant expenses, which would in turn materially and adversely affect our financial condition,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vehicle owners modify our vehicles regardless of whether third-party aftermarket products are used, the vehicle may not operate properly, which may create negative publicity and could harm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Automobile enthusiasts may seek to modify our vehicles, including using third-party aftermarket products, to alter their appearance or change their performance, which could jeopardize vehicle safety systems. We do not test, nor do we endorse, such modifications or third-party products. In addition, the use of improper external cabling or unsafe charging outlets can expose our customers to injury from high voltage electricity. Such unauthorized modifications could reduce the safety of our vehicles and any injuries resulting from such modifications could result in adverse publicity which would adversely affect our brand and harm our business, financial condition, results of operations, and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unauthorized control or manipulation of our vehicle systems could result in loss of confidence in us and our vehicles and harm our business.</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vehicles contain complex information technology systems. For example, our vehicles are designed with built-in data connectivity to accept and install periodic remote updates from us to improve or update the functionality of our vehicles. We have designed, implemented and tested security measures intended to prevent unauthorized access to our information technology networks, our vehicles, and their systems. However, hackers may attempt in the future, to gain unauthorized access to modify, alter, and use our networks, vehicles, and systems to gain control of, or to change, our vehicles’ functionality, user interface, and performance characteristics, or to gain access to data stored in or generated by the vehicles. Vulnerabilities could be identified in the future and our remediation efforts may not be successful. Any unauthorized access to or control of our vehicles or their systems or any loss of data could result in legal claims or proceedings against us. In addition, regardless of their veracity, reports of unauthorized access to our vehicles, their systems, or data, as well as other factors that may result in the perception that our vehicles, their systems, or data are capable of being “hacked,” could negatively affect our brand and harm our business, financial condition, results of operations, and prospects.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retain certain information about our customers, which may subject us to complex and evolving laws and regulations regarding cybersecurity, privacy, data protection and information security in various jurisdictions we operate.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use our vehicles’ electronic systems to log, with necessary permission, certain information about each vehicle’s use in order to aid us in vehicle diagnostics and repair and maintenance, as well as to help us optimize the driving and riding experiences. Our customers may object to the use of this data, which may harm our business. We have adopted strict information security policies and deployed advanced security measures to comply with these requirements and to prevent data loss and other security breaches, including, among others, advanced encryption technologies. Further, such security measures of our contractors, consultants, and collaborators are also vulnerable to breakdown or other damage or interruption from such attacks.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Nonetheless, information stored on our systems may be targeted in cyber-attacks, including computer viruses, worms, phishing attacks, malicious software programs, and other information security breaches, which could result in the unauthorized release, gathering, monitoring, misuse, loss, or destruction of such information. If cybercriminals are able to circumvent our security measures, or if we are unable to detect and prevent an intrusion into our systems, data stored with us may be compromised and susceptible to unauthorized access, use, disclosure, disruption, modification, or destruction, which could subject us to liabilities, fines and other penalties. Additionally, if any of our employees accesses, converts, or misuses any sensitive information, we could be liable for damages, and our business reputation could be materially damaged. Because the techniques used to obtain unauthorized access or to sabotage systems change frequently, we may not be able to anticipate these techniques and implement adequate preventative or protective measures.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Due to our data collection practices, products, services and technologies, we are subject to or affected by a number of laws and regulations in jurisdictions we operate,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 third parties with whom we conducts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the EU adopted the General Data Protection Regulation, or the GDPR, which became effective on May 25, 2018. The U.K. adopted the GDPR as retained EU law at the end of the Brexit transition period, and a U.K.-specific General Data Protection Regulation, or the U.K. GDPR, which is based on the EU GDPR came into force from January 1, 2021. In the U.S., there is no overarching generally applicable federal law in the U.S. that governs personal data. Instead, more narrow and specific federal laws apply to the processing or other use or treatment of certain types of personal data, and U.S. Federal Trade Commission may bring enforcement actions against companies that engage in processing of personal data in a manner that constitutes an unfair or deceptive trade practice. In addition, the overwhelming majority of states have enacted laws related to data privacy. For instance, California adopted the California Consumer Privacy Act of 2018, which became effective in January 2020. Other jurisdictions have begun to propose similar laws. Failure to comply with applicable cybersecurity, privacy, data protection and information security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 For more risks relating to laws and regulations of mainland China regarding cybersecurity, privacy, data protection and information security, see “—Risks Relating to Doing Business in China—We are subject to regulations of mainland China regarding cybersecurity, privacy, data protection and information security. Any privacy or data security breach or any failure to comply with these laws and regulations could damage our reputation and brand, result in negative publicity, legal proceedings, increased cost of operations, warnings, fines, service or business suspension, confiscation of illegal gains, revocation of business permits or licenses, or otherwise harm our business and results of operations.”</w:t>
      </w:r>
    </w:p>
    <w:p>
      <w:pPr>
        <w:spacing w:after="0" w:line="19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Compliance with applicable cybersecurity, privacy, data protection and information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In addition, changes in existing laws or regulations or adoption of new laws and regulations in these fields, particularly any new or amended laws or regulations that require enhanced protection for certain types of data or new obligations with regard to data retention, transfer or disclosure, could greatly increase our cost in providing our service offerings, require significant changes to our operations or even prevent us from providing certain service offerings in jurisdictions in which we currently operate or in which we may operate in the future.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generally comply with industry standards and are subject to the terms of our own privacy policies. We have incurred, and will continue to incur, significant expenses in an effort to comply with privacy, data protection and information security standards and protocols imposed by laws, regulations, and industry standards in jurisdictions we operate, or contractual obligations. Nonetheless, certain emerging laws and regulations in these fields are still subject to a high degree of uncertainty as to their interpretation and application.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Despite our efforts to comply with applicable laws, regulations and other obligations relating to cybersecurity, privacy, data protection and information security, it is possible that our practices, offerings, services or platform could fail to meet all of the requirements imposed on us by such laws, regulations or obligations, which may in turn result in the suspension of our app and thus restrict our use of such information, and hinder our ability to acquire new customers or market to existing customers.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assure you that we will or will be able to comply with such laws and regulations regarding cybersecurity, privacy, data protection and information security in all respects and any failure or perceived failure to comply with the same may result in inquiries or other proceedings being instituted against, or other actions, decisions or sanctions being imposed on us by governmental authorities, users, consumers or other parties, including warnings, fines, penalties, directions for rectifications, service suspension or removal of our application from application stores, as well as in negative publicity on us and damage to our reputation, any of which could cause us to lose users and business partners and have a material adverse effect on our operations, revenues and profits.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unavailability, reduction or elimination of government and economic incentives or government policies which are favorable for electric vehicles and domestically produced vehicles could have a material adverse effect on our business, financial condition, operating results, and prospects.</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growth depends significantly on the availability and extent of government subsidies, economic incentives, and government policies that support the growth of new energy vehicles.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vehicles benefit from government incentives for electric vehicles in the EU, the U.K., and the U.S., see “Item 4. Information on the Company—B. Business Overview—Regulations—Global Government Regulations—Regulations on Incentives.” In China, we also benefit from favorable government incentives and subsidies, including one-time government subsidies, exemption from vehicle purchase tax, exemption from license plate restrictions in certain cities, preferential utility rates for charging facilities and more. Changes in government subsidies, economic incentives, and government policies to support electric vehicles in any jurisdictions we operate could adversely affect the results of our operations. For example, China’s central government no longer provides subsidies for purchasers of certain NEVs after December 31, 2022. In addition, local subsidies for NEVs were required to be canceled after June 25, 2019. If government incentives for electric vehicles gradually phase out in any jurisdictions we operate, there is no assurance that the alternative fuel vehicle industry generally or our electric vehicles in particular could maintain their competitiveness as compared to ICE vehicles.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vehicles sales may also be impacted by government policies such as tariffs on imported vehicles and foreign investment restrictions in the industry. The tariff in China on imported passenger vehicles (other than those originating in the U.S.) was reduced to 15% starting from July 1, 2018. As a result, pricing advantage of domestically manufactured vehicles could be diminished. Historically, there had been a certain limit on foreign ownership of automakers in China, but for automakers of NEVs, such limit was lifted in 2018. Further, pursuant to the Special Administrative Measures (Negative List) for Foreign Investment Access (2021 Version), or 2021 Negative List, most recently jointly promulgated by the PRC Ministry of Commerce and the PRC National Development and Reform Commission, or NDRC, on December 27, 2021 and became effective on January 1, 2022, the limit on foreign ownership of automakers for ICE passenger vehicles was also lifted. As a result, foreign NEV competitors could build wholly-owned facilities in China without the need for a domestic joint venture partner. These changes could affect the competitive landscape of the NEV industry and reduce our pricing advantage, which may adversely affect our business, results of operations, and financial condition.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Apart from vehicle purchase subsidies, China’s central government has adopted an NEV credit scheme that incentivizes OEMs to increase the production and sale of NEVs. Excess positive NEV credits are tradable and may be sold to other enterprises through a credit trading scheme established by the PRC Ministry of Industry and Information Technology. For further information relating to these credits, please refer to “Item 4. Information on the Company—B. Business Overview—Regulations—PRC Government Regulations— Favorable Government Policies Relating to New Energy Vehicles in mainland China—Corporate Average Fuel Consumption and New Energy Vehicle Credit Schemes for Vehicle Manufacturers and Importers.” Any changes in government policies to restrict or eliminate such credits trading could adversely affect our business, financial condition, and results of operations.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negative influence could continue. Furthermore, China’s central government provides certain local governments with funds and subsidies to support the roll-out of charging infrastructure. See “Item 4. Information on the Company—B. Business Overview —Regulations—PRC Government Regulations—Favorable Government Policies Relating to New Energy Vehicles in mainland China.” These policies are subject to change and beyond our control. We cannot assure you that any changes would be favorable to our business. Furthermore, any reduction, elimination, delayed payment or discriminatory application of government subsidies and economic incentives because of policy changes, the reduced need for such subsidies and incentives due to the perceived success of electric vehicles, fiscal tightening or other factors may result in the diminished competitiveness of the alternative fuel vehicle industry generally or our electric vehicles in particular.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 foregoing could materially and adversely affect our business, results of operations, financial condition and prospects.</w:t>
      </w:r>
    </w:p>
    <w:p>
      <w:pPr>
        <w:spacing w:after="0" w:line="2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vary significantly from period to period due to the seasonality of our business and fluctuations in our operating costs.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results of operations may vary significantly from period to period due to many factors, including seasonal factors that may affect the demand for our vehicles. Automotive manufacturers typically experience seasonality with comparatively low sales in the first quarter, and comparatively high in fourth quarter of the calendar year. Our limited operating history makes it difficult for us to judge the exact nature or extent of the seasonality of our business. Also, any unusually severe weather conditions in certain regions may impact demand for our vehicles. Our results of operations could also suffer if we do not achieve revenue consistent with our expectations for this seasonal demand because many of our expenses are based on anticipated levels of annual revenue.</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expect our period-to-period results of operations to vary based on our operating costs, which we anticipate will increase significantly in future periods as we, among other things, design and develop our BEVs and new models and have them manufactured, build and equip new manufacturing facilities to produce such components, open new retail stores and delivery centers, increase our sales and marketing activities, and increase our general and administrative functions to support our growing operations.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these factors, we believe that period-to-period comparisons of our results of operations are not necessarily meaningful and that these comparisons cannot be relied upon as indicators of future performance. Moreover, our results of operations may not meet expectations of equity research analysts or investors. If this occurs, the trading price of our securities could fall substantially either suddenly or over time.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and epidemics, natural disasters, terrorist activities, political unrest, and other outbreaks could disrupt our production, delivery, and operations, which could materially and adversely affect our business, financial condition, and results of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Global pandemics, epidemics in any jurisdictions we operate, or fear of spread of contagious diseases, such as Ebola virus disease (EVD), COVID-19, Middle East respiratory syndrome (MERS), severe acute respiratory syndrome (SARS), H1N1 flu, H7N9 flu, and avian flu, as well as hurricanes, earthquakes, tsunamis, or other natural disasters could disrupt our business operations, reduce or restrict our supply of materials and services, incur significant costs to protect our employees and facilities, or result in regional or global economic distress, which may materially and adversely affect our business, financial condition, and results of operations. Actual or threatened war, terrorist activities, political unrest, civil strife, and other geopolitical uncertainty could have a similar adverse effect on our business, financial condition, and results of operations. Any one or more of these events may impede our production and delivery efforts and adversely affect our sales results, or even for a prolonged period of time, which could materially and adversely affect our business, financial condition, and results of operations.</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Beginning in 2020, outbreaks of COVID-19 resulted in the temporary closure of many corporate offices, retail stores, and manufacturing facilities across China. Normal economic life throughout China was sharply curtailed. The population in most of the major cities was locked down to a greater or lesser extent at various times and opportunities for discretionary consumption were extremely limited. China began to modify its zero-COVID policy at the end of 2022, and most of the travel restrictions and quarantine requirements were lifted in December 2022. There were surges of cases in many cities during this time which caused disruption to our and our suppliers’ operations, and there remains uncertainty as to the future impact of the virus, especially in light of this change in policy. The extent to which the pandemic impacts our results of operations going forward will depend on future developments which are highly uncertain and unpredictable, including the frequency, duration and extent of outbreaks of COVID-19, the appearance of new variants with different characteristics, the effectiveness of efforts to contain or treat cases, and future actions that may be taken in response to these developments. China may experience lower domestic consumption, higher unemployment, severe disruptions to exporting of goods to other countries and greater economic uncertainty, which may impact our business in a negative way. Consequently, the COVID-19 pandemic may continue to adversely affect our business, financial condition and results of operations in the current and future years.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also vulnerable to natural disasters and other calamities.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damage to our property, delays in production, breakdowns, system failures, technology platform failures, or internet failures, which could cause the loss or corruption of data or malfunctions of software or hardware as well as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carry commercial insurance, including employee benefit insurance, employer’s liability insurance, household property insurance, medical insurance, test drive insurance, overseas business trip insurance, and property insurance (including property all risks, public liability insurance, and cargo transportation insurance), such liability insurance coverage for our products and business operations is limited. A successful liability claim against us, regardless of whether due to injuries suffered by our customers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or may be subject to risks associated with strategic alliances or acquisitions.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entered into and may in the future enter into strategic alliances, including joint ventures or minority equity investments, with various third parties to further our business purpose from time to time. For example, we entered into the Distribution Agreement, pursuant to which we are the exclusive distributor to distribute the vehicles manufactured by Lotus UK within China, among other territories. These alliances could subject us to a number of risks, including risks associated with sharing proprietary information, non-performance by third parties, and increases in expenses in integrating and realizing synergies, any of which may materially and adversely affect our business. We may have limited ability to monitor or control the actions of these third parties and, to the extent any of these third parties suffers negative publicity or harm to their reputation from events relating to their businesses, we may also suffer negative publicity or harm to our reputation by virtue of our association with any such third party.</w:t>
      </w:r>
    </w:p>
    <w:p>
      <w:pPr>
        <w:spacing w:after="0" w:line="17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addition, if appropriate opportunities arise, we may acquire additional assets, products, technologies, or businesses that are complementary to our existing business. In addition to possible shareholder approval, we may have to obtain approvals and clearances from government authorities for such acquisitions in order to comply with any applicable laws and regulations of mainland China, which could result in increasing delay and costs, and may derail our business strategy if we fail to do so. Moreover, the costs of identifying and consummating acquisitions may be significant.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synergies or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Any acquired business may be involved in legal proceedings originating from historical periods prior to the acquisition, and we may not be fully indemnified, or at all, for any damage to us resulting from such legal proceedings, which could materially and adversely affect our financial position and results of operations.</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be unable to accurately report our financial results or prevent fraud, and investor confidence in our company and the market price of our securities may be adversely affected.</w:t>
      </w:r>
    </w:p>
    <w:p>
      <w:pPr>
        <w:spacing w:after="0" w:line="18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In connection with the issuance of our audited consolidated and combined financial statements as of and for the year ended December 31, 2021, we and our independent registered public accounting firm identified the following two material weaknesses in our internal control over financial reporting: (i) our Company’s lack of sufficient competent financial reporting and accounting personnel with appropriate understanding of U.S. GAAP and financial reporting requirements set forth by the SEC required to formalize, design, implement and operate key controls over financial reporting processes to comply with U.S. GAAP and SEC financial reporting requirements; and (ii) our Company’s lack of period end financial closing policies and procedures to formalize, design, implement and operate key controls over period end financial closing process for the preparation of consolidated and combined financial statements, including disclosures, in accordance with U.S. GAAP and SEC financial reporting requirements. In connection with the issuance of our audited consolidated and combined financial statements as of and for the year ended December 31, 2022, we and our independent registered public accounting firm identified one material weakness in our internal control over financial reporting relate to our lack of sufficient competent financial reporting and accounting personnel with appropriate understanding of U.S. GAAP and financial reporting requirements set forth by SEC to formalize, design, implement and operate key controls over financial reporting process to properly address complex U.S. GAAP accounting issues and related disclosures in accordance with U.S. GAAP and financial reporting requirements set forth by the SEC. In connection with the issuance of our audited consolidated and combined financial statements as of and for the year ended December 31, 2023, we identified two material weaknesses in our subsidiary in United Kingdom, or the UK subsidiary. The material weaknesses identified are: (i) the UK subsidiary did not appropriately design, implement and maintain effective controls to recognize revenue, relating to the proper application of Accounting Standards Codification Topic 606, and (ii) the UK subsidiary did not appropriately design, implement and maintain effective controls over the completeness and accuracy of accounting for inventory and inventory related transactions, including (a) controls to ensure that all inventory is appropriately tracked and recorded on a timely basis, and (b) controls to ensure the differences identified during the year-end physical inventory count procedures are properly addressed.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Following the identification of the material weaknesses, we have taken measures and plan to continue to take measures to remedy these material weaknesses. See “Item 15. Controls and Procedures.” However, we cannot assure you that the implementation of these measures will be sufficient to eliminate such material weaknesses, or that material weaknesses in our internal control over financial reporting will not be identified in the future. Our failure to correct these material weaknesses or our failure to discover and address any other material weaknesses or significant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Following the completion of the Business Combination, we have become a public company in the U.S. and subject to the Sarbanes-Oxley Act of 2002. Section 404 of the Sarbanes-Oxley Act, or Section 404, requires that we include a report from management on the effectiveness of our internal control over financial reporting in our annual report on Form 20-F beginning with our annual report for the fiscal year ending December 31, 2024.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securities.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8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Interruption or failure of our information technology and communications systems could affect our ability to effectively provide our services.</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in-car technology system, and other digitalized sales, service, customer relationship, internal information and knowledge management systems depend on the continued operation of our information technology and communications systems. These systems are vulnerable to damage or interruption from, among others, fire, terrorist attacks, natural disasters, power loss, telecommunications failures, computer viruses, computer denial of service attacks, or other attempts to harm our systems. The occurrence of any of the foregoing events could result in damage to or failure of our systems. These risks may be heightened for operations at facilities outside of our direct control. Any network interruption or inadequacy that causes interruptions to our products or the access to our product operating systems, or failure to maintain the network and server or solve such problems in a timely manner, could reduce our user satisfaction, which, in turn, will adversely affect our reputation, user base and future operations, and financial condition. Our data centers are also subject to break-ins, sabotage, hackings, malfunctions, loss or corruption of data, software, hardware or other computer equipment, the intentional or inadvertent transmission of computer viruses, software errors, malware, security attacks, fraud, and intentional or accidental human actions or omissions, and to potential disruptions. Some of our systems are not fully redundant, and our disaster recovery planning cannot account for all eventualities. Any problems at our data centers could result in lengthy interruptions in our service. In addition, our products and services are highly technical and complex and may contain errors or vulnerabilities, which could result in interruptions in our services or the failure of our systems.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construction and operation of our headquarters in Wuhan is subject to regulatory approvals and may be subject to delays, cost overruns or may not produce expected benefits.</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currently building, and expect to continue to develop, our headquarters in Wuhan, on land over which we have acquired land use right certificates. Major construction projects, such as the construction of our headquarters in Wuhan, require significant capital, and are subject to numerous risks and uncertainties, including, delays, cost overruns, disputes with builders and contractors, construction quality issues, safety considerations, which are factors that we cannot control. Any failure to complete these projects on schedule and within budget could adversely impact our financial condition and results of operations. Under laws of mainland China, construction projects are subject to broad and strict government supervision and approval procedures, including but not limited to project approvals and filings, construction land and project planning approvals, environment protection approvals, the pollution discharge permits, work safety approvals, fire protection approvals, and the completion of inspection and acceptance by the authorities. The construction projects being or to be carried out by us are undergoing necessary approval procedures as required by law. As a result, the entities operating such construction projects may be subject to administrative uncertainty construction projects in question within a specified time frame, fines or the suspension of use of such projects. Any of the foregoing could have a material adverse impact on our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manufacturing partner, Geely Holding, are subject to various environmental laws and regulations in jurisdictions we operate that could impose substantial costs upon us.</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an automobile developer, our operations and the operations of our manufacturing partner, Geely Holding, are subject to various environmental laws and regulations in jurisdictions we operate, including laws relating to the use, handling, storage, and disposal of, and human exposure to, hazardous materials, fuel economy and emissions, and with respect to constructing, expanding and maintaining manufacturing facilities among other things. Environmental laws and regulations can be complex, and our business and operations and those of Geely Holding may be affected by future amendments to such laws or other new environmental laws which may require us to change our operations, potentially resulting in a material adverse effect on our business.These laws can give rise to liability for administrative oversight costs, cleanup costs, property damage, bodily injury, and fines and penalties. Capital and operating expenses needed to comply with environmental laws and regulations can be significant, and violations may result in substantial fines and penalties, third-party damages, suspension of production or a cessation of our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subject to laws, regulations and regulatory agencies regarding environmental protection like EU Regulation 715/2007 in the EU and the U.K., federal level requirements of the Clean Air Act and laws and regulations administered by the National Highway Traffic Safety Administration and the Environmental Protection Agency and other state level regulations in the United State, and the Provisions on the Administration of Investments in the Automotive Industry in China. The costs of compliance to environmental laws and regulations, including remediating contamination if any is found on our properties and any changes to our operations mandated by new or amended laws, may be significant. We may also face unexpected delays in obtaining environmental permits and approvals required by such laws in connection with the manufacturing and sale of our vehicles, which would hinder our ability to conduct our operations. Such costs and delays may adversely impact our business prospects and results of operations. Furthermore, any violations of these environmental laws and regulations may result in litigation, substantial fines and penalties, remediation costs, third party damages or a suspension or cessation of our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proceedings in the ordinary course of our business. If the outcomes of such proceedings are adverse to us, it could have a material adverse effect on our business, results of operations, and financial condition.</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customers, our competitors, governmental entities in civil or criminal investigations and proceedings, or other entities. These claims could be asserted under a variety of laws, including but not limited to product liability laws, consumer protection laws, intellectual property laws, labor and employment laws, securities laws, tort laws, contract laws, property laws, data compliance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Such actions could also expose us to negative publicity and to substantial monetary damages and legal defense costs, injunctive relief, and criminal, civil, and administrative fines and penalties.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and financial results may be adversely affected by economic slowdown globally and in any jurisdictions we operate.</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success of our business ultimately depends on consumer spending. Our revenues and financial results are impacted to a significant extent by economic conditions globally and in any jurisdictions we operate. The global macroeconomic environment is facing numerous challenges. Any slowdown could significantly reduce domestic commerce in jurisdictions we operate, including through the automobile market generally and through us. In addition, there is considerable uncertainty over the long-term effects of the expansionary monetary and fiscal policies adopted by the central banks and financial authorities of some of the world’s leading economies, including the U.S. and China. The conflicts in Ukraine and the imposition of broad economic sanctions on Russia could raise energy prices and disrupt global markets. Unrest, terrorist threats and the potential for war in the Middle East, the Red Sea and elsewhere may increase market volatility across the globe. There have also been concerns about the relationship between China and other countries, including the surrounding Asian countries, which may potentially have economic effects. In particular, there is significant uncertainty about the future relationship between the U.S. and China with respect to trade policies, treaties, government regulations, and tariffs. In addition, the COVID-19 pandemic had negatively impacted the economies of China, the U.S., and numerous other countries around the world. Economic conditions in jurisdictions we operate may be sensitive to global economic conditions, as well as changes in domestic economic and political policies and the expected or perceived overall economic growth rate in specific jurisdiction. Any severe or prolonged economic slowdown globally and in any jurisdictions we operate may materially and adversely affect our business, results of operations,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Heightened tensions in international relations may adversely impact our business, financial condition, and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Recently there have been heightened tensions in international relations, particularly between the U.S. and China and the conflict in the Red Sea as well as between Russia and Ukraine. These tensions have affected both diplomatic and economic ties. Heightened tensions could reduce levels of trade, investments, technological exchanges, and other economic activities among major economies. Sanctions may create supply constraints and drive inflation. The existing tensions and any further deterioration in international relations may have a negative impact on the general, economic, political, and social conditions and adversely impact our business, financial condition and results of operations.</w:t>
      </w:r>
    </w:p>
    <w:p>
      <w:pPr>
        <w:spacing w:after="0" w:line="17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Government policies restricting international trade and investment, such as capital controls, economic or trade sanctions, export controls, tariffs or foreign investment filings and approvals, may affect the demand for our products and services and those of our customers, impact the competitive position of our products, or prevent us from being able to sell products in certain countries.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U.S. government has made statements and taken certain actions that may lead to changes in U.S. and international trade policies towards China. In January 2020, the “Phase One” agreement was signed between the U.S. and China on trade matters. However, it remains unclear what additional actions, if any, will be taken by the U.S. or other governments with respect to international trade agreements, the imposition of tariffs on goods imported into the U.S., tax policy related to international commerce, human rights-based trade restrictions or other trade matters. Any unfavorable government policies on international trade, such as capital controls or tariffs, may affect the demand for our products and services, impact the competitive position of our products or prevent us from selling products in certain countries. If any new tariffs, legislation and/or regulations are implemented, or if existing trade agreements are renegotiated or, in particular, if the U.S. government takes retaliatory trade actions due to recent U.S.-China trade tensions, such changes could have an adverse effect on our business, financial condition and results of operations.</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have been closely monitoring domestic policies in the U.S. designed to restrict certain Chinese companies from supplying or operating in the U.S. market. These policies include the Clean Network project initiated by the U.S. Department of State in August 2020 and new authorities granted to the Department of Commerce to prohibit or restrict the use of information and communications technology and services. While a substantial majority of our business is conducted in China, policies like these may deter U.S. users from accessing and/or using our apps, products and services, which could adversely impact our user experience and reputation.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Likewise, we are monitoring policies in the U.S. that are aimed at restricting U.S. persons from investing in or supplying certain Chinese companies. The U.S. and various foreign governments have imposed controls, license requirements and restrictions on the import or export of technologies and products (or voiced the intention to do so). For instance, in October 2022, the U.S. Commerce Department’s Bureau of Industry and Security issued rules aimed at restricting China’s ability to obtain advanced computing chips, develop and maintain supercomputers, and manufacture advanced semiconductors. In addition, the U.S. government may potentially impose a ban prohibiting U.S. persons from making investments in or engaging in transactions with certain Chinese companies. In August 2023, the President of the U.S. issued an executive order which prohibits certain new U.S. investment in China in sensitive technologies, such as computer chips and requires government notification in other technology sectors. Measures such as these could deter suppliers in the U.S. and/or other countries that impose export controls and other restrictions from providing technologies and products to, making investments in, or otherwise engaging in transactions with Chinese companies. As a result, Chinese companies would have to identify and secure alterative supplies or sources of financing, while they may not be able to do so in a timely manner and at commercially acceptable terms, or at all. In addition, Chinese companies may have to limit and reduce their research and development and other business activities, or cease conducting transactions with parties, in the U.S. and other countries that impose export controls or other restrictions. In addition, on March 1, 2024, the U.S. Department of Commerce published an advance notice of proposed rulemaking seeking comments on whether and how it should regulate certain transactions involving information and communications technology and services integral to “connected vehicles” designed or produced by certain foreign entities. At this point, no such rules have been proposed, but future regulatory changes in this regard could affect the ability of our customers to sell into the United States market and therefore casting a material adverse impact on our business and operations. Like other Chinese companies, our business, financial condition and results of operations could be adversely affected as a result.</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conflict in the Red Sea and the conflict between Russia and Ukraine have, and are likely to continue to, generate uncertain geopolitical conditions, sanctions, and other potential impacts on the global economic activities. While we do not have substantial operations in these areas or any direct suppliers (i.e., Tier 1 supplier) from these areas, there is no guarantee that these geopolitical tensions will not cause reduce levels of trade, investments and technological exchanges, or result in disruption to our global economic activities and supply chains, which in turn may have an adverse impact on our business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Due to shifting economic and political conditions, tax policies and laws, tax rates in jurisdictions in which we operate may be subject to significant changes that could impair our financial results. In 2021, the Organization for Economic Cooperation and Development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Various tax jurisdictions in which we operate have either recently enacted legislation to adopt certain components of the Pillar Two Model Rules beginning in 2024 with the adoption of additional components in later years, or announced their plans to enact such legislation in future years. We will continue to evaluate the impact of such legislative initiatives in the tax jurisdictions in which we operate. There are uncertainties regarding the rules and implementations, and there is no guarantee that these changes will not affect our financial results.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Unexpected termination of leases, failure to renew the lease of our existing premises or to renew such leases at acceptable terms could materially and adversely affect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lease premises for research and development, company-operated stores, delivery and servicing centers, charging stations and offices. We cannot assure you that we would be able to renew these lease agreements without substantial additional costs or increases in the rental cost payable by us. If a lease agreement is renewed at a rent substantially higher than the current rate, or currently existing favorable terms granted by the lessor are not extended, our business and results of operations may be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options and other types of awards under our share incentive plan, which may result in increased share-based compensation expenses.</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adopted a share incentive plan in September 2022, or the 2022 Share Incentive Plan, for the purpose of attracting and retaining the best available personnel, providing additional incentives to employees, directors and consultants, and promoting the success of our business. Under the 2022 Share Incentive Plan, we are authorized to grant options. The maximum aggregate number of ordinary shares that may be issued pursuant to all awards under the 2022 Share Incentive Plan is 51,550,661 (after giving effect to the recapitalization upon the business combination with LCAA). As of March 31, 2024, a total of awards to purchase 15,815,421 ordinary shares have been granted under the 2022 Share Incentive Plan and outstanding, excluding awards that were forfeited or cancelled after the grant dates and after giving effect to the recapitalization upon the business combination with LCAA. See “Item 6. Directors, Senior Management and Employees—B. Compensation—Share Incentive Plan.” The plan administrator determines the exercise price for each award.</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the granting of share-based awards is of significant importance to our ability to attract and retain key personnel and employees, and we may continue to grant share-based compensation to employees in the future. As a result, our expenses associated with share-based compensation may increase, which may have an adverse effect on our results of operations.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perspective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continued efforts of our executive officers, key employees and qualified personnel, and our operations may be severely disrupted if we lose their services.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success depends substantially on the continued efforts of our executive officers and key employees with expertise in various areas. If one or more of our executive officers or key employees were unable or unwilling to continue their services with us, we may not be able to replace them easily in a timely manner, or at all. As we build up our brand awareness and become more well-known, the risk that competitors or other companies may poach our talent increases.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industry is characterized by high demand and intense competition for talent, in particular with respect to qualified talent in the areas of automotive intelligence technologies, and therefore, we cannot assure you that we will be able to continue to attract or retain qualified staff or other highly skilled employees. In addition, because we are operating in a new and challenging industry that requires continuous innovations of technologies and solutions, we may not be able to hire qualified individuals with sufficient training in a timely manner, and we may need to spend significant time and resources training the employees we hire. We also require sufficient talent in areas such as software development. Furthermore, as our company is relatively young, our ability to train and integrate new employees into our operations may not meet the growing demands of our business, which may materially and adversely affect our ability to grow our business and our results of operations.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any of our executive officers and key employees terminates his or her services with us, our business may be severely disrupted, our financial condition and results of operations may be materially and adversely affected, and we may incur additional expenses to recruit, train, and retain qualified personnel. If any of our executive officers or key employees joins a competitor or forms a competing company, we may lose customers, know-how, and key professionals and staff members. While each of our executive officers and key employees has entered into an employment agreement with non-compete clauses with us, if any dispute arises between our executive officers or key employees and us, the non-competition provisions may not be enforceable, especially under laws of mainland China, on the ground that we have not provided adequate compensation to them for their non-competition obligations.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anti-corruption, anti-bribery, anti-money laundering, financial and economic sanctions, and similar laws, and noncompliance with such laws can subject us to administrative, civil, and criminal penalties, collateral consequences, remedial measures, and legal expenses, all of which could adversely affect our business, results of operations, financial condition, and reputation.</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be subject to anti-corruption, anti-bribery, anti-money laundering, financial and economic sanctions, and similar laws and regulations in various jurisdictions in which we conduct activities, including the U.S. Foreign Corrupt Practices Act, or FCPA, and other anti-corruption laws and regulations.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reputation, financial condition, and results of operations.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direct or indirect interactions with officials and employees of government agencies and state-owned affiliated entities in the ordinary course of business. We also have business collaborations with government agencies and state-owned affiliated entities. These interactions subject us to an increasing level of compliance-related concerns. We are in the process of implementing policies and procedures designed to ensure compliance by us and our directors, officers, employees, consultants, agents, and business partners with applicable anti-corruption, anti-bribery, anti-money laundering, financial and economic sanctions, and similar laws and regulations. However, our policies and procedures may not be sufficient and our directors, officers, employees, consultants, agents, and business partners could engage in improper conduct for which we may be held accountable.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reputation, financial condition, and results of operations.</w:t>
      </w:r>
    </w:p>
    <w:p>
      <w:pPr>
        <w:spacing w:after="0" w:line="16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rights granted to Meritz in connection with the Meritz Investment could limit the funds available to us or result in potentially dilution of our then existing shareholders.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Meritz Subscription Agreement, Meritz has a put option to sell, upon the occurrence of certain credit events in respect of us (including any change of control, delisting or suspension of trading for 30 consecutive trading days, or non-payment of financial indebtedness or final judgment or court order over specified amount), certain collateral-related defaults, failure to comply with certain financial covenants, or failure to satisfy the registration condition with respect to Meritz Subscription Shares, or on February 22, 2027, all or part of the Ordinary Shares subscribed and then held by it to us at an agreed return, which is (i) an amount that provides Meritz with a 12.5% internal rate of return on the product of: (a) US$500,000,000; and (b) a fraction, (x) the numerator of which is the number of the Meritz Subscription Shares with respect to which Meritz exercises its put option, or the Put Option Shares; and (y) the denominator of which is 50,000,000 (subject to any applicable anti-dilution adjustment), less (ii) an amount that yields a 12.5% internal rate of return on any cash dividends actually received by Meritz from us with respect to the Put Option Shares.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Meritz’s rights described above and certain other rights and entitlements of Meritz under the Meritz Subscription Agreement are secured by a fixed charge in favor of Meritz over a restricted securities account of us holding U.S. treasury bonds and/or U.S. treasury bills and a fixed charge granted by us in favor of Meritz over a restricted cash account of us. In the event the market price of the Ordinary Shares drops below a certain level, we will under certain circumstances be required to top up additional cash into such restricted cash account to provide additional security. Pursuant to the Meritz Subscription Agreement, we deposited into the restricted securities account</w:t>
      </w:r>
    </w:p>
    <w:p>
      <w:pPr>
        <w:spacing w:after="0" w:line="2" w:lineRule="exact"/>
        <w:rPr>
          <w:sz w:val="20"/>
          <w:szCs w:val="20"/>
          <w:color w:val="auto"/>
        </w:rPr>
      </w:pPr>
    </w:p>
    <w:p>
      <w:pPr>
        <w:jc w:val="both"/>
        <w:ind w:firstLine="8"/>
        <w:spacing w:after="0" w:line="249" w:lineRule="auto"/>
        <w:tabs>
          <w:tab w:leader="none" w:pos="22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treasury bonds with the aggregate outstanding principal amount of US$325,000,000, and (ii) certain U.S. treasury bonds and/or U.S. treasury bills with the aggregate outstanding principal amount of US$175,000,000. In addition, the security documents granting the foregoing security interests provide Meritz with right to freely sell, assign, pledge, rehypothecate, lend, invest, use, commingle or otherwise dispose of, and otherwise use in its business (with any of the foregoing being referred to herein as “Rehypothecate”) all collateralized U.S. treasury bonds and/or U.S. treasury bills during the applicable security period without any further consent of LTC, subject to the applicable terms and conditions of the security documents. Subject to the applicable terms and conditions of the security documents, Meritz shall be obligated to (a) in the event that we are permitted under the Meritz Subscription Agreement to withdraw any Rehypothecated U.S. treasury bonds and/or U.S. treasury bills and requests to do so, return U.S. treasury bonds and/or U.S. treasury bills in the same class and issue and outstanding principal amount as the U.S. treasury bonds and/or U.S. treasury bills subject to withdrawal to the restricted securities account, and (b) return all Rehypothecated U.S. treasury bonds and/or U.S. treasury bills to the restricted securities account upon the earlier of (i) the expiry of the applicable security period or (ii) the occurrence of any insolvency event, bankruptcy, liquidation, dissolution or winding up or similar event, whether voluntary of involuntary, or a filing for bankruptcy or similar proceedings in respect of Meritz. In connection with the Meritz Investment, we undertake to ensure the total amount of freely available cash that is not subject to any legal or contractual restrictions as to withdrawal or use (excluding any restriction that is imposed by the foreign exchange rules or policies under applicable law) held by it as of the last date of each fiscal quarter shall be no less than US$175,000,000, in each case as evidenced in the applicable quarterly financial results filed or furnished by us with the SEC pursuant to a Current Report on Form 6-K. For more details, see “Item 7. Major Shareholders and Related Party Transactions—B. Related Party Transactions—Certain Business Combination Related Agreements—Meritz Investment.”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be required to use a substantial portion of our cash to provide security and, if Meritz exercises its put option, purchase Ordinary Shares held by Meritz. In addition, we may be required to acquire additional cash and/or not deploy a substantial portion of its cash to satisfy the covenant with respect to the minimum required level of freely available cash. The payment of the Put Option Price and the requirement to not withdraw or use freely available cash will reduce the funds available to us for working capital, capital expenditures, and other corporate purposes, which may in turn limit our ability to implement our business strategy. There can be no assurance that we will generate sufficient cash flows from operations or that future financing will be available to us in amounts sufficient to enable us to fund our operations after providing the security interests and making timely payments in respect of Meritz’s investment as described above. In addition, we are subject to the risk that Meritz fails to return all or any of the Rehypothecated U.S. treasury bonds and/or U.S. treasury bills in accordance with the security documents when requested by us in accordance with the security documents. Any such failure would further reduce the funds available to us, which could adversely affect our ability to continue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China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meet the PRC government’s complex regulatory requirements on and significant oversight over our business operation could result in a material adverse change in our operations and the value of our securities.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major part of our operations is located in China. The PRC government has significant authority to influence and intervene in the China operations of an offshore holding company, such as Lotus Technology Inc., at any time. Accordingly, our business, prospects, financial condition, and results of operations may be influenced to a significant degree by political, economic, and social conditions in China generally.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degree of government involvement, level of development, growth rate, control of foreign exchange and allocation of resources. Although the PRC government has implemented measures to underscore the importance of the utilization of market forces for economic reform, the divestment of state ownership in productive assets and the establishment of improved corporate governance in business enterprises, a substantial portion of productive assets in China are still owned by the government. In addition, the PRC government continues to play a significant role in regulating industry development by imposing industrial policies. The PRC government also exercises significant control over China’s economic growth through strategically allocating resources, controlling payment of foreign currency-denominated obligations, setting monetary policy and providing preferential treatment to selected industries or companies. Furthermore, PRC government’s certain administrative measures in regulating (i) our operations and (ii) offerings conducted overseas by, and foreign investment in, China-based issuers, could significantly limit or completely hinder our ability to offer or continue to offer securities to investors and cause the value of such securities to significantly decline.</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uneven, both geographically and among different sectors of the economy. The PRC government has implemented various measures to generate economic growth and strategically allocate resources. Some of these measures may benefit the Chinese economy overall, but may have a negative effect on us. Any slowdown in the Chinese economy may reduce the demand for our products and services and materially and adversely affect our business and results of operations.</w:t>
      </w:r>
    </w:p>
    <w:p>
      <w:pPr>
        <w:spacing w:after="0" w:line="1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complexity, uncertainties and changes in regulations of mainland China on automotive as well as internet-related businesses and companies.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operate in highly regulated industries. In particular, our vehicle manufacturing is subject to extensive regulations in China, including but not limited to regulations relating to manufacturing passenger vehicles, regulations on compulsory product certification, regulations on intelligent connected vehicles and autonomous driving, regulations on automobile sales, regulations on the recall of defective automobiles, regulation on import and export of goods, regulations on product liability and consumer protection, and regulations relating to battery recycling for electric vehicles, see “Item 4. Information on the Company—B. Business Overview— Regulations—PRC Government Regulations.” Several PRC regulatory authorities, such as the State Administration for Market Regulation, NDRC, the Ministry of Industry and Information Technology, and the Ministry of Commerce, oversee different aspects of our operations, including but not limited to:</w:t>
      </w:r>
    </w:p>
    <w:p>
      <w:pPr>
        <w:spacing w:after="0" w:line="192" w:lineRule="exact"/>
        <w:rPr>
          <w:sz w:val="20"/>
          <w:szCs w:val="20"/>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vehicle manufacturing enterprises;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admission of NEVs;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compulsory product certification;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sales model;</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vehicle;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protection system;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safety and occupational health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We are required to obtain a wide range of government approvals, licenses, permits, and registrations in connection with our operations as well as to follow multiple mandatory standards or technical norms in our manufacturing and our vehicles. However, the interpretation of these regulations may change and new regulations may come into effect, which could disrupt or restrict our operations, reduce our competitiveness, or result in substantial compliance costs. For example, pursuant to the Administrative Rules on the Admission of New Energy Vehicle Manufacturers and Products which was promulgated by the Ministry of Industry and Information Technology on January 6, 2017, last amended on July 24, 2020 and became effective from September 1, 2020, our vehicles must meet the requirements set forth in the New Energy Vehicle Products Special Examination Project and Standards stipulated and amended by the Ministry of Industry and Information Technology from time to time based on the development of the NEV industry and its standards. In addition, certain filings must be made by automobile dealers through the information system for the national automobile circulation operated by the commerce department within 90 days after the receipt of a business license and the information must be updated within 30 days after the change of basic information recorded. Moreover, our direct sales model is relatively new and uncommon in the automotive industry, and there can be no assurance that this model will not be subject to further regulations. As we are expanding our sales and distribution network and setting up additional retail stores in China, we cannot assure you that we will be able to complete such filings in a timely manner. If any of our current or future sales subsidiaries or branches fail to make the necessary filings, such sales subsidiaries or branches may be subject to orders to promptly rectify the non-compliance or fines up to RMB10,000. Furthermore, the NEV industry is relatively new in China, and the PRC government has not adopted a clear regulatory framework to regulate the industry yet. As some of the laws, rules, and regulations that we may be subject to were primarily enacted with a view toward application to ICE vehicles, or are relatively new, there are significant uncertainties regarding their interpretation and application with respect to our business. We cannot assure you that we have satisfied or will continue to satisfy all of the laws, rules, and regulations in a timely manner or at all.</w:t>
      </w:r>
    </w:p>
    <w:p>
      <w:pPr>
        <w:spacing w:after="0" w:line="20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PRC regulatory authorities’ interpretation of such laws, rules, and regulations may change, which could materially and adversely affect the validity of the approvals, qualifications, licenses, permits, and registrations we obtained or completed. Any failure to comply may result in fines, restrictions, and limits on our operations, as well as suspension or revocation of certain certificates, approvals, permits, licenses, or filings we have already obtained or made.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PRC government imposes foreign ownership restriction and the licensing and permit requirements for companies in the internet industry. See “Item 4. Information on the Company—B. Business Overview—Regulations—PRC Government Regulations—Regulations on Foreign Investment in China” and “PRC Government Regulations—Regulations on Value-added Telecommunications Services.” These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approval of and/or filing with CSRC or other PRC government authorities may be required in connection with our future offshore offerings under PRC law, and, if required, we cannot predict whether or for how long we will be able to obtain such approval or complete such filing.</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Regulations on Mergers and Acquisitions of Domestic Companies by Foreign Investors, or the M&amp;A Rules, adopted by six different PRC regulatory authorities in 2006 and amended in 2009, purports to require offshore special purpose vehicles that are controlled by PRC companies or individuals and that have been formed for the purpose of seeking a public listing on an overseas stock exchange through acquisitions of PRC domestic companies or assets to obtain an approval of the China Securities Regulatory Commission, or CSRC prior to publicly listing their securities on an overseas stock exchange. The interpretation and application of the regulations remain unclear, and our offshore offerings may ultimately require approval from CSRC. If CSRC approval is required, it is uncertain whether we are able to and how long it will take for us to obtain such approval, and, even if we obtain such CSRC approval, the approval could be rescinded. Any failure to obtain or any delay in obtaining CSRC approval for our listing, or a rescission of such approval may subject us to sanctions imposed by CSRC or other PRC regulatory authorities, which could include fines and penalties on our operations in China, restrictions or limitations on our ability to pay dividends outside of China, and other forms of sanctions that may materially and adversely affect our business, financial condition, and results of operations.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8"/>
          <w:szCs w:val="18"/>
          <w:color w:val="auto"/>
        </w:rPr>
        <w:t>The PRC government has recently sought to exert more oversight and control over offerings that are conducted overseas or foreign investment in China-based issuers. The Opinions, among others, emphasizes the need to strengthen cross-border regulatory cooperation and the administration and supervision of China-based issuers, and to establish a comprehensive regulatory system for the application of PRC capital market laws and regulations outside China. On February 17, 2023, CSRC promulgated the Overseas Listing Filing Rules, which became effective on March 31, 2023. According to the Overseas Listing Filing Rules, the offering or listing of shares, depository receipts, convertible corporate bonds, or other equity-like securities by a PRC domestic company in an overseas stock market, whether directly or indirectly through an offshore holding company, should be filed with CSRC. If a PRC domestic company intends to complete a direct or indirect overseas (i) initial public offering and listing, or (ii) listing of shares in the name of an overseas enterprise on the basis of the equity, assets, income or other similar rights of the PRC domestic company through a single or multiple acquisitions, share swaps, shares transfers or other means, the issuer (if the issuer is a PRC domestic company) or its designated major PRC domestic operating entity (if the issuer is an offshore holding company), in each applicable event, the reporting entity, shall complete the filing procedures with CSRC within three business days after the issuer submits its application documents relating to the initial public offering and/or listing or after the first public announcement of the transaction (if the submission of application documents is not required). The determination of whether any offering or listing is “indirect” will be made on a “substance over form” basis. An offering or listing of an issuer will be considered as an overseas indirect offering or listing by PRC domestic companies if both of the following conditions are met with respect to such issuer: (i) the revenues, profit, total assets, or net assets of PRC domestic companies in the most recent fiscal year constitute more than 50% of the line item in the issuer’s audited consolidated and combined financial statements for that year; and (ii) the majority of the senior management personnel responsible for its business operations and management are PRC citizens or have their ordinary residence in China, or if its main place of business is in China or if its business operation is primarily conducted in China. In addition, according to the Overseas Listing Filing Rules and a set of Q&amp;A published on CSRC’s official website in connection with the release of the Overseas Listing Filing Rules, if it is explicitly required (in the form of institutional rules) by any regulatory authority having jurisdiction over the industry and field that regulatory procedures should be performed prior to the overseas listing of a PRC domestic company, such company must obtain the regulatory opinion, approval and other documents from and complete any required filing with such competent authority before submitting a CSRC filing. The reporting entity shall make a timely report to CSRC and update its CSRC filing within three business days after the occurrence of any of the following material events, if any of them occurs after obtaining its CSRC filing and before the completion of the offering and/or listing:</w:t>
      </w:r>
    </w:p>
    <w:p>
      <w:pPr>
        <w:spacing w:after="0" w:line="19" w:lineRule="exact"/>
        <w:rPr>
          <w:sz w:val="20"/>
          <w:szCs w:val="20"/>
          <w:color w:val="auto"/>
        </w:rPr>
      </w:pPr>
    </w:p>
    <w:p>
      <w:pPr>
        <w:jc w:val="both"/>
        <w:ind w:firstLine="8"/>
        <w:spacing w:after="0" w:line="249" w:lineRule="auto"/>
        <w:tabs>
          <w:tab w:leader="none" w:pos="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to principal business, licenses or qualifications of the issuer; (ii) a change of control of the issuer or any material change to equity structure of the issuer; and (iii) any material change to the offering and listing plan. Once listed overseas, the reporting entity will be further required to report the occurrence of any of the following material events within three business days after the occurrence and announcement thereof to CSRC: (i) a change of control of the issuer; (ii) the investigation, sanction or other measures undertaken by any foreign securities regulatory agencies or competent authorities in respect of the issuer; (iii) change of the listing status or transfer of the listing board; and (iv) the voluntary or mandatory delisting of the issuer. In addition, the completion of any overseas follow-on offerings by an issuer in the same overseas market where it has completed its public offering and listing would necessitate a filing with CSRC within three business days thereafter. Failure to comply with the applicable filing requirements may result in fines being imposed on the PRC domestic companies and their controlling shareholders and other responsible person. For more details of the Opinions and the Overseas Listing Filing Rules, see “Information about Lotus Tech—PRC Government Regulations—Regulations on Mergers and Acquisitions and Overseas Listing.”</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Based on the Notice on Administration for the Filing of Overseas Offering and Listing by Domestic Companies published by CSRC on February 17, 2023, or the Notice on the Overseas Listing Filing, and the set of Q&amp;A which are in connection with the release of the Overseas Listing Filing Rules, CSRC clarifies that (i) on or prior to the effective date of the Overseas Listing Filing Rules, domestic companies that have already submitted valid applications for overseas offering and listing but have not obtained approval from overseas regulatory authorities or stock exchanges may reasonably arrange the timing for submitting their filing applications with CSRC, and must complete the filing before the completion of their overseas offering and listing; (ii) a transition period until September 30, 2023 will be granted to domestic companies which have already obtained the approval from overseas regulatory authorities or stock exchanges but have not completed the indirect overseas listing prior to the effective date of the Overseas Listing Filing Rules; if domestic companies fail to complete the overseas listing prior to September 30, 2023, they shall file with CSRC according to the requirements.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Further, according to the Overseas Listing Filing Rules, for an issuer which is already listed, it should make filing in accordance with the Overseas Listing Filing Rules if: (i) it issues additional convertible bonds, exchangeable bonds or preferred shares, (ii) it issues additional securities in the same overseas market, excluding securities issued for the purpose of implementing equity incentive, distribution of stock dividends, share split, etc., (iii) it issues additional securities in several offerings within its authorized scope; or</w:t>
      </w:r>
    </w:p>
    <w:p>
      <w:pPr>
        <w:spacing w:after="0" w:line="3" w:lineRule="exact"/>
        <w:rPr>
          <w:sz w:val="20"/>
          <w:szCs w:val="20"/>
          <w:color w:val="auto"/>
        </w:rPr>
      </w:pPr>
    </w:p>
    <w:p>
      <w:pPr>
        <w:jc w:val="both"/>
        <w:ind w:right="20" w:firstLine="8"/>
        <w:spacing w:after="0" w:line="250" w:lineRule="auto"/>
        <w:tabs>
          <w:tab w:leader="none" w:pos="3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conducts a secondary listing or primary listing in any other overseas market. The reporting entity will also be required to report the occurrence of any of the following material events within three business days after the occurrence and announcement thereof to CSRC:</w:t>
      </w:r>
    </w:p>
    <w:p>
      <w:pPr>
        <w:jc w:val="both"/>
        <w:ind w:firstLine="8"/>
        <w:spacing w:after="0" w:line="249" w:lineRule="auto"/>
        <w:tabs>
          <w:tab w:leader="none" w:pos="23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of the issuer; (ii) the investigation, sanction or other measures undertaken by any foreign securities regulatory agencies or competent authorities in respect of the issuer; (iii) change of the listing status or transfer of the listing board; and (iv) the voluntary or mandatory delisting of the issuer. In addition, the completion of any overseas follow-on offerings by an issuer in the same overseas market where it has completed its public offering and listing would necessitate a filing with CSRC within three business days thereafter.</w:t>
      </w:r>
    </w:p>
    <w:p>
      <w:pPr>
        <w:spacing w:after="0" w:line="15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on December 28, 2021, the Cyberspace Administration of China, or CAC and several other administrations jointly issued the revised Measures for Cybersecurity Review, which became effective and replaced the existing Measures for Cybersecurity Review on February 15, 2022. According to the revised measures, if an “online platform operator” that is in possession of personal data of more than one million users intends to list in a foreign country, it must apply for a cybersecurity review. Based on a set of Q&amp;A published on the official website of CAC in connection with the issuance of the revised measures, an official of CAC indicated that an online platform operator should apply for a cybersecurity review prior to the submission of its listing application with non-PRC securities regulators. After the receipt of all required application materials, the authorities must determine, within ten business days thereafter, whether a cybersecurity review will be initiated, and issue a written notice to the applicant of its determination. If a review is initiated and the authorities conclude after such review that the listing will affect national security, the listing of the applicant will be prohibited. Given the recency of the issuance of the revised measures, there is a general lack of guidance and substantial uncertainties exist with respect to its interpretation and implementation.</w:t>
      </w:r>
    </w:p>
    <w:p>
      <w:pPr>
        <w:spacing w:after="0" w:line="1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Additionally, the PRC Cybersecurity Law requires companies to implement certain organizational, technical and administrative measures and other necessary measures to ensure the security of their networks and data stored on their networks. Specifically, the Cybersecurity Law provides that China adopts a multi-level protection scheme, under which network operators are required to perform obligations of security protection to ensure that the network is free from interference, disruption or unauthorized access, and prevent network data from being disclosed, stolen or tampered. Under this scheme, entities operating information systems must have a thorough assessment of the risks and the conditions of their information and network systems to determine the level to which the entity’s information and network systems belong-from the lowest Level 1 to the highest Level 5 pursuant to a series of national standards on the grading and implementation of the classified protection of cybersecurity. The grading result will determine the set of security protection obligations that entities must comply with. Entities classified as Level 2 or above should report the grade to the government authority for examination and approval.</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14, 2021, CAC released the Regulations on Network Data Security Management (draft for public comments), which provide that if a data processor that processes personal data of more than one million users intends to list in a foreign country, it must apply for a cybersecurity review. Pending the finalization, adoption, enforcement and interpretation of these new measures and regulations, we cannot rule out the possibility that the measures and regulations may be enacted, interpreted or implemented in ways that will negatively affect us.</w:t>
      </w:r>
    </w:p>
    <w:p>
      <w:pPr>
        <w:spacing w:after="0" w:line="1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February 24, 2023, CSRC and several other administrations jointly released the revised Provisions on Strengthening Confidentiality and Archiving Administration of Overseas Securities Offering and Listing by Domestic Companies, or the Archives Rules, which came into effect on March 31, 2023. The Archives Rules apply to both overseas direct offerings and overseas indirect offerings. The Archives Rules provides that, among other things, (i) in relation to the overseas listing activities of PRC domestic enterprises, the PRC domestic enterprises are required to strictly comply with the requirements on confidentiality and archives management, establish a sound confidentiality and archives system, and take necessary measures to discharge their confidentiality and archives management responsibilities; (ii) if a PRC domestic enterprise is required to publicly disclose or provide to any securities companies or other securities service providers or overseas regulators or individuals, any materials that contain state secrets or government work secrets (where there is ambiguity or dispute on whether it is state secret or government work secret, a request shall be submitted to the competent government authority for determination), during the course of its overseas offering or listing, the PRC domestic enterprise shall apply for approval from competent authorities and file with the secrecy administrative department at the same level; and (iii) working papers produced in China by securities companies and other securities service institutions, who provide such PRC domestic enterprises with securities services during their overseas issuance and listing, should be stored in the PRC, and the transmission of any such working papers to recipients outside China must be approved following the applicable PRC regulations.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As of the date of this annual report, we have not been involved in any investigations on cybersecurity review initiated by CAC and we have not received any official inquiry, notice, warning, or sanctions regarding cybersecurity and overseas listing from CAC, CSRC or any other PRC authorities. However, given (i) the uncertainties with respect to the enactment, implementation, and interpretation of the Overseas Listing Filing Rules and laws and regulations relating to data security, privacy, and cybersecurity; and</w:t>
      </w:r>
    </w:p>
    <w:p>
      <w:pPr>
        <w:spacing w:after="0" w:line="3" w:lineRule="exact"/>
        <w:rPr>
          <w:sz w:val="20"/>
          <w:szCs w:val="20"/>
          <w:color w:val="auto"/>
        </w:rPr>
      </w:pPr>
    </w:p>
    <w:p>
      <w:pPr>
        <w:jc w:val="both"/>
        <w:ind w:firstLine="8"/>
        <w:spacing w:after="0" w:line="253" w:lineRule="auto"/>
        <w:tabs>
          <w:tab w:leader="none" w:pos="2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PRC government authorities have significant discretion in interpreting and implementing statutory provisions in general, it cannot be assured that the PRC government authorities will not take a contrary position or adopt different interpretations, or that there will not be changes in the regulatory landscape. In other words, a cybersecurity review and the approval from or filing with CSRC, CAC, or other government authorities may be required in connection with our future offshore offering.</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(i) we do not receive or maintain any required permission, or fail to complete any required review or filing, (ii) we inadvertently conclude that such permission, review or filing is not required, or (iii) applicable laws, regulations, or interpretations change such that it becomes mandatory for us to obtain any permission, review or filing in the future, we may have to expend significant time and costs to comply with these requirements. If we are unable to do so, on commercially reasonable terms, in a timely manner or otherwise, we may become subject to sanctions imposed by the PRC regulatory authorities, which could include fines and penalties, proceedings against us, and other forms of sanctions, and our ability to conduct our business, invest into China as foreign investments or accept foreign investments, or list on a U.S. or other overseas exchange may be restricted, and our business, reputation, financial condition, and results of operations may be materially and adversely affected. Further, our ability to offer or continue to offer securities to investors may be significantly limited or completely hindered, and the value of our securities may significantly decline.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U.S. and a firm registered with the PCAOB, is subject to laws in the U.S.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our securities would be deprived of the benefits of such PCAOB inspections, which could cause investors and potential investors in the securities to lose confidence in our audit procedures and reported financial information and the quality of our financial statements.</w:t>
      </w:r>
    </w:p>
    <w:p>
      <w:pPr>
        <w:spacing w:after="0" w:line="19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securities may be prohibited from trading in the U.S. under the HFCAA if the PCAOB is unable to inspect or investigate completely auditors located in China. The delisting of our securities, or the threat of their being delisted, may materially and adversely affect the value of your investment.</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securities from being traded on a national securities exchange or in the over-the-counter trading market in the U.S. 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December 15, 2022, the PCAOB removed mainland China and Hong Kong from the list of jurisdictions where it is unable to inspect or investigate completely registered public accounting firms. For this reason, we do not expect to be so identified after we file this annual report on Form 20-F for the fiscal year ended December 31, 2023.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U.S. if we are identified as a Commission-Identified Issuer for two consecutive years in the future. If our securities are prohibited from trading in the U.S., there is no certainty that we will be able to list on a non-U.S. exchange or that a market for our shares will develop outside of the U.S. A prohibition of being able to trade in the U.S. would substantially impair your ability to sell or purchase our securities when you wish to do so, and the risk and uncertainty associated with delisting would have a negative impact on the price of our securities. Also, such a prohibition would significantly affect our ability to raise capital on terms acceptable to us, or at all, which would have a material adverse impact on our business, financial condition, and prospects.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China’s M&amp;A Rules and certain other regulations establish complex procedures for certain acquisitions of PRC companies by foreign investors, which could make it more difficult for us to pursue growth through acquisitions in China.</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number of laws and regulations of mainland China have established procedures and requirements that could make merger and acquisition activities in China by foreign investors more time consuming and complex. In addition to the Anti-monopoly Law itself, these include the M&amp;A Rules, the Rules of the Ministry of Commerce on Implementation of Security Review System of Mergers and Acquisitions of Domestic Enterprises by Foreign Investors, or the Security Review Rules, promulgated in 2011, and the Measures for the Security Review of Foreign Investment promulgated by NDRC and the Ministry of Commerce in December 2020 which came into force on January 18, 2021. These laws and regulations impose requirements in some instances that the Ministry of Commerce be notified in advance of any change-of-control transaction in which a foreign investor takes control of a PRC domestic enterprise. In addition, pursuant to anti-monopoly laws and regulations, the State Administration for Market Regulation should be notified in advance of any concentration of undertaking if certain thresholds are triggered, and the State Administration for Market Regulation clearance is required to be obtained before completion of such transactions. In light of the uncertainties relating to the interpretation, implementation and enforcement of the PRC anti-monopoly laws and regulations, we cannot assure you that the anti-monopoly law enforcement agency will not deem our future acquisitions or investments to have triggered filing requirement for anti-monopoly review. Moreover, the Security Review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NDRC and the Ministry of Commerce, and prohibit any attempt to bypass a security review, including by structuring the transaction through a proxy or contractual control arrangement.</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future, we may grow our business by acquiring complementary businesses. Complying with the requirements of the regulations to complete such transactions could be time consuming, and any required approval processes, including clearance from the State Administration for Market Regulation and approval from the Ministry of Commerce or other PRC government authorities, may delay or inhibit our ability to complete such transactions, which could affect our ability to expand our business or maintain our market share.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uncertainties exist with respect to the interpretation and implementation of newly enacted 2019 PRC Foreign Investment Law and its Implementation Rules.</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15, 2019, the PRC National People’s Congress approved the 2019 PRC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On December 26, 2019, the PRC State Council approved the Implementation Rules of Foreign Investment Law, which came into effect on January 1, 2020. The 2019 PRC Foreign Investment Law and its Implementation Rules embody a regulatory trend in China that aims to bring its foreign investment regulatory regime in line with prevailing international practices, and represent the legislative endeavors to unify corporate legal requirements applicable to foreign and domestic investments. However, since the 2019 PRC Foreign Investment Law and its Implementation Rules are relatively new, substantial uncertainties exist with respect to their interpretations and implementations.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2019 PRC Foreign Investment Law specifies that foreign investments shall be conducted in line with the “negative list” to be issued by or approved to be issued by the State Council. A foreign invested enterprise would not be allowed to make investments in prohibited industries set out in the “negative list” while a foreign invested enterprise must satisfy certain conditions stipulated in the “negative list” for investment in restricted industries. None of our PRC subsidiaries or affiliates are currently subject to foreign investment restrictions as set forth in the presently effective Special Administrative Measures for Entry of Foreign Investment (Negative List) (2021 Version), or the 2021 Negative List. It is uncertain whether any of our business operations will be subject to foreign investment restrictions or prohibitions set forth in any subsequent or future “negative list.” If any part of our business operations falls within the scope of the “negative list” or if the interpretation and implementation of the 2019 PRC Foreign Investment Law and any future “negative list” mandates further actions, such as market entry clearance granted by the Ministry of Commerce, we face uncertainties as to whether such clearance can be obtained in a timely manner, or at all. We cannot assure you that the governmental authorities will not interpret or implement the 2019 PRC Foreign Investment Law in the future in a way that will materially impact the viability of our current corporate governance and business operations.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Regulation of loans to and direct investment in PRC entities by offshore holding companies and governmental control of currency conversion may delay or prevent us from making loans to or make additional capital contributions to our PRC subsidiaries, which could materially and adversely affect our liquidity and our ability to fund and expand our business.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are an offshore holding company conducting our operations in China primarily through our PRC subsidiaries. We may make additional capital contributions or loans to our PRC subsidiaries, which are treated as foreign invested enterprises under laws of mainland China. Any loans by us to our PRC subsidiaries are subject to regulations and foreign exchange loan registrations in mainland China. For example, with respect to the registration, loans by us to our PRC subsidiaries to finance their activities cannot exceed statutory limits and must be registered with the local counterpart of the PRC State Administration of Foreign Exchange, or SAFE, or filed with SAFE in its information system; with respect to the outstanding amounts of loans, (i) if the PRC subsidiaries adopt the traditional foreign exchange administration mechanism, the outstanding amount of loans shall not exceed the difference between the total investment and the registered capital of the PRC subsidiaries; and (ii) if the PRC subsidiaries adopt the relatively new foreign debt mechanism, the risk-weighted outstanding amount of loans shall not exceed 200% of the net asset of the PRC subsidiaries. We may also finance our PRC subsidiaries by means of capital contributions. These capital contributions must be registered with the State Administration for Market Regulation or its local counterparts, and shall be concurrently reported to the Ministry of Commerce through its information reporting and submission system.</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Circular on the Reforming of the Management Method of the Settlement of Foreign Currency Capital of Foreign-Invested Enterprises, or SAFE Circular 19, which became effective on June 1, 2015 and was last amended on December 30, 2019, and the Circular of the State Administration of Foreign Exchange on Reforming and Regulating Policies on the Control over Foreign Exchange Settlement of Capital Accounts, or SAFE Circular 16, which was promulgated in June 2016, foreign-invested enterprises may either continue to follow the current payment-based foreign currency settlement system or choose to follow the “conversion-at-will” system for foreign currency settlement. SAFE Circular 19 and SAFE Circular 16, therefore, have substantially lifted the restrictions on the use by a foreign-invested enterprise of its RMB registered capital, foreign debt and repatriated funds raised through overseas listing converted from foreign currencies. Nevertheless, SAFE Circular 19 and SAFE Circular 16 reiterate the principle that RMB converted from the foreign currency-denominated capital of a foreign invested company may not be directly or indirectly used for purposes beyond its business scope and prohibit foreign-invested companies from using such RMB fund to provide loans to persons other than affiliates unless otherwise permitted under their business scopes.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laws and regulations of mainland China, we are permitted to utilize the proceeds from the Business Combination or our listing to fund our PRC subsidiaries by making loans to or additional capital contributions to our PRC subsidiaries, subject to applicable government registration, statutory limitations on amount and approval requirements. These laws and regulations of mainland China may significantly limit our ability to use RMB converted from the net proceeds of any financing outside China to fund the establishment of new entities in China by our PRC subsidiaries, to invest in or acquire any other PRC companies through our PRC subsidiaries.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a holding company, and we may rely on dividends and other distributions on equity paid by our PRC subsidiaries for our cash and financing requirements, including the funds necessary to pay dividends and other cash distributions to our shareholders and service any debt we may incur. Current regulations of mainland China permit our PRC subsidiaries to pay dividends to us only out of their accumulated after-tax profits upon satisfaction of statutory conditions and procedures, if any, determined in accordance with Chinese accounting standards and regulations. In addition, each of our PRC subsidiaries is required to set aside at least 10% of its after-tax profits each year, if any, to fund certain reserve funds until the total amount set aside reached 50% of its registered capital. For a detailed discussion of applicable regulations of mainland China governing distribution of dividends, see “Item 4. Information on the Company—B. Business Overview—Regulations—PRC Government Regulations—Regulation on Dividend Distribution.”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if our PRC subsidiaries incur debt in the future, the instruments governing their debt may restrict their ability to pay dividends or make other distributions to us. In addition, the incurrence of indebtedness by our PRC subsidiaries could result in operating and financing covenants and undertakings to creditors that would restrict the ability of our PRC subsidiaries to pay dividends to us.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“—If we are classified as a PRC resident enterprise for PRC income tax purposes, such classification could result in unfavorable tax consequences to us and our non-PRC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legal system and changes in laws and regulations in mainland China could adversely affect 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conduct our business primarily through our mainland China subsidiaries. Our operations in mainland China are governed by laws and regulations of mainland China. Our mainland China subsidiaries are subject to laws and regulations applicable to foreign investment in mainland China. The legal system of mainland China is a civil law system based on written statutes. Unlike the common law system, prior court decisions under the civil law system may be cited for reference but have limited precedential value.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laws and regulations of mainland China have significantly enhanced the protections afforded to various forms of foreign investments in mainland China for the past decades. However, because certain recently enacted laws and regulations are relatively new, and because of the limited volume of published decisions and their nonbinding nature, the interpretation and enforcement of these laws and regulations involve uncertainties.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the legal system of mainland China is based in part on government policies, some of which are not published or not published on a timely basis, and can change quickly with little advance notice. As a result, we may not be aware of our potential violation of such policies and rules.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PRC government has complex regulatory requirements on the conduct of our business and it has recently promulgated certain regulations and rules to exert more oversight and control over offerings that are conducted overseas and/or foreign investment in mainland China-based issuers. Such action could significantly limit or completely hinder our ability to offer or continue to offer securities to investors and cause the value of such securities to significantly decline.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labor costs and enforcement of stricter labor laws and regulations in China may adversely affect our business and our profitability.</w:t>
      </w:r>
    </w:p>
    <w:p>
      <w:pPr>
        <w:spacing w:after="0" w:line="1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China’s overall economy and the average wage in China have increased in recent years and are expected to continue to grow. The average wage level for our employees has also increased in recent years. We expect that our labor costs, including wages and employee benefits, will increase. Unless we are able to pass on these increased labor costs to those who pay for our products and services, our profitability and results of operations may be materially and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we have been subject to stricter regulatory requirements in terms of entering into labor contracts with our employees, limitation with respect to utilization of labor dispatching, applying for foreigner work permits, labor protection and labor condition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15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Companies registered and operating in China are required under the PRC Social Insurance Law (latest amended in 2018) and the Regulations on the Administration of Housing Funds (latest amended in 2019) to, apply for social insurance registration and housing fund deposit registration within 30 days of their establishment, and to pay for their employees different social insurances including pension insurance, medical insurance, work-related injury insurance, unemployment insurance, maternity insurance, and housing provident funds to the extent required by law.</w:t>
      </w:r>
    </w:p>
    <w:p>
      <w:pPr>
        <w:spacing w:after="0" w:line="1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the interpretation and implementation of labor-related laws and regulations are still evolving, our employment practices may violate labor-related laws and regulations in China, which may subject us to labor disputes, government investigations, and imposition of sanctions. We cannot assure you that we have complied or will be able to comply with all labor-related law and regulations including those relating to obligations to make full social insurance payments and contribute to the housing provident funds. If we are found to have violated applicable labor laws and regulations, we could be required to provide additional compensation to our employees and our business, financial condition and results of operations could be adversely affected.</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based on foreign laws.</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We conduct a substantial portion of our operations in China, and a substantial portion of our assets are located in China. As a result, it may be difficult for our shareholders to effect service of process upon us or those persons inside China. In addition, mainland China does not have treaties providing for the reciprocal recognition and enforcement of judgments of courts with the Cayman Islands and many other countries and regions. Therefore, recognition and enforcement in mainland China of judgments of a court in any of these non-PRC jurisdictions in relation to any matter not subject to a binding arbitration provision may be difficult or impossible.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conversion of RMB into foreign currencies, including U.S. dollars, is based on rates set by the People’s Bank of China. The RMB has fluctuated against the U.S. dollar, at times significantly and unpredictably. The value of RMB against the U.S. dollar and other currencies is affected by changes in China’s political and economic conditions and by China’s foreign exchange policies, among other things. We cannot assure you that RMB will not appreciate or depreciate significantly in value against the U.S. dollar in the future. It is difficult to predict how market forces or PRC or U.S. government policy may impact the exchange rate between RMB and the U.S. dollar in the future.</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remains significant international pressure on the PRC government to adopt a more flexible currency policy. Any significant appreciation or depreciation of RMB may materially and adversely affect our revenues, earnings and financial position, and the value of, and any dividends payable on, our securities in U.S. dollars. For example, to the extent that we need to convert U.S. dollars we receive into RMB to pay our operating expenses, appreciation of RMB against the U.S. dollar would have an adverse effect on the RMB amount we would receive from the conversion. Conversely, a significant depreciation of RMB against the U.S. dollar may significantly reduce the U.S. dollar equivalent of our earnings, which in turn could adversely affect the price of our securities.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Very limited hedging options are available in mainland China to reduce our exposure to exchange rate fluctuations. To date, we have not entered into any hedging transactions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exchange control regulations in mainland China that restrict our ability to convert RMB into foreign currency. As a result, fluctuations in exchange rates may have a material adverse effect on your investment.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certain monetary amounts described in this annual report have been expressed in U.S. dollars for convenience only and, when expressed in U.S. dollars in the future, such amounts may be different from those set forth herein due to intervening exchange rate fluctuations.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revenues effectively.</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RMB into foreign currencies and, in certain cases, the remittance of currency out of China. Under existing foreign exchange regulations in mainland China, payments of current account items, such as profit distributions and trade and service-related foreign exchange transactions, can be made in foreign currencies without prior approval from the State Administration of Foreign Exchange, or SAFE, by complying with certain procedural requirements. However, approval from or registration with appropriate governmental authorities is required where RMB is to be converted into a foreign currency and remitted out of China to pay capital expenses, such as the repayment of loans denominated in foreign currencies. See “Item 4. Information on the Company—B. Business Overview—Regulations—PRC Government Regulations—Regulations on Foreign Exchange.”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2016, the PRC government has tightened its foreign exchange policies again and stepped up scrutiny of major outbound capital movement. More restrictions and a substantial vetting process have been put in place by SAFE to regulate cross-border transactions falling under the capital account. The PRC government may also restrict access in the future to foreign currencies for current account transactions, at its discretion. We receive a portion of our revenues in RMB. If the foreign exchange control system prevents us from obtaining sufficient foreign currencies to satisfy our foreign currency demands, we may not be able to pay dividends in foreign currencies to our shareholder.</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Regulations of mainland China relating to offshore investment activities by PRC residents may limit our PRC subsidiaries’ ability to increase their registered capital or distribute profits to us or otherwise expose us or our PRC resident beneficial owners to liability and penalties under laws of mainland China.</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SAFE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certain material events. See “Item 4. Information on the Company—B. Business Overview—Regulations—PRC Government Regulations—Regulations on Foreign Exchange —Offshore Investment by PRC Residents.”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our direct or indirect stakeholders who are PRC residents or entities do not complete their registration with the local SAFE branches, our PRC subsidiaries may be prohibited from distributing their profits and any proceeds from any reduction in capital, share transfer or liquidation to us, and we may be restricted in our ability to contribute additional capital to our PRC subsidiaries. Moreover, failure to comply with SAFE registration requirements could result in liability under laws and regulations in mainland China for evasion of applicable foreign exchange restrictions.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However, we may not be informed of the identities of all the PRC residents or entities holding direct or indirect interests in our company, nor can we compel our beneficial owners to comply with SAFE registration requirements. As a result, we cannot assure you that all of our shareholders or beneficial owners who are PRC residents or entities have complied with, and will in the future make, obtain, and update any applicable registrations or obtain any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regulations of mainland China regarding the registration requirements for employee stock incentive plans may subject the PRC plan participants or us to fines and other legal or administrative sanctions.</w:t>
      </w:r>
    </w:p>
    <w:p>
      <w:pPr>
        <w:spacing w:after="0" w:line="11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Under SAFE regulations, PRC residents who participate in a stock incentive plan in an overseas publicly listed company are required to register with SAFE or its local branches and complete certain other procedures. See “Item 4. Information on the Company— B. Business Overview—Regulations— PRC Government Regulations—Regulations on Employment and Social Welfare—Employee Stock Incentive Plan.” We and our PRC resident employees who participate in our share incentive plans are subject to these regulations since we became a public company listed in the U.S. If we or any of these PRC resident employees fail to comply with these regulations, we or such employees may be subject to fines and other legal or administrative sanctions. We also face regulatory uncertainties that could restrict our ability to adopt additional incentive plans for our directors, executive officers, and employees under laws of mainland China.</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Discontinuation of any of the preferential tax treatments and government subsidies or imposition of any additional taxes and surcharges could adversely affect our financial condition and results of operations.</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PRC subsidiaries have received various financial subsidies from PRC local government authorities. In 2023, 2022 and 2021, we recorded government grants of US$4.1 million, US$55.8 million and US$490.7 million, respectively. The financial subsidies result from discretionary incentives and policies adopted by PRC local government authorities. Local governments may decide to change or discontinue such financial subsidies at any time, or require us to repay part or all of the financial subsidies we previously received. The discontinuation, reduction, or repayment of such financial subsidies or imposition of any additional taxes could adversely affect our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w:t>
      </w:r>
    </w:p>
    <w:p>
      <w:pPr>
        <w:spacing w:after="0" w:line="11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China with a “de facto management body” within China is considered a PRC resident enterprise. The implementation rules define the term “de facto management body” as the body that exercises full and substantial control over and overall management of the business, productions, personnel, accounts and properties of an enterprise. The State Administration of Taxation, issued a circular in April 2009 and amended it in January 2014,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we may be required to withhold a 10% withholding tax from interest or dividends we pay to our shareholders that are non-PRC resident enterprises. In addition, non-PRC resident enterprise shareholders may be subject to PRC tax at a rate of 10% on gains realized on the sale or other disposition of ordinary shares, if such income is treated as sourced from within the PRC. Furthermore, if PRC tax authorities determine that we are a PRC resident enterprise for enterprise income tax purposes, interest or dividends paid to our non-PRC individual shareholders and any gain realized on the transfer of ordinary shares by such holders may be subject to PRC tax at a rate of 20% (which, in the case of interest or dividends, may be withheld at source by us), if such gains are deemed to be from PRC sources. These rates may be reduced by an applicable tax treaty, but it is unclear whether our non-PRC shareholders would be able to claim the benefits of any tax treaties between their country of tax residence and the PRC in the event that we are treated as a PRC resident enterprise.</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certain benefits under tax treaties on dividends paid by our PRC subsidiaries to us through our Hong Kong subsidiary.</w:t>
      </w:r>
    </w:p>
    <w:p>
      <w:pPr>
        <w:spacing w:after="0" w:line="11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Mainland China and the Hong Kong Special Administrative Region for the Avoidance of Double Taxation and Tax Evasion on Income, such withholding tax rate may be lowered to 5% if a Hong Kong resident enterprise owns no less than 25% of a PRC enterprise. Furthermore, the Administrative Measures for Non-Resident Enterprises to Enjoy Treatments under Treaties, which became effective in January 2020, require non-resident enterprises to determine whether they are qualified to enjoy the preferential tax treatment under tax treaties and file report and materials with the tax authorities. There are also other conditions for enjoying the reduced withholding tax rate according to other tax rules and regulations. See “Item 4. Information on the Company—B. Business Overview—Regulations— PRC Government Regulations—Regulations on Taxation.”</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future, we intend to re-invest all earnings, if any, generated from our PRC subsidiaries for the operation and expansion of our business in China. Should our tax policy change to allow for offshore distribution of our earnings, we would be subject to a significant withholding tax. Our determination regarding our qualification to enjoy the preferential tax treatment could be challenged by the tax authority and we may not be able to complete the necessary filings with the tax authority and enjoy the preferential withholding tax rate of 5% under the arrangement with respect to dividends to be paid by our PRC subsidiaries to our Hong Kong subsidiary.</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February 2015, the State Administration of Taxation issued the Circular on Issues of Enterprise Income Tax on Indirect Transfers of Assets by Non-PRC Resident Enterprises, or SAT Circular 7. SAT Circular 7 extends its tax jurisdiction to not only indirect transfers but also transactions involving transfer of other taxable assets, through the offshore transfer of a foreign intermediate holding company. In addition, SAT Circular 7 provides certain criteria on how to assess reasonable commercial purposes and has introduced safe harbors for internal group restructurings and the purchase and sale of equity through a public securities market. SAT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On October 17, 2017, the State Administration of Taxation issued Circular on Issues of Tax Withholding regarding Non-PRC Resident Enterprise Income Tax, or Circular 37, which came into effect on December 1, 2017 and was amended on June 15, 2018. Circular 37 further clarifies the practice and procedure of the withholding of nonresident enterprise income tax.</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non-PRC resident enterprises with respect to a filing or the transferees with respect to withholding obligations, and request our PRC subsidiaries to assist in the filing. As a result, we and non-PRC resident enterprises in such transactions may become at risk of being subject to filing obligations or being taxed under SAT Circular 7 and Circular 37, and may be required to expend valuable resources to comply with them or to establish that we and our non-PRC resident enterprises should not be taxed under these regulations, which may have a material adverse effect on our financial condition and results of operations.</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15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laws of mainland China, legal documents for corporate transactions are executed using the chops or seal of the signing entity or with the signature of a legal representative whose designation is registered and filed with the State Administration for Market Regulation.</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Although we usually utilize chops to enter into contracts, the designated legal representatives of each of our PRC subsidiaries have the apparent authority to enter into contracts on behalf of such entities without chops and bind such entities. In order to maintain the physical security of our chops and chops of our PRC entities, we generally store these items in secured locations accessible only by the authorized personnel in the legal or finance department of each of our subsidiaries.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entities and experience significant disruption to our operations. If a designated legal representative acts in a manner contrary to the interests of any of our PRC subsidiaries, or obtains control of the chops in an effort to obtain control over any of our PRC subsidiaries, we or our PRC subsidiaries would need to pass a new shareholders or board resolution to designate a new legal representative and we would need to take legal action to seek the return of the chops, apply for new chops with the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legal representative and acts in good faith.</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leased property interest or entitlement to other facilities or assets may be defective or subject to lien and our right to lease, own or use the properties affected by such defects or lien challenged, which could cause significant disruption to our business.</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laws of mainland China, all lease agreements are required to be registered with the local housing authorities. We presently lease several premises in China, some of which have not completed the registration of the ownership rights or the registration of our leases with the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Some of the ownership certificates or other similar proof of certain leased properties have not been provided to us by the lessors. Therefore, we cannot assure you that such lessors are entitled to lease the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Meanwhile, registered mortgage of property right exists over certain leased properties before such properties are leased to some of our PRC subsidiaries. In addition, some registered addresses of PRC subsidiaries are inconsistent with the actual operating addresses, and since the ownership certificates of certain leased properties have not been provided to us by the lessors, we cannot make sure whether the actual uses of such lands leased to some of our PRC subsidiaries are inconsistent with the planned use indicated on the ownership certificates of such lands. If our lease agreements are claimed as null and void by third parties who are the real owners of such leased real properties, we could be required to vacate the properties, in the event of which we could only initiate the claim against the lessors under lease agreements for indemnities for their breach of the leasing agreements. In addition, we may not be able to renew our existing lease agreements before their expiration dates, in which case we may be required to vacate the properties. We cannot assure you that suitable alternative locations are readily available on commercially reasonable terms, or at all, and if we are unable to relocate our operations in a timely manner, our operations may be adversely affected.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regulations of mainland China regarding cybersecurity, privacy, data protection and information security. Any privacy or data security breach or any failure to comply with these laws and regulations could damage our reputation and brand, result in negative publicity, legal proceedings, increased cost of operations, warnings, fines, service or business suspension, confiscation of illegal gains, revocation of business permits or licenses, or otherwise harm our business and results of operations.</w:t>
      </w:r>
    </w:p>
    <w:p>
      <w:pPr>
        <w:spacing w:after="0" w:line="14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operations in China are subject to a variety of laws and regulations of mainland China covering cybersecurity, privacy, data protection and information security and the PRC governmental authorities have recently heightened their supervision on the protection of data security by initiating investigations on certain PRC companies regarding their cybersecurity and use of personal information and data, and enacted and implemented laws and regulations and proposed additional regulatory agenda concerning data protection and privacy, under which internet service providers and other network operators are required to, amongst others, clearly indicate the purposes, methods and scope of any information collection and usage, to obtain appropriate user consent, to establish user information protection systems with appropriate remedial measures and to address national security concerns. For a comprehensive discussion on the aforementioned laws and regulations, see “Item 4. Information on the Company—B. Business Overview—Regulations— PRC Government Regulations—Regulations on Cyber Security and Privacy Protection.”</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expect that PRC operations in the areas referenced above will receive greater public scrutiny and attention from regulators and more frequent and rigid investigation or review by regulators, which will increase our compliance costs and subject us to heightened risks. We are closely monitoring the development in the regulatory landscape and we are constantly in the process of evaluating the potential impact of the PRC Cybersecurity Law, the Civil Code, the Data Security Law, the Personal Information Protection Law and other laws and regulations on our current business practices. It also remains uncertain whether any future regulatory changes would impose additional restrictions on companies like us. If further changes to our business practices are required under the evolving regulatory framework governing cybersecurity, information security, privacy and data protection in China, our business, financial condition and results of operations may be adversely affected.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the date of this annual report, we had not been informed that we are a critical information infrastructure operator or a “data handler” carrying out data processing activities that affect or may affect national security by any governmental authorities, and it is uncertain whether we would be categorized as such under laws of mainland China. As of the date of this annual report, we had not been involved in any investigations on cybersecurity review made by CAC and we have not received any official inquiry, notice, warning, or sanctions in this respect. We cannot rule out the possibility that the foregoing measures may be enacted, interpreted or implemented in ways that will negatively affect us. There is also no assurance that we would be able to accomplish any review (including the cybersecurity review), obtain any approval, complete any procedures, or comply with any other requirements applicable to us in a timely manner, or at all, if we are subject to the same. In the event of non-compliance, we may be subject to government investigations and enforcement actions, fines, penalties, and suspension of our noncompliant operations, among other sanctions, which could materially and adversely affect our business and results of operations.</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negatively affected by the potential obligations if we fail to comply with social insurance and housing provident fund related laws and regulations.</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are required by PRC labor laws and regulations to pay various statutory employee benefits, including pensions insurance, medical insurance, work-related injury insurance, unemployment insurance, maternity insurance and housing provident fund, to designated government agencies for the benefit of our employees and associates. In October 2010, the PRC Standing Committee of the National People’s Congress promulgated the Social Insurance Law of PRC, effective on July 1, 2011 and amended on December 29, 2018. On April 3, 1999, the State Council promulgated the Regulations on the Administration of Housing Provident Fund, which was amended on March 24, 2002 and March 24, 2019. Companies registered and operating in China are required under the Social Insurance Law of PRC and the Regulations on the Administration of Housing Provident Fund to apply for social insurance registration and housing provident fund deposit registration within 30 days of their establishment and to pay for their employees different social insurance including pension insurance, medical insurance, work-related injury insurance, unemployment insurance and maternity insurance to the extent required by law. We could be subject to orders by competent labor authorities for rectification if we fail to comply with such social insurance and housing provident fund related laws and regulations, and failure to comply with the orders may further subject us to administrative fines. The government agencies may examine whether an employer has made adequate payments of the requisite statutory employee benefits, and employers who fail to make adequate payments may be subject to late payment fees, fines and/or other penalties. If the PRC authorities determine that we shall make supplemental social insurance and housing provident fund contributions or that we are subject to fines and legal sanctions in relation to our failure to make social insurance and housing provident fund contributions in full for our employees, our business, financial condition and results of operations may be adversely affected.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and Legal Proceedings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right infringement, misappropriation, or other claims, which may be time-consuming and would cause us to incur substantial costs.</w:t>
      </w:r>
    </w:p>
    <w:p>
      <w:pPr>
        <w:spacing w:after="0" w:line="11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Entities or individuals, including our competitors, may hold or obtain patents, copyrights, trademarks, or other proprietary rights that would prevent, limit, or interfere with our ability to make, use, develop, sell, or market our products, services, or technologies, which could make it more difficult for us to operate our business. From time to time, we may receive communications from intellectual property right holders regarding their proprietary rights. Companies holding patents or other intellectual property rights may bring suits alleging infringement, misappropriation, or other violation of such rights or otherwise assert their rights and urge us to take licenses. Our applications and uses of intellectual property relating to our design, software, or technologies could be found to infringe upon, misappropriate or otherwise violate existing intellectual property rights. If we are determined to have infringed upon, misappropriated or otherwise violated a third party’s intellectual property rights, we may be required to do one or more of the following:</w:t>
      </w:r>
    </w:p>
    <w:p>
      <w:pPr>
        <w:spacing w:after="0" w:line="151" w:lineRule="exact"/>
        <w:rPr>
          <w:sz w:val="20"/>
          <w:szCs w:val="20"/>
          <w:color w:val="auto"/>
        </w:rPr>
      </w:pPr>
    </w:p>
    <w:p>
      <w:pPr>
        <w:ind w:left="1000" w:hanging="31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incorporating certain components into our products or services, or offering products or services that incorporate or use the challenged intellectual property;</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 license from the holder of the infringed intellectual property right, which may not be available on reasonable terms or at all;</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products;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alternative branding for our products and services.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obtain any required license on commercially reasonable terms, or at all. Even if we are able to obtain a license, it could be non-exclusive, thereby giving our competitors access to the same technologies licensed to us and could require us to pay significant royalties and other fees. In the event of a successful claim of infringement, misappropriation or other violation of intellectual property rights against us and our subsequent failure or inability to obtain a license for such technology or other intellectual property right, our business, financial condition, results of operations, and prospects could be materially and adversely affected. In addition, parties making such claims may also obtain an injunction that can prevent us from selling our products or using technology that contains contents that allegedly violate their intellectual property rights. Any litigation or claims, whether or not valid, could result in substantial costs, negative publicity, and diversion of resources and management attention.</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 position.</w:t>
      </w:r>
    </w:p>
    <w:p>
      <w:pPr>
        <w:spacing w:after="0" w:line="11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regard our trademarks, service marks, patents, copyrights, domain names, trade secrets, proprietary technologies, and similar intellectual property as critical to our success. We rely on trademark and patent law, trade secret protection, and confidentiality and license agreements with our employees and others to protect our proprietary rights. We have invested significant resources to develop our own intellectual property. Failure to maintain or protect these rights could harm our business. In addition, any unauthorized use of our intellectual property by third parties may adversely affect our current and future revenues and our reputation. Additionally, certain unauthorized use of our intellectual property may go undetected, or we may face legal or practical barriers to enforcing our legal rights even where unauthorized use is detected.</w:t>
      </w:r>
    </w:p>
    <w:p>
      <w:pPr>
        <w:spacing w:after="0" w:line="14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Implementation and enforcement of laws relating to intellectual property have historically been deficient and ineffective. Accordingly, protection of intellectual property rights in China may not be as effective as in the U.S. or other developed countries. Furthermore, policing unauthorized use of proprietary technology is difficult and expensive. We rely on a combination of patent, copyright, trademark, and trade secret laws and restrictions on disclosure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or will take will prevent misappropriation of our intellectual property. From time to time, we may have to resort to litigation to enforce our intellectual property rights, which could result in substantial costs and diversion of our resources.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obtain or maintain our proprietary and intellectual property rights in our data or technology.</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cannot guarantee our employees, consultants, or other parties will comply with confidentiality, non-disclosure, or invention assignment agreements or that such agreements will otherwise be effective in controlling access to and distribution of our products and services, or certain aspects of our products and services, and proprietary information. Additionally, we may be subject to claims from third parties challenging our ownership interest in or inventorship of intellectual property we regard as our own, for example, claims alleging that our agreements with employees or consultants obligating them to assign intellectual property to us are ineffective or in conflict with prior or competing contractual obligations to assign inventions to another employer, to a former employer, or to another person or entity. We rely on work-for-hire provisions to effectuate our ownership of intellectual property created by our employees; however, certain types of intellectual property could require separate documentation to validly assign ownership to us.</w:t>
      </w:r>
    </w:p>
    <w:p>
      <w:pPr>
        <w:spacing w:after="0" w:line="18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 which could materially and adversely affect our business, financial condition, and results of operations.</w:t>
      </w:r>
    </w:p>
    <w:p>
      <w:pPr>
        <w:spacing w:after="0" w:line="1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2023, we had 330 registered patents and 772 pending patent applications in various jurisdictions such as mainland China, the U.S., Japan, and the U.K., etc. We also had 304 registered trademarks, registered copyrights to 34 software programs, and 113 registered domain names as of December 31, 2023. Even if our patent applications are granted and we are issued patents accordingly, it is still uncertain whether these patents will be contested, circumvented, or invalidated in the future. In addition, the rights granted under any issued patents may not provide us with meaningful protection or competitive advantages. These legal measures afford only limited protection, and competitors or others may gain access to or use our intellectual property and proprietary information. The claims under any patents may not be broad enough to prevent others from developing technologies that are similar or that achieve results similar to ours. It is also possible that the intellectual property rights of others could bar us from licensing and exploiting our patents. Numerous patents and pending patent applications owned by others exist in the fields where we have developed and are developing our technologies. These patents and patent applications might have priority over our patent applications and could subject our patent applications to invalidation. Finally, in addition to those who may claim priority, any of our existing patents or pending patent applications may also be challenged by others on the basis that they are otherwise invalid or unenforceable. Our success depends in part on our ability to obtain, maintain, expand, enforce, and defend the scope of our intellectual property. The patent prosecution process is expensive and time-consuming, and we may not be able to file, prosecute, maintain, enforce or license all necessary or desirable patents or patent applications at a reasonable cost, in a timely manner, or in all jurisdictions where protection may be commercially advantageous, or we may not be able to protect our proprietary rights at all. Any failure to obtain or maintain patent and other intellectual property protection with respect to our products could harm our business, financial condition, and results of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technologies, we rely on our unpatented proprietary technologies, trade secrets, processes, and know-how.</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We rely on proprietary information, such as trade secrets, know-how, and confidential information, to protect intellectual property that may not be patentable, or that we believe is best protected by means that do not require public disclosure. We generally seek to protect this proprietary information by entering into confidentiality agreements, or consulting, services, or employment agreements that contain non-disclosure and non-use provisions with our employees, consultants, contractors, scientific advisors, and third parties. However, we cannot guarantee that we have entered into such agreements with every party that has or may have had access to our trade secrets or proprietary information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 If any of our trade secrets were to be lawfully obtained or independently developed by a competitor or other third party, we would have no right to prevent them from using that trade secret to compete with us. If any of our trade secrets were to be disclosed, whether lawfully or otherwise, to or independently developed by a competitor or other third party, it could have a material adverse effect on our business, operating results, and financial condition.</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guarantee that these security measures provide adequate protection for such proprietary information or will never be breached. There is a risk that third parties may obtain unauthorized access to and improperly utilize or disclose our proprietary information, which would harm our competitive advantages. We may not be able to detect or prevent the unauthorized access to or use of our information by third parties, and we may not be able to take appropriate and timely steps to mitigate the damages, or the damages may not be capable of being mitigated or remedied.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others may independently discover our trade secrets and proprietary information.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Although we are given an opportunity to respond to such rejections, we may be unable to overcome them. In the event that our trademarks are successfully challenged, we could be forced to rebrand our products, which could result in loss of brand recognition, and could require us to devote resources to advertising and marketing new brands. In addition, third parties are given an opportunity to oppose pending trademark applications and to seek to cancel registered trademarks. Opposition or cancellation proceedings may be filed against our trademarks, which may not survive such proceedings. Furthermore, in many countries, owning and maintaining a trademark registration may not provide an adequate defense against a subsequent infringement claim asserted by the owner of a senior trademark. Some trademarks in the “Lotus” brand which are used elsewhere in the world are not registered in China. If we inadvertently use these trademarks in China, we might be subject to litigation or claims, which could result in substantial costs, negative publicity, and diversion of resources and management attention.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Our efforts to obtain,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depend on information technology to conduct our business. Any significant disruptions to our information technology systems or facilities, or those of third parties with which we do business, such as disruptions caused by cyber-attacks, could adversely impact our business.</w:t>
      </w:r>
    </w:p>
    <w:p>
      <w:pPr>
        <w:spacing w:after="0" w:line="14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ability to keep our business operating effectively depends on the functional and efficient operation of information technology systems and facilities, both internally and externally. We rely on these systems to, among other things, make a variety of day-to-day business decisions as well as to record and process transactions, billings, payments, inventory, and other data, in many currencies, on a daily basis, and across numerous and diverse markets and jurisdictions. Our systems, as well as those of our customers, suppliers, partners, and service providers, also contain sensitive confidential information or intellectual property and are susceptible to interruptions, including those caused by systems failures, cyber-attacks, and other natural or man-made incidents or disasters, which may be prolonged or go undetected. Cyber-attacks, both domestically and abroad, are increasing in their frequency, sophistication, and intensity, and have become increasingly difficult to detect. Although we have and continue to take precautions to prevent, detect, and mitigate such events, a significant or large-scale interruption of our information technology systems or facilities could adversely affect our ability to manage and keep our operations running efficiently and effectively, and could result in significant costs, fines or litigation.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While we strive to maintain reasonable preventative and data security controls, it is not possible to prevent all cybersecurity threats to our information technology systems and information and those of our third-party service providers, over which we exert less control. An incident that results in a wider or sustained disruption to our business or products could have a material adverse effect on our business, financial condition, and results of operations.</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Additionally, certain of our products contain complex information technology systems designed to support today’s increasingly connected vehicles, and could be susceptible to similar interruptions, including the possibility of unauthorized access. Further, as we transition to offering more cloud-based solutions which are dependent on the Internet or other networks to operate, we may increasingly be the target of cyber threats, including computer viruses or breaches due to misconduct of employees, contractors, or others who have access to our networks and systems, or those of third parties with which we do business. Although we have designed and implemented security measures to prevent and detect such unauthorized access or cyber threats from occurring, we cannot assure you that vulnerabilities will not be identified in the future, or that our security efforts will be successful. Any unauthorized access to our components could adversely affect our brand and harm our business, prospects, financial condition, and operating results. Further, maintaining and updating these systems may require significant costs and often involves implementation, integration, and security risks, including risks that we may not adequately anticipate the market or technological trends or that we may experience unexpected challenges that could cause financial, reputational, and operational harm. However, failing to properly respond to and invest in information technology advancements may limit our ability to attract and retain customers, prevent us from offering similar products and services as those offered by our competitors or inhibit our ability to meet regulatory or other requirements.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date, we have not experienced a system failure, cyber-attack or security breach that has resulted in a material interruption in our operations or material adverse effect on our financial condition. While we continually seek to expand and improve our information technology systems and maintain adequate disclosure controls and procedures, we cannot assure you that such measures will prevent interruptions or security breaches that could adversely affect our business.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which may pose particular risks to our proprietary software and source code. We may face claims from open source licensors claiming ownership of, or demanding the release of, the intellectual property that we developed using or derived from such open source software.</w:t>
      </w:r>
    </w:p>
    <w:p>
      <w:pPr>
        <w:spacing w:after="0" w:line="15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use open source software in our proprietary software and will use open source software in the future. Companies that incorporate open source software into their proprietary software and products have, from time to time, faced claims challenging the use of open source software and compliance with open source license terms. By the terms of certain open source licenses, we could be required to release the source code of our proprietary software, and to make our proprietary software available under open source licenses to third parties at no cost, if we combine our proprietary software with open source software in certain manners. Although we monitor our use of open source software, we cannot assure you that all open source software is reviewed prior to use in our software, that our developers have not incorporated open source software into our proprietary software, or that they will not do so in the future. In addition, companies that incorporate open source software into their products have, in the past, faced claims seeking enforcement of open source license provisions and claims asserting ownership of open source software incorporated into their proprietary software. If an author or other third party that distributes such open source software were to allege that we have not complied with the conditions of an open source license, we could incur significant legal costs defending ourselves against such allegations. In the event such claims were successful, we could be subject to significant damages or be enjoined from the distribution of our proprietary software. In addition, the terms of open source software licenses may require us to provide software that we develop using such open source software to others on unfavorable license terms.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 result of our current or future use of open source software, we may face claims or litigation, be required to release our proprietary source code, pay damages for breach of contract, re-engineer our proprietary software, discontinue making our proprietary software available in the event re-engineering cannot be accomplished on a timely basis or take other remedial action. Any such re-engineering or other remedial efforts could require significant additional research and development resources, and we may not be able to successfully complete any such re-engineering or other remedial efforts. Further, in addition to risks related to license requirements, use of certain open source software can lead to greater risks than use of third-party commercial software, as open source licensors generally do not provide warranties or controls on the origin of the software. Any of these risks could be difficult to eliminate or manage, and, if not addressed, could have a negative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publish inaccurate or unfavorable research or cease publishing research about us, the price for our ADSs and the trading volume could decline significantly.</w:t>
      </w:r>
    </w:p>
    <w:p>
      <w:pPr>
        <w:spacing w:after="0" w:line="11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trading market for our ADSs will depend, in part, on the research and reports that securities or industry analysts publish about us or our business. We may be unable to sustain coverage by well-regarded securities and industry analysts. If either none or only a limited number of securities or industry analysts maintain coverage of us, or if these securities or industry analysts are not widely respected within the general investment community, the demand for our ADSs could decrease, which might cause the price for our ADSs and the trading volume to decline significantly. In the event that we obtain securities or industry analyst coverage, if one or more of the analysts who cover us downgrade their assessment of us or publish inaccurate or unfavorable research about our business, the market price and liquidity for our ADSs and Warrants could be negatively impacted.</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Resales of our securities by our securityholders may cause the market price of the our securities to drop significantly, even if our business is doing well.</w:t>
      </w:r>
    </w:p>
    <w:p>
      <w:pPr>
        <w:spacing w:after="0" w:line="1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our securities, or the perception that those sales might occur, could result in a significant decline in the public trading price of our securities and could impair our ability to raise capital through the sale or issuance of additional equity securities. We are unable to predict the effect that such sales may have on the prevailing market price of our securities.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prices of our ADSs and Warrants may be volatile and a market for our ADSs may not develop, which would adversely affect the liquidity and price of our ADSs.</w:t>
      </w:r>
    </w:p>
    <w:p>
      <w:pPr>
        <w:spacing w:after="0" w:line="11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 active trading market for our ADSs may never develop or, if developed, may not be sustained. You may be unable to sell your ADSs unless a market can be established and sustained.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trading prices of our ADSs and Warrants may be volatile and may fluctuate due to a variety of factors, some of which are beyond our control, including, but not limited to:</w:t>
      </w:r>
    </w:p>
    <w:p>
      <w:pPr>
        <w:spacing w:after="0" w:line="148" w:lineRule="exact"/>
        <w:rPr>
          <w:sz w:val="20"/>
          <w:szCs w:val="20"/>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 our customers, suppliers, or our industry;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services and expansions by us or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bring products to market in a timely manner;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actual or potential litigation or regulatory investigations;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us, our products or our industry;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senior management or key personnel;</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securities by us, our shareholders or our warrant holders, as well as the anticipation of lockup releases;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regulatory, industry, and market conditions;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major catastrophic events; and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natural disasters, pandemics or responses to these events.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ADSs and Warrants to fluctuate substantially, which may limit or prevent investors from readily selling their shares and may otherwise negatively affect the liquidity of our ADSs and Warrants. Following periods of such volatility in the market price of a company’s securities, securities class action litigation has often been brought against that company. Because of the potential volatility of our ADSs and Warrants, we may become the target of securities litigation in the future. Securities litigation could result in substantial costs and divert management’s attention and resources from our business.</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share capital in connection with financings, acquisitions, investments, our equity incentive plans or otherwise will dilute all other shareholders.</w:t>
      </w:r>
    </w:p>
    <w:p>
      <w:pPr>
        <w:spacing w:after="0" w:line="14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expect to issue additional share capital in the future that will result in dilution to all other shareholders. We expect to grant equity awards to key employees under our equity incentive plans. We also intend to raise capital through equity financings in the future. As part of our business strategy, we may acquire or make investments in companies, solutions or technologies and issue equity securities to pay for any such acquisition or investment. Any such issuances of additional share capital may cause shareholders to experience significant dilution of their ownership interests and the per ADS value of our ADSs to decline.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have the same voting rights as our registered shareholders and might not receive voting materials in time to be able to exercise their right to vote.</w:t>
      </w:r>
    </w:p>
    <w:p>
      <w:pPr>
        <w:spacing w:after="0" w:line="11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Except as described in this annual report and in the deposit agreement, holders of the our ADSs will not be able to exercise voting rights attaching to the underlying Ordinary Shares evidenced by the ADSs on an individual basis. Under the deposit agreement, holders of our ADSs must vote by giving voting instructions to the depositary, including instructions to give a discretionary proxy to a person designated by us. Upon receipt of such holder’s voting instructions, the depositary will vote the underlying Ordinary Shares in accordance with these instructions. Holders of our ADSs will not be able to directly exercise their right to vote with respect to the underlying Ordinary Shares unless they withdraw the underlying Ordinary Shares. Holders of our ADSs may not receive voting materials in time to instruct the depositary to vote, and it is possible that holders of our ADSs, or persons who hold their ADSs through brokers, dealers or other third parties, will not have the opportunity to exercise their right to vote.</w:t>
      </w:r>
    </w:p>
    <w:p>
      <w:pPr>
        <w:spacing w:after="0" w:line="18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our ADSs are limited by the terms of the deposit agreement, and holders of our ADSs may not be able to exercise rights to direct how the Ordinary Shares represented by our ADSs are voted.</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holder of the our ADSs may only exercise the voting rights with respect to the underlying Ordinary Shares in accordance with the provisions of the deposit agreement. Upon receipt of voting instructions of a holder of our ADSs in the manner set forth in the deposit agreement, the depositary will endeavor to vote the underlying Ordinary Shares in accordance with these instructions. When a general meeting is convened, holders of our ADSs may not receive sufficient notice of a shareholders’ meeting to permit them to withdraw the Ordinary Shares underlying the our ADSs to allow them to cast their votes with respect to any specific matter. In addition, the depositary and its agents may not be able to send voting instructions to holders of our ADSs or carry out their voting instructions in a timely manner. We will make all reasonable efforts to cause the depositary to extend voting rights to holders of our ADSs in a timely manner, but we cannot assure such holders that they will receive the voting materials in time to ensure that they can instruct the depositary to vote their shares. Furthermore, the depositary will not vote on any matter for which voting is conducted on a show of hands basis in accordance with our then effective memorandum and articles of association and will not have an obligation to demand voting on a poll basis. The depositary and its agents will not be responsible for any failure to carry out any instructions to vote, for the manner in which any vote is cast, or for the effect of any such vote. As a result, holders of our ADSs may not be able to exercise their right to vote and may lack recourse if their equity shares are not voted as requested.</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the depository are entitled to amend the deposit agreement and to change the rights of ADS holders under the terms of such agreement, and we may terminate the deposit agreement, without the prior consent of the ADS holders.</w:t>
      </w:r>
    </w:p>
    <w:p>
      <w:pPr>
        <w:spacing w:after="0" w:line="11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and the depository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our ADSs or changes in the terms of our business relationship with the depositary. In the event that the terms of an amendment impose or increase fees or charges (other than charges in connection with foreign exchange control regulations, and taxes and/or other governmental charges, delivery and other such expenses) or that would otherwise prejudice any substantial existing right of the ADS holders, such amendment will not become effective as to outstanding ADSs until the expiration of 30 days after notice of that amendment has been disseminated to ADS holders, and no prior consent of the ADS holders is required under the deposit agreement. Furthermore, we may decide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be subject to limitations on transfer of their ADSs.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ADSs are transferable on the books of the depositary. However, the depositary may close its transfer books at any time or from time to time when it deems necessary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w:t>
      </w:r>
    </w:p>
    <w:p>
      <w:pPr>
        <w:spacing w:after="0" w:line="1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might not receive distributions on our equity shares, or any value for them at all, if it is unlawful or impracticable for us to make them available to such holders.</w:t>
      </w:r>
    </w:p>
    <w:p>
      <w:pPr>
        <w:spacing w:after="0" w:line="11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depositary of the our ADSs has agreed to pay holders of our ADSs the cash dividends or other distributions it or the custodian for the our ADSs receives on Ordinary Shares or other deposited securities after deducting its fees and expenses in accordance with the deposit agreement. Holders of our ADSs will receive these distributions in proportion to the number of the underlying Ordinary Shares that their ADSs represent. However, the depositary is not responsible if it is unlawful or impracticable to make a distribution available to any holders of our ADSs. For example, it would be unlawful to make a distribution to a holder of our ADSs if it consists of securities that require registration under the Securities Act but such securities are not properly registered or distributed pursuant to an applicable exemption from registration. The depositary is not responsible for making a distribution available to any holders of our ADSs if any government approval or registration is required for such distribution. We have no obligation to take any other action to permit the distribution of the our ADSs, equity shares, rights or anything else to holders of the our ADSs. This means that holders of our ADSs might not receive the distributions that we make on our Ordinary Shares or any value for them at all if it is unlawful or impracticable for us to make them available to you.</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deposit agreement, any action or proceeding against or involving the depositary, arising out of or based upon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the state courts in New York County, New York), and you, as a holder of our ADSs, will have irrevocably waived any objection which you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in its sole discretion, require that any dispute or difference arising from the relationship created by the deposit agreement be referred to and finally settled by an arbitration conducted under the terms described in the deposit agreement. These arbitration provisions govern such dispute or difference and do not, in any event, preclude you from pursuing claims under the Securities Act or the Exchange Act in federal courts.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subject to the depositary’s right to require a claim to be submitted to arbitration, the United States District Court for the Southern District of New York (or, if the United States District Court for the Southern District of New York lacks subject matter jurisdiction over a particular dispute, the state courts in New York County,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ordinary shares, the ADSs or the deposit agreement, including any claim under the U.S. federal securities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Warrants are exercisable for Ordinary Shares in the form of ADSs, which would increase the number of shares eligible for resale in the public market and result in dilution to shareholders.</w:t>
      </w:r>
    </w:p>
    <w:p>
      <w:pPr>
        <w:spacing w:after="0" w:line="11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Warrants to purchase an aggregate of 15,037,030 Ordinary Shares in the form of ADSs are exercisable in accordance with the terms of the Warrant Agreement governing those securities. The number of Warrants outstanding is equal to approximately 2.2% of our currently outstanding Ordinary Shares. The exercise price of the Warrants is US$11.50 per share, subject to adjustment. To the extent such Warrants are exercised, additional Ordinary Shares in the form of ADSs will be issued, which will result in dilution to the existing holders of Ordinary Shares or ADSs and increase the number of shares eligible for resale in the public market. Sales of substantial numbers of such ADSs in the public market or the fact that such Warrants may be exercised could adversely affect the market price of ADSs However, there is no guarantee that the Warrants will ever be in the money prior to their expiration, and as such, the Warrants may expire worthless.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held by holders other than the Sponsor or its permitted transferees prior to their exercise at a time that is disadvantageous to you, thereby making your Warrants worthless.</w:t>
      </w:r>
    </w:p>
    <w:p>
      <w:pPr>
        <w:spacing w:after="0" w:line="11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redeem Public Warrants prior to their exercise at a time that is disadvantageous to the holders of such Warrants, thereby making such warrants worthless. More specifically:</w:t>
      </w:r>
    </w:p>
    <w:p>
      <w:pPr>
        <w:spacing w:after="0" w:line="162" w:lineRule="exact"/>
        <w:rPr>
          <w:sz w:val="20"/>
          <w:szCs w:val="20"/>
          <w:color w:val="auto"/>
        </w:rPr>
      </w:pPr>
    </w:p>
    <w:p>
      <w:pPr>
        <w:jc w:val="both"/>
        <w:ind w:left="1000" w:hanging="317"/>
        <w:spacing w:after="0" w:line="254"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the ability to redeem outstanding Warrants (except as described herein with respect to the private placement warrants) at any time prior to their expiration, at a price of US$0.01 per warrant, provided that the last reported sales price of Ordinary Shares equals or exceeds US$18.00 per share (subject to adjustment) for any 20 trading days within a 30 trading-day period ending on the third trading day prior to proper notice of such redemption and provided that certain other conditions are met.</w:t>
      </w:r>
    </w:p>
    <w:p>
      <w:pPr>
        <w:spacing w:after="0" w:line="187"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have the ability to redeem outstanding Warrants at any time prior to their expiration, at a price of US$0.10 per warrant, provided that the last reported sales price of Ordinary Shares equals or exceeds US$10.00 per share (subject to adjustment) for any 20 trading days within a 30 trading-day period ending on the third trading day prior to proper notice of such redemption and provided that certain other conditions are met. If the last reported sales price of Ordinary Shares for any 20 trading days within a 30-trading day period ending on the third trading day prior to the date on which we send the notice of redemption to the warrant holders is less than US$18.00 per share (subject to adjustment), the private placement warrants must also be concurrently called for redemption on the same terms as the outstanding Public warrants, as described above. In each case, we may only call the Warrants for redemption upon a minimum of 30 days’ prior notice of redemption.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the warrants, which could limit the ability of warrantholders to obtain a favorable judicial forum for disputes with us in connection with such warrants.</w:t>
      </w:r>
    </w:p>
    <w:p>
      <w:pPr>
        <w:spacing w:after="0" w:line="14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Warrant Agreement provides that, subject to applicable law, (i) any action, proceeding or claim against us arising out of or relating in any way to the warrant agreement, will be brought and enforced in the courts of the State of New York or the United States District Court for the Southern District of New York, and (ii) we irrevocably submit to such jurisdiction, which jurisdiction shall be the exclusive forum for any such action, proceeding or claim. We have waived any objection to such exclusive jurisdiction and that such courts represent an inconvenient forum. Notwithstanding the foregoing, these provisions of the Warrant Agreement do not apply to suits brought to enforce any liability or duty created by the Exchange Act or any other claim for which the federal district courts of the U.S. are the sole and exclusive forum. Any person or entity purchasing or otherwise acquiring any interest in any of warrants under the Warrant Agreement shall be deemed to have notice of and to have consented to the forum provisions of the Warrant Agreement. If any action, being referred to herein as a “foreign action,” the subject matter of which is within the scope the forum provisions of the Warrant Agreement, is filed in a court other than a court of the State of New York or the United States District Court for the Southern District of New York in the name of any holder of the warrants, such holder shall be deemed to have consented to: (x) the personal jurisdiction of the state and federal courts located in the State of New York in connection with any action brought in any such court to enforce the forum provisions, and (y) having service of process made upon such warrant holder in any such action to enforce the forum provisions by service upon such warrant holder’s counsel in the foreign action as agent for such warrant holder.</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choice-of-forum provision may limit a warrant holder’s ability to bring a claim in a judicial forum that it finds favorable for disputes with us,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our management’s attention and affect our ability to attract and retain qualified board members.</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the Dodd-Frank Act, Nasdaq listing requirements and other applicable securities rules and regulations. As such, we will incur additional legal, accounting and other expenses. These expenses may increase even more if we no longer qualify as an “emerging growth company,” as defined in Section 2(a) of the Securities Act.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We may need to hire more employees or engage outside consultants to comply with these requirements, which will increase our costs and expenses.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expect these laws and regulations to increase our legal and financial compliance costs and to render some activities more time-consuming and costly, although we are currently unable to estimate these costs with any degree of certainty.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Many members of our management team will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regulations and the continuous scrutiny of securities analysts and investors. The need to establish the corporate infrastructure demanded of a public company may divert the management’s attention from implementing its growth strategy, which could prevent us from improving our business, financial condition and results of operations. Furthermore, we expect these rules and regulations to make it more difficult and more expensive for us to obtain director and officer liability insurance, and consequently we may be required to incur substantial costs to maintain the same or similar coverage. These additional obligations could have a material adverse effect on our business, financial condition, results of operations and prospects. These factors could also make it more difficult for us to attract and retain qualified members of its board of directors, particularly to serve on our audit committee, and qualified executive officers.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cause an adverse effect on our business, financial condition, results of operations, prospects and reputation.</w:t>
      </w:r>
    </w:p>
    <w:p>
      <w:pPr>
        <w:spacing w:after="0" w:line="16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it cannot be certain if the reduced SEC reporting requirements applicable to emerging growth companies will make our ADSs less attractive to investors, which could have a material and adverse effect on us, including our growth prospects.</w:t>
      </w:r>
    </w:p>
    <w:p>
      <w:pPr>
        <w:spacing w:after="0" w:line="13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We qualify as an “emerging growth company” as defined in the JOBS Act. We will remain an “emerging growth company” until the earliest to occur of (i) the last day of the fiscal year (a) following the fifth anniversary of the closing of the Business Combination,</w:t>
      </w:r>
    </w:p>
    <w:p>
      <w:pPr>
        <w:spacing w:after="0" w:line="1" w:lineRule="exact"/>
        <w:rPr>
          <w:sz w:val="20"/>
          <w:szCs w:val="20"/>
          <w:color w:val="auto"/>
        </w:rPr>
      </w:pPr>
    </w:p>
    <w:p>
      <w:pPr>
        <w:jc w:val="both"/>
        <w:ind w:firstLine="8"/>
        <w:spacing w:after="0" w:line="249" w:lineRule="auto"/>
        <w:tabs>
          <w:tab w:leader="none" w:pos="2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have total annual gross revenue of at least US$1.235 billion or (c) in which we are deemed to be a large accelerated filer, which means the market value of our shares held by non-affiliates exceeds US$700 million as of the last business day of our prior second fiscal quarter, and (ii) the date on which we issued more than US$1.0 billion in non-convertible debt during the prior three-year period. We intend to take advantage of exemptions from various reporting requirements that are applicable to most other public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and reduced disclosure obligations regarding executive compensation.</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even after we no longer qualify as an “emerging growth company,” as long as we continue to qualify as a foreign private issuer under the Exchange Act, we will be exempt from certain provisions of the Exchange Act that are applicable to U.S. domestic public companies.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our shareholders may not have access to certain information they deem important or at the same time if we were a non-foreign private issuer. We cannot predict if investors will find our ADSs less attractive because we rely on these exemptions. If some investors find our ADSs less attractive as a result, there may be a less active trading market and price for our ADSs may be more volatile.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qualify as a foreign private issuer within the meaning of the rules under the Exchange Act, and as such we are exempt from certain provisions applicable to U.S. domestic public companies.</w:t>
      </w:r>
    </w:p>
    <w:p>
      <w:pPr>
        <w:spacing w:after="0" w:line="14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share ownership and trading activities and liability for insiders who profit from trades made in a short period of time; and (iv) the selective disclosure rules by issuers of material nonpublic information under Regulation FD.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through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Accordingly, if you hold our securities, you may receive less or different information about us than that you would receive about a U.S. domestic public company.</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U.S.; or (iii) our business is administered principally in the U.S. If we lose our status as a foreign private issuer in the future, we will no longer be exempt from the rules described above and, among other things, will be required to file periodic reports and annual and quarterly financial statements as if we were a company incorporated in the U.S. If this were to happen, we would likely incur substantial costs in fulfilling these additional regulatory requirements, and members of our management would likely have to divert time and resources from other responsibilities to ensuring these additional regulatory requirements are fulfilled.</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and a “controlled company” within the meaning of the Nasdaq corporate governance rules, we are permitted to adopt certain home country practices in relation to corporate governance matters that differ significantly from Nasdaq corporate governance listing standards applicable to domestic U.S. companies or rely on exemptions that are available to a “controlled company”; these practices may afford less protection to shareholders than they would enjoy if we complied fully with Nasdaq corporate governance listing standards.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and listed on Nasdaq as a foreign private issuer. Nasdaq listing rules permit a foreign private issuer like us to follow the corporate governance practices of its home country. Certain corporate governance practices in the Cayman Islands, which is our home country, may differ significantly from Nasdaq corporate governance listing standards applicable to domestic U.S. companies. We rely on home country practice exemption available to foreign private issuers for the requirement under (i) Nasdaq Rule 5605(c)(2)(A) that each of the members of our audit committee must be an independent director as defined under Nasdaq Rule 5605(a)(2) and (ii) Nasdaq Rule 5620 that each issuer must hold an annual meeting of shareholders no later than one year after the end of the issuer’s fiscal year-end. We may choose to follow additional home country practices in the future.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“controlled company” as defined under the Nasdaq corporate governance rules because Mr. Shufu Li owns more than 50% of our total voting power. For so long as we remain a controlled company under that definition, we are permitted to elect to rely, and may rely, on certain exemptions from Nasdaq corporate governance rules, including (i) an exemption from the rule that a majority of our board of directors must be independent directors; (ii) an exemption from the rule that director nominees must be selected or recommended solely by independent directors; and (iii) an exemption from the rule that the compensation committee must be comprised solely of independent directors. Currently, we rely on all of the foregoing exemptions available to a controlled company.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you may not be provided with the benefits of certain corporate governance requirements of Nasdaq applicable to companies that are subject to these corporate governance requirements.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the laws of the Cayman Islands, and we conduct a substantial portion of our operations, and a majority of our directors and executive officers reside, outside of the U.S.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and conduct a majority of our operations through our subsidiaries in China. A substantial portion of our assets are located outside the U.S. A majority of our officers and directors reside outside the U.S. and a substantial portion of the assets of those persons are located outside of the U.S. As a result, it may be difficult for investors to effect service of process within the U.S. upon our directors or officers, or to enforce judgments obtained in the U.S. courts against our directors or officers. For more information regarding the laws of the Cayman Islands and China.</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corporate affairs are governed by our memorandum and articles of association, as amend from time to time, the Cayman Islands Companies Act and the common law of the Cayman Islands. The rights of our shareholders to take action against our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different from what they would be under statutes or judicial precedent in some jurisdictions in the U.S. In particular, the Cayman Islands has a different body of securities laws than the U.S. and some U.S. states, such as Delaware, may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memorandum and articles of association, special resolutions, and the register of mortgages and charges, of such companies)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U.S. If we choose to follow home country practice in the future, our shareholders may be afforded less protection than they otherwise would under rules and regulations applicable to U.S. domestic issuers.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retain most, if not all, of our available funds and any future earnings to fund the development and growth of our business. As a result, we do not expect to pay any cash dividends in the foreseeable future.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Even if the board of directors decides to declare and pay dividends, the timing, amount and form of future dividends, if any, will depend on the future results of operations and cash flow, capital requirements and surplus, the amount of distributions, if any, received by us from subsidiaries, our financial condition, contractual restrictions and other factors deemed relevant by the board of directors. Accordingly, you may need to rely on sales of our ADSs after price appreciation, which may never occur, as the only way to realize any future gains on your investment. There is no guarantee that the our ADSs will appreciate in value or that the market price of the our ADSs will not decline.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treated as a passive foreign investment company, or PFIC, for any taxable year, which could result in adverse U.S. federal income tax consequences to U.S. Holders.</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we are a PFIC for any taxable year (or portion thereof) during which a U.S. Holder (as defined in “Item 10. Additional Information—E. Taxation—U.S. Federal Income Tax Considerations”) holds our ADSs, such U.S. Holder may be subject to adverse U.S. federal income tax consequences and may be subject to additional reporting requirements. A non-U.S. corporation will generally be a PFIC for U.S. federal income tax purposes if, in any taxable year, either (1) at least 75% of its gross income for such year is passive income (such as interest, dividends, rents and royalties (other than rents or royalties derived from the active conduct of a trade or business) and net gains from the disposition of assets giving rise to passive income) or (2) at least 50% of the value of its assets (generally based on an average of the quarterly values of the assets) during such year is attributable to assets that produce or are held for the production of passive income.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our assets and income, we do not believe that we were a PFIC for our taxable year ended December 31, 2023 and do not expect to be a PFIC for the current taxable year or foreseeable future taxable years. However, the facts on which any determination of PFIC status are based are not known until the close of each taxable year in question. U.S. Holders should consult their tax advisors regarding the application of the PFIC rules to us and the risks of owning equity securities in a company that may be a PFIC. See “Item 10. Additional Information—E. Taxation—U.S. Federal Income Tax Considerations—Passive Foreign Investment Company Considerations.”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Lotus BEV business, founded in 2018, was carried out by Wuhan Lotus Cars and the Lotus BEV business unit of Ningbo Geely Automobile Research &amp; Development Co., Ltd., or Ningbo Geely R&amp;D, incorporated in the People’s Republic of China, Lotus Tech UK incorporated in the U.K. and Lotus Tech Innovation Centre GmbH, or Lotus GmbH, incorporated in Germany. For the periods ended prior to the Restructuring, we also carried out the Lotus BEV business through the former VIE and its subsidiaries based in mainland China. However, we restructured our company beginning in 2023 such that we no longer have any VIE. We refer to this series of transactions in this annual report as the Restructuring.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9, 2021, LTC was incorporated as a limited liability company in the Cayman Islands.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Through a series of steps, including transferring the assets and employees in the Lotus BEV business unit of Ningbo Geely R&amp;D into Wuhan Lotus Cars and transferring the equity of Wuhan Lotus Cars to the WFOE, the Company gained control over WFOE through Lotus HK on December 15, 2021. The equity interests of Lotus Tech UK and Lotus GmbH were transferred to us on December 29, 2021 and June 24, 2022, respectively.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4, 2021, we entered into trademark licenses agreements with a related party, Group Lotus Limited, a wholly-owned subsidiary of Lotus Group International Limited, or LGIL, pursuant to which, we received the “Lotus” trademark licenses as long as we conduct the business in relation to lifestyle vehicles (excluding sports car). We issued 216,700,000 ordinary shares as consideration for such trademark. The above reorganization was completed on June 24, 2022.</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12, 2021, the former VIE and a third-party established Ningbo Robotics Co., Ltd., or Ningbo Robotics, in which the former VIE held 60% equity interest. In March 2022, the former VIE transferred its 60% legal equity interest of Ningbo Robotic to its then wholly-owned subsidiary, Sanya Lotus Venture Capital Co., Ltd.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15, 2022, LTC declared a 10-for-1 stock split in the form of a stock dividend and such stock dividend is distributed to all the shareholders of LTC in proportion to their respective shareholdings in LTC. Before the stock dividend, LTC had 216,700,000 ordinary shares and 2,407,778 Series Pre-A Preferred Shares issued and outstanding with a par value of US$0.00001 per share. After the stock dividend, LTC had 2,167,000,000 ordinary shares and 24,077,780 Series Pre-A Preferred Shares issued and outstanding.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early 2023, LTC has been implementing the Restructuring. As of the date of this annual report, LTC’s operations in mainland China are conducted by its mainland China subsidiaries and LTC does not have any VIE structure.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22, 2024, we consummated the Business Combination with LCAA, pursuant to the Merger Agreement. LCAA was a blank check company incorporated for the purpose of effecting a merger, share exchange, asset acquisition, share purchase, reorganization or similar business combination with one or more businesses or entities. Our ADSs and Warrants have been listed on The Nasdaq Global Market since February 23, 2024 under the symbol “LOT” and “LOTWW,” respectively.The mailing address of our principal executive office is No. 800 Century Avenue, Pudong District, Shanghai, People’s Republic of China, and its phone number is +8621 5466-6258. Our corporate website address is www.group-lotus.com. The information contained in, or accessible through, our website does not constitute a part of this annual report. The SEC maintains an internet site that contains reports, proxy and information statements, and other information regarding issuers, such as we, that file electronically, with the SEC at www.sec.gov.</w:t>
      </w:r>
    </w:p>
    <w:p>
      <w:pPr>
        <w:spacing w:after="0" w:line="147"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pioneering luxury BEV maker that designs, develops luxury lifestyle vehicles (non-sports car vehicles for daily usage) under the iconic British brand “Lotus” and sell all Lotus branded cars. We launched our first fully electric Hyper-SUV, Eletre, in 2022, and our second lifestyle production vehicle and first hyper grand tourer (hyper-GT) vehicle, Emeya, in 2023. In addition to Eletre and Emeya, we plan to launch two additional fully-electric vehicles in the near future, including a D-segment SUV in 2025 and a BEV lifestyle sports car in 2026. We manufacture all BEV lifestyle models through a contract manufacturing partnership with Geely Holding, utilizing Geely Holding’s newly-constructed, state-of-the-art manufacturing facilities dedicated for EVs in Wuhan, China, with a planned production capacity of 150,000 units annually.</w:t>
      </w:r>
    </w:p>
    <w:p>
      <w:pPr>
        <w:spacing w:after="0" w:line="14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bring customers a luxury retailing experience through a digital-first, omni-channel sales model to establish and develop direct relationship with customers and covers the entire spectrum of customer experience, both physically and virtually. As of December 31, 2023, we had 215 stores in our global distribution network.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2023, we delivered a total of 6,970 vehicles, which consisted of our lifestyle vehicles and sportscars distributed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Vehicles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first lifestyle production vehicle, Eletre, is a new breed of pure electric SUV powered by Lotus’s proprietary 800-volt EPA. Deliveries of Eletre commenced in China and Europe in 2023. Planning is underway for deliveries to the U.S. and rest of the world. Our second lifestyle production vehicle, Emeya, was launched in September 2023 and we began deliveries of Emeya in March 2024. In addition to Eletre and Emeya, we plan to launch two additional fully-electric vehicles in the near future, including a D-segment SUV in 2025 and a BEV sports car in 2026. We also plan to upgrade our models on an ongoing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Eletre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Eletre is the first of our new breed of pure electric SUV. It is our first lifestyle vehicle, which aims to set the standard for our future lifestyle vehicles. The five-seater (four-seater as optional) is 5,103 millimeters long with a 3,019-millimeter wheelbase, providing customers a spacious and comfortable riding experience. Eletre comes with standard five drive modes, switchable through adjusting the front and rear wheel steering, damper settings, chassis controls system, propulsion strategies, and accelerator pedal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130175</wp:posOffset>
            </wp:positionV>
            <wp:extent cx="5194935" cy="25971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9493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Three different versions of Eletre are available, namely, Eletre, Eletre S and Eletre R, with the choice of two powertrains. These versions are designed to satisfy the various demands of customers—Eletre R is tailored for customers who seek speed and control while Eletre S provides longer range and more comfort. With average MSRP higher than US$100,000, Eletre and Eletre S feature the 450 kilowatts single-speed version, with a maximum miles per full charge according to the Worldwide Harmonized Light Vehicles Test Procedure (WLTP) of 600 kilometers (km). Eletre and Eletre S can deliver a top speed of 258 km per hour and an acceleration from zero to 100 km per hour in 4.5 seconds and from 80 to 120 km per hour in less than 2.2 seconds, with a maximum of 710 Newton-meter (Nm) of torque. With average MSRP higher than US$130,000, Eletre R comes with the flagship 675 kilowatts dual-speed system, with a maximum WLTP of 490 km and dual-speed version on rear engine. Eletre R can deliver a top speed of 265 km per hour and an acceleration from zero to 100 km per hour in just around 2.95 seconds and from 80 to 120 km per hour in less than around 1.9 seconds, with a maximum of 985 Nm of torque. In addition to standard five drive modes, Eletre R also comes with another track mode. All three versions come with a 112-kilowatt-hour battery pack, with a fast charging time of less than 20 minutes from 10% to 80% capacity using a rapid charger. We offer slightly different Eletre, Eletre S and R models (namely, Eletre L+, Eletre S+ and R+) tailored to the China market.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Efficient aerodynamics have historically been at the heart of the Lotus brand. A significant element of the exterior design of Eletre is porosity, which essentially allows air to flow through the vehicle as opposed to being pushed around it, reducing air resistance and delivering a more efficient journey in terms of improved vehicle range, speed, performance and design aesthetics. Eletre’s interior brings a comfortable and luxurious feeling to passengers, configuring highly durable materials and an immersive infotainment system. Eletre is equipped with a 15.1-inch high definition OLED screen which works in tandem with the digital passenger display and provides access to its advanced infotainment system. Information is displayed to the driver via a head-up display (HUD) featuring augmented reality (AR) technology. Voice control is enabled through advanced speech recognition technology.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Lotus Hyper OS is an operating system powering our advanced digital cockpit cabin installed in Eletre, enabling us to create next-generation real-time 3D digital mapping and graphing experiences. Lotus Hyper OS includes two Qualcomm 8155 System-on-chips to provide accelerated graphic rendering and higher data transmission speeds. Eletre will also debut a next-generation digital head unit, which is expected to provide fully customizable displays, hosted on an advanced driver information module.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Eletre is equipped with the latest connectivity technology, including 5G compatibility, which enables the performance and features of the vehicle to be continually updated and enhanced via over-the-air (OTA) updates. Eletre owners can connect to the car via a smartphone app, and access driving logs, vehicle and charge status, remote features, location services and other functionalities. Eletre also comes with navigation services, including EV routing, EV range assistant, and predictive routing, and provides a series of safety functions. In addition to standard safety features, Eletre features collision mitigation support (front and rear), traffic sign information, front and rear cross traffic alert, children presence detection, lane departure warning, and emergency rescue call.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Emeya</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Emeya (Type 133), a four-door luxury and performance vehicle, is our second lifestyle vehicle and first hyper grand tourer (hyper-GT) vehicle. It is also one of the world’s most advanced electric hyper-GT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105410</wp:posOffset>
            </wp:positionV>
            <wp:extent cx="5194935" cy="25971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9493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Emeya is developed based on the same advanced EPA architecture and adopting the same strong aerodynamics and intelligent driving system as Eletre. Powered by our high-power dual motor, Emeya can deliver an acceleration from zero to 100 km per hour in 2.8 seconds, making it one of the fastest electric GTs in the world. Equipped with our supercharging feature, Emeya can reach 150 km range with five minutes of charging time and boost up to 80% capacity within 18 minutes of charging time using a 350 kW direct current fast charger. In addition, Emeya has been meticulously designed with the latest sustainable materials to reduce the carbon footprint of its production.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commenced deliveries of Emeya in China in March 2024, and expect to commence deliveries in Europe in the second half of 2024. The average MSRP of Emeya exceeds US$100,000.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Models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Type 134</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Type 134 is a D-segment BEV SUV planned for launch in 2025. With an average MSRP over US$70,000, Type 134 will be an SUV targeting a broader customer base including younger demographics.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Type 135</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Type 135 is a BEV sports car planned for launch in 2026 . With an average MSRP over US$95,000, Type 135 will be our first all-electric sports car, built upon Lotus’s unique sports car platform.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Global Commercial Platform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developed a Global Commercial Platform for the sales and distribution of our vehicles and sports cars made by Lotus UK. As of December 31, 2023, we had 215 stores in our global distribution network.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Luxury Retailing Experience for Customers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Aiming to provide a future-proof, luxurious customer experience, we adopt a digital-first, omni-channel sales model for Eletre, Emeya and future BEV models to establish and develop direct relationship with customers, covering the entire spectrum of customer experience, both physically and virtually.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global sales digital platform provides a full suite of luxury retailing experience, including, a virtual showroom of our brand and products, an enquiry, order, purchasing and customization platform, and a reservation system for test drive, product delivery, aftersales services, among others. We also create online forums in various geographic markets for customers to engage, search, communicate and interact. Our customers are offered a wide range of options for customization, including exterior, interior, and other functions and features. Our customers can also reserve test-driving sessions and have access to our digital payment system and aftersales services and software updates.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Master Distribution Agreement with Lotus UK</w:t>
      </w:r>
    </w:p>
    <w:p>
      <w:pPr>
        <w:spacing w:after="0" w:line="2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Distribution Agreement entered into by and between Lotus Cars Limited, the entity carrying out Lotus UK’s sportscar manufacturing operations, and LTIL, we are the exclusive global distributor (excluding the U.S., where LTIL will act as the head distributor with the existing regional distributor continuing its functions) for Lotus Cars Limited to distribute vehicles, parts, and certain tools, and to provide aftersales services, branding, marketing, and public relations for such vehicles, parts, and tools distributed by it. The Distribution Agreement also provides that each year we and Lotus UK will prepare business plans and annual targets taking into account historical sales figures, forecast demand, national, regional, and local trends, and Lotus UK’s production capacity for the vehicles. Additionally, pursuant to the Distribution Agreement, existing stores and dealers of Lotus UK are transferred to us. As of December 31, 2023, we had 215 stores in our global distribution network. In addition to Eletre, Emeya and future BEV models, major vehicle models under the Distribution Agreement include Evija (BEV sports car) and Emira (ICE sports car), both developed and manufactured by Lotus UK, and another BEV sports car to be launched by Lotus UK in the near future.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Emira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Launched in 2021, Emira is built on a new Lotus sports car architecture. It uses the pioneering Lotus bonded extruded aluminum chassis technology. Emira is 4,412 millimeters long with a 2,575-millimeter wheelbase. It comes with a power output of 298 kilowatts. Emira can deliver a top speed of 290 km per hour and an acceleration from zero to 100 km per hour in 4.5 seconds, with a maximum of 420 Nm of torque.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Evija</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Launched in 2019 with an average MSRP exceeds US$2.2 million, Evija, the world’s first pure electric British hyper car and a 2020 MUSE Global Design Awards winner, is the first Lotus road car to feature a one-piece ultra-lightweight carbon fiber monocoque chassis. It is 4,459 millimeters long and weighs only 1,887 kilograms. Evija comes with 1,500 kilowatts power system, with a WLTP maximum range of 402 km. Evija can deliver a top speed of 320 km per hour and an acceleration from zero to 300 km per hour in 9.1 seconds, with a maximum of 1,700 Nm of torque. Evija is equipped with a 93-kilowatt-hour battery pack, with a fast charging time of around 18 minutes to 100% capacity. We started deliveries of Evija in 2024.</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Distribution of vehicles and other products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responsible for establishing and maintaining a distribution network and an aftersales service network either selling directly, through Lotus UK’s subsidiaries, or by appointing sub-distributors. We are responsible for making sure that the sub-distributors will meet all the standards and abide by the guidelines as stipulated in the Distribution Agreement and achieve the minimum criteria for sales and aftersales service provisions, each as set out in the annual business plan. We are also responsible for providing branding, marketing, and public relations services in relation to Lotus-branded products.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Distribution Agreement, we are generally responsible for procuring licenses and permits and fulfilling other procedures and formalities required to import the vehicles, while Lotus UK is responsible for obtaining homologation, also referred to as vehicle approval or type approval, of new sports car vehicle models.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Aftersales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provide service and repair for vehicles manufactured or supplied by Lotus UK, in accordance with the applicable aftersales services and warranty services protocol. To provide customers with convenient and hassle-free aftersales experience, we pay close attention to customer requests and carry out testing and inspection that may be necessary to identify defects and ensure satisfactory functioning of vehicles.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Charging Solutions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dedicated to offering our customers a convenient and efficient charging experience and provide multiple solutions including home charging, flash charging through our company-owned charging network, and on the go charging which is provided by our designated partners.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Europe, we are partnering with a leading platform which provides our customers with extensive charger network that covers across Europe. We also offer home charging solutions for owners of our vehicles.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China, we provide home charging solutions and partner with leading suppliers that have charging network across the country. Partnering with local charging solutions developers, we operate company-owned charging network that provides 480 kW flash charging for our featured 800-volt EPA in core commercial areas of metropolises such as Beijing and Shanghai, among others. As of December 31, 2023, we had launched 65 flash charging stations in China and partnered with public charging stations to bring convenience to the charging experience of our customers.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U.S. and other global markets, we plan to provide comprehensive charging solutions tailored for local market conditions and customer demands.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taken a decisive path in developing EV-related technologies to achieve a fully-electric product portfolio. We will further establish our strong technology identity, which will be reflected in future electrified models.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Architecture and Chassis Platform</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Eletre is built on an all-new proprietary 800-volt EPA architecture with integrated, high-voltage power distribution system. This architecture uses aluminum and high tensile steel for optimal structural rigidity. The EPA’s battery system enables intelligent heat management operating system for maximum energy conservation. Equipped with all-wheel drive and electric motor, Eletre can deliver a top speed of 265 km per hour with a maximum of 985 Nm of torque and it can reach up to 905 hp.</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EPA adopts a highly adaptable design and inherits our light-weight philosophy. The high energy density of the battery pack provides the optimal balance between performance and driving range. There are two electric motors, one driving the front wheels and another driving the rear wheels. Its three-in-one electric drive system integrates each motor with an inverter and a transmitter, an efficient design that makes the unit smaller and lighter. Our EPA enables drivers to enjoy stability, precision, and flexibility:</w:t>
      </w:r>
    </w:p>
    <w:p>
      <w:pPr>
        <w:spacing w:after="0" w:line="185" w:lineRule="exact"/>
        <w:rPr>
          <w:sz w:val="20"/>
          <w:szCs w:val="20"/>
          <w:color w:val="auto"/>
        </w:rPr>
      </w:pPr>
    </w:p>
    <w:p>
      <w:pPr>
        <w:jc w:val="both"/>
        <w:ind w:left="1000" w:hanging="317"/>
        <w:spacing w:after="0" w:line="261"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Stability. </w:t>
      </w:r>
      <w:r>
        <w:rPr>
          <w:rFonts w:ascii="Times New Roman" w:cs="Times New Roman" w:eastAsia="Times New Roman" w:hAnsi="Times New Roman"/>
          <w:sz w:val="18"/>
          <w:szCs w:val="18"/>
          <w:color w:val="auto"/>
        </w:rPr>
        <w:t>Our EPA system is equipped with active stabilizer bar systems to dynamically adjust stabilizer bars under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driving conditions, and deliver sports car-like experience and premium agility, cornering stability and controllability. The active suspension control system adjusts the height and damping rate of the suspension system to provide an optimal balance between comfort and handling performance.</w:t>
      </w:r>
    </w:p>
    <w:p>
      <w:pPr>
        <w:spacing w:after="0" w:line="166" w:lineRule="exact"/>
        <w:rPr>
          <w:rFonts w:ascii="Times New Roman" w:cs="Times New Roman" w:eastAsia="Times New Roman" w:hAnsi="Times New Roman"/>
          <w:sz w:val="18"/>
          <w:szCs w:val="18"/>
          <w:color w:val="auto"/>
        </w:rPr>
      </w:pPr>
    </w:p>
    <w:p>
      <w:pPr>
        <w:jc w:val="both"/>
        <w:ind w:left="1000" w:right="20" w:hanging="317"/>
        <w:spacing w:after="0" w:line="26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Precision. </w:t>
      </w:r>
      <w:r>
        <w:rPr>
          <w:rFonts w:ascii="Times New Roman" w:cs="Times New Roman" w:eastAsia="Times New Roman" w:hAnsi="Times New Roman"/>
          <w:sz w:val="18"/>
          <w:szCs w:val="18"/>
          <w:color w:val="auto"/>
        </w:rPr>
        <w:t>The active kinematics control available in EPA implemented by a rear-wheel steering system will optimize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cornering control and agility at all speeds. The active kinematics control technology adjusts the turning radius at various speeds and enhances the maneuverability at low speeds and agility at high speeds.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5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Flexibility. </w:t>
      </w:r>
      <w:r>
        <w:rPr>
          <w:rFonts w:ascii="Times New Roman" w:cs="Times New Roman" w:eastAsia="Times New Roman" w:hAnsi="Times New Roman"/>
          <w:sz w:val="18"/>
          <w:szCs w:val="18"/>
          <w:color w:val="auto"/>
        </w:rPr>
        <w:t>Lotus intelligent dynamic control system (LIDC) improves the flexibility of vehicles in complex 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such as curved road conditions, therefore improving the overall stability. The one-box brake system is another highlight which increases vehicle flexibility where a de-coupled system design enables a sports car-like brake pedal feel in combination with improved energy regeneration during braking maneuvers.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Intelligent Driving</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Lotus Intelligent Driving research and development commenced as early as 2018. We are committed to building the best platform for advanced intelligent driving technologies and have strong in house research and development </w:t>
      </w:r>
      <w:r>
        <w:rPr>
          <w:rFonts w:ascii="Times New Roman" w:cs="Times New Roman" w:eastAsia="Times New Roman" w:hAnsi="Times New Roman"/>
          <w:sz w:val="18"/>
          <w:szCs w:val="18"/>
          <w:color w:val="231F20"/>
        </w:rPr>
        <w:t>capabilities</w:t>
      </w:r>
      <w:r>
        <w:rPr>
          <w:rFonts w:ascii="Times New Roman" w:cs="Times New Roman" w:eastAsia="Times New Roman" w:hAnsi="Times New Roman"/>
          <w:sz w:val="18"/>
          <w:szCs w:val="18"/>
          <w:color w:val="auto"/>
        </w:rPr>
        <w:t>, which includes cognition, decision, planning and control. We support end-to-end intelligent driving technologies with expertise in best-in-class hardware, advanced software and algorithms, and powerful cloud solutions. Our intelligent driving R&amp;D teams in Germany and China have extensive experience in homologation and deep understanding of the behaviors and preferences of local customers.</w:t>
      </w:r>
    </w:p>
    <w:p>
      <w:pPr>
        <w:spacing w:after="0" w:line="185" w:lineRule="exact"/>
        <w:rPr>
          <w:sz w:val="20"/>
          <w:szCs w:val="20"/>
          <w:color w:val="auto"/>
        </w:rPr>
      </w:pPr>
    </w:p>
    <w:p>
      <w:pPr>
        <w:jc w:val="both"/>
        <w:ind w:left="1000" w:hanging="317"/>
        <w:spacing w:after="0" w:line="250"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Intelligent driving hardware. </w:t>
      </w:r>
      <w:r>
        <w:rPr>
          <w:rFonts w:ascii="Times New Roman" w:cs="Times New Roman" w:eastAsia="Times New Roman" w:hAnsi="Times New Roman"/>
          <w:sz w:val="18"/>
          <w:szCs w:val="18"/>
          <w:color w:val="auto"/>
        </w:rPr>
        <w:t>We have invested significant resources into the development of hardware and we have L4-ready hardware embedded in our vehicles. Our deployable LiDAR technology is capable of all-around perception coverage with seven HD cameras of eight-megapixel, six long/short-range millimeter-wave radars among which the front and rear are image radars, four 128-line LiDARs, 12 ultrasonic radars, one in-car camera, and four around-view cameras. By combining radars and LiDARs with camera sensors, our BEV lifestyle models can capture the speed and other information on the road to support high-level intelligent driving functions. In addition, Eletre and Emeya are also powered and supported by dual NVIDIA DRIVE Orin chips with 500 to 1,000 TOPS computing power to process complex data and image. The L4-ready hardware on the vehicles are capable of capturing significant amounts of high-quality information, which in turn could be used to optimize our key intelligent driving algorithms, thereby helping us remain as a leader in the development of such technology. We believe this top-class driving hardware distinguishes our models from our competitors’ vehicles and enables our models to evolve with the development of intelligent driving technology throughout its life-cycle.</w:t>
      </w:r>
    </w:p>
    <w:p>
      <w:pPr>
        <w:spacing w:after="0" w:line="193"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Software capabilities. </w:t>
      </w:r>
      <w:r>
        <w:rPr>
          <w:rFonts w:ascii="Times New Roman" w:cs="Times New Roman" w:eastAsia="Times New Roman" w:hAnsi="Times New Roman"/>
          <w:sz w:val="18"/>
          <w:szCs w:val="18"/>
          <w:color w:val="auto"/>
        </w:rPr>
        <w:t>Our intelligent driving R&amp;D team has developed key intelligent driving algorithms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cognition, decision, planning, and control. Our intelligent driving-related testing and simulation tools are also being developed to test and train algorithms and build a foundation of our cloud-based services. Our advanced intelligent driving software and algorithms take into account of various scenarios, including high-way, urban, and parking. Eletre and Emeya come with L2 intelligent driving solutions such as driving assistance, parking assistance, and active safety system, upon delivery. On top of these functions, we are developing end-to-end solutions for scenarios such as high-way, urban, and parking, which some of the solutions have been integrated into our models as premium functions through OTA. Further, our intelligent driving arm, Lotus Robotics, has been designated to license several leading automakers to provide them with its intelligent driving technology, software and intelligent driving-related tools.</w:t>
      </w:r>
    </w:p>
    <w:p>
      <w:pPr>
        <w:spacing w:after="0" w:line="190"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Cloud services. </w:t>
      </w:r>
      <w:r>
        <w:rPr>
          <w:rFonts w:ascii="Times New Roman" w:cs="Times New Roman" w:eastAsia="Times New Roman" w:hAnsi="Times New Roman"/>
          <w:sz w:val="18"/>
          <w:szCs w:val="18"/>
          <w:color w:val="auto"/>
        </w:rPr>
        <w:t>We constructed a powerful cloud infrastructure to support cloud-based services to customers. Our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fully empower intelligent driving in data compliance, model training, process optimization, and improve computing power and digital operation capabilities.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integrated these hardware, software and cloud capabilities to develop a full stack of advanced intelligent driving technologies, which enable our vehicles to perceive and intelligently react to their surroundings and thereby enhancing their driving experience. By combining our powerful algorithms, HD cameras, radars and high-precision mapping capabilities, our vehicles are able to precisely perceive their surroundings in stereoscopic display. Our vehicles then dynamically react to their perceived surroundings by leveraging our customized planning and control algorithms. Taken together, our intelligent driving solution offers smooth and intelligent driving experience to drivers, even under extreme road conditions.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E-mobility Platform</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developed an electrical, instrumentation and control (EIC) system, which enhances the efficiency and performance of BEV models. With the EIC system, we are pioneering the release of 800-volt architecture and incorporating high-power motors into the e-mobility system. In addition, our supercharging design features significant charging efficiency to ensure the consistently strong performance of its e-mobility system.</w:t>
      </w:r>
    </w:p>
    <w:p>
      <w:pPr>
        <w:spacing w:after="0" w:line="185" w:lineRule="exact"/>
        <w:rPr>
          <w:sz w:val="20"/>
          <w:szCs w:val="20"/>
          <w:color w:val="auto"/>
        </w:rPr>
      </w:pPr>
    </w:p>
    <w:p>
      <w:pPr>
        <w:jc w:val="both"/>
        <w:ind w:left="1000" w:hanging="317"/>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Pioneering 800-volt architecture. </w:t>
      </w:r>
      <w:r>
        <w:rPr>
          <w:rFonts w:ascii="Times New Roman" w:cs="Times New Roman" w:eastAsia="Times New Roman" w:hAnsi="Times New Roman"/>
          <w:sz w:val="18"/>
          <w:szCs w:val="18"/>
          <w:color w:val="auto"/>
        </w:rPr>
        <w:t>We have launched an 800-volt electric platform by doubling the voltage to meet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high-power demand in BEV. This pioneering design can increase the efficiency of energy utilization and reduce the overall weight of vehicles.</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High-power motors. </w:t>
      </w:r>
      <w:r>
        <w:rPr>
          <w:rFonts w:ascii="Times New Roman" w:cs="Times New Roman" w:eastAsia="Times New Roman" w:hAnsi="Times New Roman"/>
          <w:sz w:val="18"/>
          <w:szCs w:val="18"/>
          <w:color w:val="auto"/>
        </w:rPr>
        <w:t>Eletre and Emeya come with two electric motors, one driving front wheels and another driving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rear wheels. The high-power motor driving the rear wheels is developed by us with a maximum of 450 kw hp. Those motor also incorporates an 800-volt-SiC inverter and two-speed gearboxes to realize an acceleration from zero to 100 km per hour within three seconds and to maintain strong vehicle power performance at the highest speed of 265 km per hour.</w:t>
      </w:r>
    </w:p>
    <w:p>
      <w:pPr>
        <w:spacing w:after="0" w:line="166"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Supercharging feature. </w:t>
      </w:r>
      <w:r>
        <w:rPr>
          <w:rFonts w:ascii="Times New Roman" w:cs="Times New Roman" w:eastAsia="Times New Roman" w:hAnsi="Times New Roman"/>
          <w:sz w:val="18"/>
          <w:szCs w:val="18"/>
          <w:color w:val="auto"/>
        </w:rPr>
        <w:t>Underpinned by our proprietary 800-volt architecture and high-power motors, we have developed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420 kw supercharging solution. The supercharging feature can electrify the battery level from 10% to 80% within 20 minutes and reach 120 km range with five minutes of charging time. We are improving the performance of our supercharging solutions to further reduce the charging time.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Digitalized Cabin and Connectivity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Adhering to our driver-centric design philosophy, we digitalized our cabin design and implemented connectivity features to meet the drivers’ expectations in vehicle digitalization and connectivity. By combining configuration and software systems together, we provide optimized intelligent cabin experiences in driving, entertainment, and interactions for our customers.</w:t>
      </w:r>
    </w:p>
    <w:p>
      <w:pPr>
        <w:spacing w:after="0" w:line="160" w:lineRule="exact"/>
        <w:rPr>
          <w:sz w:val="20"/>
          <w:szCs w:val="20"/>
          <w:color w:val="auto"/>
        </w:rPr>
      </w:pPr>
    </w:p>
    <w:p>
      <w:pPr>
        <w:jc w:val="both"/>
        <w:ind w:left="1000" w:hanging="317"/>
        <w:spacing w:after="0" w:line="261"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Cabin configuration. </w:t>
      </w:r>
      <w:r>
        <w:rPr>
          <w:rFonts w:ascii="Times New Roman" w:cs="Times New Roman" w:eastAsia="Times New Roman" w:hAnsi="Times New Roman"/>
          <w:sz w:val="18"/>
          <w:szCs w:val="18"/>
          <w:color w:val="auto"/>
        </w:rPr>
        <w:t>The cabin of Eletre and Emeya is equipped with the best-in-class hardware including latest chips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HUD screen technologies. We have onboarded dual Qualcomm 8155 chips to provide accelerated graphic rendering and higher data transmission speeds. Our multi-screens cabin setup provides customers convenient and immersive control over infotainment system.</w:t>
      </w:r>
    </w:p>
    <w:p>
      <w:pPr>
        <w:spacing w:after="0" w:line="166"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Cabin operation system. </w:t>
      </w:r>
      <w:r>
        <w:rPr>
          <w:rFonts w:ascii="Times New Roman" w:cs="Times New Roman" w:eastAsia="Times New Roman" w:hAnsi="Times New Roman"/>
          <w:sz w:val="18"/>
          <w:szCs w:val="18"/>
          <w:color w:val="auto"/>
        </w:rPr>
        <w:t>Apart from top hardware configuration, we also develop our own Hyper OS cabin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with the “UNREAL Engine” to support real-time rendering and optimize 3D content and experiences. The operating system enables the screens to achieve a stable 60 frames per second refresh rate on screens and smooth switches among different cabin functions.</w:t>
      </w:r>
    </w:p>
    <w:p>
      <w:pPr>
        <w:spacing w:after="0" w:line="166"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Vehicle Connectivity. </w:t>
      </w:r>
      <w:r>
        <w:rPr>
          <w:rFonts w:ascii="Times New Roman" w:cs="Times New Roman" w:eastAsia="Times New Roman" w:hAnsi="Times New Roman"/>
          <w:sz w:val="18"/>
          <w:szCs w:val="18"/>
          <w:color w:val="auto"/>
        </w:rPr>
        <w:t>The connectivity features are built for multi-vehicle connection scenarios, allowing for high-speed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of data among vehicles and with third parties. To enhance the connectivity functions within the vehicle, we onboarded 5G high-speed mobile networks for external downloads and gigabit ethernet for efficient internal connections among vehicle modules. The Bluetooth 5.2 and ultra-wideband digital keys are serving as critical supplements to vehicle connectivity functions for high-quality data transfer.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Design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lightweight vehicle design and vehicle aerodynamics are the most noteworthy engineering features of our BEV models design. We also provide engineering design consultancy services to external OEMs.</w:t>
      </w:r>
    </w:p>
    <w:p>
      <w:pPr>
        <w:spacing w:after="0" w:line="160" w:lineRule="exact"/>
        <w:rPr>
          <w:sz w:val="20"/>
          <w:szCs w:val="20"/>
          <w:color w:val="auto"/>
        </w:rPr>
      </w:pPr>
    </w:p>
    <w:p>
      <w:pPr>
        <w:jc w:val="both"/>
        <w:ind w:left="1000" w:hanging="317"/>
        <w:spacing w:after="0" w:line="255"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Aerodynamic efficiency. </w:t>
      </w:r>
      <w:r>
        <w:rPr>
          <w:rFonts w:ascii="Times New Roman" w:cs="Times New Roman" w:eastAsia="Times New Roman" w:hAnsi="Times New Roman"/>
          <w:sz w:val="18"/>
          <w:szCs w:val="18"/>
          <w:color w:val="auto"/>
        </w:rPr>
        <w:t>We have proprietary and patented technologies related to aerodynamics, including wedge-shaped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 designs, air intakes, and airfoils, and our electric vehicle portfolio inherits the aerodynamics design heritage. For example, the unique porosity design can reduce the low drag coefficient of Eletre to 0.26, making it easier to pass through the surrounding air. In addition, the active rear spoiler and active air intake grille designs enable Eletre to reach a considerable vehicle downforce for optimal stability at high speeds.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5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Lightweight vehicle design. </w:t>
      </w:r>
      <w:r>
        <w:rPr>
          <w:rFonts w:ascii="Times New Roman" w:cs="Times New Roman" w:eastAsia="Times New Roman" w:hAnsi="Times New Roman"/>
          <w:sz w:val="18"/>
          <w:szCs w:val="18"/>
          <w:color w:val="auto"/>
        </w:rPr>
        <w:t>The “lightweight” design philosophy is key to our heritage and we keep innovating in the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materials and in designing new processes to reduce vehicle’s weight. For example, we have designed 17 kinds of welding processes to realize lightweight vehicle mass production. The lightweight design enables BEV models to have faster straight-line acceleration, increased range, and extraordinary handling.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Worldwide Research and Development Footprint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a dedicated global team to support our R&amp;D activities with a sizable scale and comprehensive functionalities, covering all major technological perspectives. Our approach to innovation demonstrates an inter-connected global collaboration among highly experienced and dedicated Lotus teams in the U.K., Germany and China, each with different technological focuses. Centered around our global headquarters in Wuhan, China, which focuses on cloud computing and online data processing, we operate a software center in Shanghai focusing on global system integration and network security and a research institute in Ningbo focusing on electric architecture, charging and power system, and intelligent driving. We have established two R&amp;D centers on engineering and product design, including Lotus Technology Creative Centre (LTCC) located in the heart of the British car industry in Coventry, U.K., with a focus on automotive design and design strategy, product and brand communication and sustainable material science, and Lotus Technology Innovative Centre (LTIC) located in Frankfurt, Germany, with a focus on behavioral science, innovative vehicle technologies, dynamic attribute development, user interface and regional tuning and application.</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research and development efforts are focusing on the development of key EV technologies while benefiting from the technological support from the Geely Holding ecosystem. We intend to continually develop cutting-edge technologies, including our 800-volt EPA architecture and hardware, algorithms, and software system to enhance the competitiveness of our vehicles. We also plan to monetize our R&amp;D capabilities by licensing our IPs and software via subscriptions to other luxury auto brands.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Guided by our R&amp;D leaders, our global research and development team has extensive experience in automotive and technology industries. As of December 31, 2023, our R&amp;D team consisted of 1,802 professionals with extensive knowledge in automotive, engineering, software, AI as well as diversified working experiences from leading vehicle manufacturers globally. Such composition ensures solid technology development capabilities, especially in intelligence and digitalization. The diversified cultural and professional background promotes the exchange of ideas from different perspectives and ensures the generation of innovations.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LTCC is a world-class automotive design facility mainly responsible for the design of our performance lifestyle vehicles and future vehicle design strategy. LTCC delivers a complete range of creative disciplines that go beyond traditional automotive styling. The studio has dedicated teams working in design strategy, exterior and interior design to user and customer experience, studio engineering, color, materials, and finish. The studio takes a brand first approach to ensure these disciplines are brought together cohesively.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LTIC is a world-class engineering facility in electric mobility. As a part of our international research and development network, LTIC develops new products and solutions for a new era of premium performance driving, and participates in the development of our high-end technology, such as regional development for ADAS, EPA, new architecture, digital vehicle dynamics, vehicle hardware, and intelligent cabin.</w:t>
      </w:r>
    </w:p>
    <w:p>
      <w:pPr>
        <w:spacing w:after="0" w:line="16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LTIC adopts an agile organizational structure where its members can work in different working teams based on the focuses of various phases of the project. LTIC works in three main areas:</w:t>
      </w:r>
    </w:p>
    <w:p>
      <w:pPr>
        <w:spacing w:after="0" w:line="162" w:lineRule="exact"/>
        <w:rPr>
          <w:sz w:val="20"/>
          <w:szCs w:val="20"/>
          <w:color w:val="auto"/>
        </w:rPr>
      </w:pPr>
    </w:p>
    <w:p>
      <w:pPr>
        <w:jc w:val="both"/>
        <w:ind w:left="1000" w:hanging="317"/>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development oversees global products, including, among others, digital chassis and digital vehicle dynamics. This team has assisted with component integration, durability testing, certification and homologation, as well as EV management systems.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55"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regional development and delivery collaborates with our U.K. and China teams and is responsible for global R&amp;D platform deployment and specification development, catering to regional customer needs. This team is also responsible for the compliance of our products of legal and regulatory requirements, including, among others, analyzing local legislation, managing data center, and dealing with cybersecurity matters.</w:t>
      </w:r>
    </w:p>
    <w:p>
      <w:pPr>
        <w:spacing w:after="0" w:line="146"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innovation and new platform development is responsible for creating new concepts and new architectures for our future product pipeline. This team studies new technologies and pioneers in digital vehicle dynamics. In addition, LTIC adopts an agile organization setup approach and engineers can work in different working teams during different phases of the project.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200"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Our R&amp;D teams in China are based in Wuhan, Shanghai and Ningbo. We focus our research and development efforts in China on our core technology innovation related to the development of electric architecture, charging and power system, cloud computing, online data processing, global system integration and network security, batteries and energy management, electric motors, electronic control systems, intelligent driving, intelligent manufacturing and more.</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established Lotus Robotics in China, the arm of our in-house intelligent driving competence. Lotus Robotics has built up comprehensive and well-rounded technological capabilities. Its key capabilities include vehicle product development, functional software development, algorithm software development, sensor development, cloud and data, test and validation, computing platform, project management, and marketing and strategies.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regard our patents, trademarks, copyrights, domain names, know-how, proprietary technologies and similar intellectual property as critical to our success. Our IP portfolio consists of intellectual property rights in, among others, vehicle architecture, intelligent cabin, intelligent driving, and fast charging.</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we had 330 registered patents and 772 pending patent applications in various jurisdictions such as mainland China, the U.S., Japan, and the U.K., etc., including patents for our vehicle architecture, intelligent cabin, intelligent driving, and fast charging related technologies. We also had 304 registered trademarks, including “ELETRE” and “EMEYA,” registered copyrights to 34 software programs developed by us relating to various aspects of our operations, as well as 113 registered domain names as of December 31,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Supply Chain, and Quality Control</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view the manufacturers and suppliers we work with as key partners through our vehicle development process. We aim to leverage our partners’ industry expertise to ensure that each vehicle we produce meets our strict quality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Collaboration with Geely Holding</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established a strategic collaborative relationship with our major shareholder, Geely Holding, and our asset-light business model is supported by the Geely Holding ecosystem partners. We expect our relationship with Geely Holding to allow us to bring our vehicles to the market at an accelerated pace by leveraging Geely Holding’s manufacturing capacity, bargaining power in procurement and supply chain, capital investment, and operational support.</w:t>
      </w:r>
    </w:p>
    <w:p>
      <w:pPr>
        <w:spacing w:after="0" w:line="13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entered into a manufacturing arrangement with Geely Holding, for the manufacture of our vehicles for 10 years starting from 2022. Pursuant to the manufacturing agreement, we commissioned Geely Holding for vehicle production and we agreed to authorize Geely Holding to access our technologies for the production of such models. We are mainly responsible for the design and development of the models, designation of suppliers, product announcement, and ensuring consistency with global standards of the Lotus brand. We also provide Geely Holding with the intellectual properties necessary for the vehicle production. Geely Holding is mainly responsible for the ordering and inspection of raw materials, production planning, production quality control, logistics and transportation of manufactured vehicles, and construction and operation of the manufacturing plant. Particularly, quality control is carried out in accordance with our quality assurance framework and approved by Geely Holding. In addition, Geely Holding is responsible for obtaining certificates for the manufactured vehicles.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Plant</w:t>
      </w:r>
    </w:p>
    <w:p>
      <w:pPr>
        <w:spacing w:after="0" w:line="2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work with a BEV manufacturing facility in Wuhan, China, which is owned and operated by Geely Holding. This manufacturing plant is purpose-built for EVs with advanced manufacturing technologies. Covering an area of over one million square meters, the plant has the capacity to produce up to 150,000 vehicles per year. The plant has been constructed to be a brand-new, world-class plant to produce electric vehicles. The plant has the capability of conducting stamping, welding, painting, and assembly, and is equipped with testing tracks, a quality inspection center and a utility power and sewage treatment center. It features an advanced system whereby vehicles can be transported into workshops using intelligent driving technology without any human intervention. The plant is also facilitated with an approximately three km-length track for quality inspection. Customers can experience driving experience such as racing, drifting and off-road on the track. It has nine left turns and seven right turns and can accommodate vehicles driving at speeds up to 230 km per hour through straight line.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Suppliers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seek to partner with reputable suppliers. We leverage the Geely Holding ecosystem for the order of basic auto parts. </w:t>
      </w:r>
      <w:r>
        <w:rPr>
          <w:rFonts w:ascii="Times New Roman" w:cs="Times New Roman" w:eastAsia="Times New Roman" w:hAnsi="Times New Roman"/>
          <w:sz w:val="18"/>
          <w:szCs w:val="18"/>
          <w:color w:val="231F20"/>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intend to use most of the same core suppliers for our vehicles.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developed close relationships with key suppliers. These include NVIDIA, a global leader in AI computing, which provides its chips for the ADAS used in our vehicles; Qualcomm, a world’s leading developer of semiconductor technologies, which provides 8155 smart cockpit chips; and CATL, a world’s leading manufacturer of lithium-ion battery, which provides batteries for our BEVs. Most of these suppliers are key partners in the Geely Holding ecosystem with years of strong partnership with Geely Holding.</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follow our internal process to select suppliers taking into account quality, cost, and timing. We have a part quality management team which is responsible for managing and ensuring that suppliers meet quality standards. Our method for selecting suppliers depends on the nature of the supplies needed. For general parts which are widely available, we examine proposals from multiple suppliers and choose based on quality and price competitiveness, among other factors. For parts requiring special designs, we review design proposals and choose largely based on design-related factors. However, in certain cases we have limited choices given our scale, such as battery cell packages, so in such circumstances we typically partner with suppliers that we believe to be well-positioned to meet our needs. In addition, when part suppliers are selected, we have established certain environmental guidelines in accordance with our ESG strategies and goals.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Quality Assurance</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aim to deliver high-quality products and services to our customers in line with our core values and commitments. We believe that quality assurance is key to ensuring the delivery of high-quality products and services, and to minimize waste and to maximize efficiency. Quality management has been strongly emphasized across all business functions including product development, manufacturing, supplier quality management, procurement, charging solutions, customer experience, servicing, and logistics. Our quality management groups are responsible for our overall quality strategy, quality systems and processes, quality culture, and general quality management implementation. During the product development, several phases of testing have been implemented to verify our design and production quality. Our quality standards are guided by industry standards, including ISO9001, R155 CSMS, R156 SUMS, Aspice L2, ISO26262 and ISO/SAE 21434.</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first volume-manufactured vehicle, Eletre, is manufactured at a new plant which is operated by Geely Holding with quality standards. All lines including stamping, welding, painting, and general assembly are developed in accordance with industry standards with a higher degree of automation. We apply more than 4,000 standards across all phases of product development and supplier quality management. Through the plant automated system, the manufacturing process parameters and parts information are monitored for process control and traceability.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Environmental, Social and Governance Charter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Guided by the same principle of the Lotus brand and in collaboration with Lotus UK, our new Environmental, Social and Governance (ESG) Charter formalizes the activities that we have been carrying out. As we transform rapidly to become a global pioneer of electric performance vehicles, we recognize our responsibility to do so in ways that lead our industry in minimizing its impact on the environment, benefitting society and the planet as a whole.</w:t>
      </w:r>
    </w:p>
    <w:p>
      <w:pPr>
        <w:spacing w:after="0" w:line="183" w:lineRule="exact"/>
        <w:rPr>
          <w:sz w:val="20"/>
          <w:szCs w:val="20"/>
          <w:color w:val="auto"/>
        </w:rPr>
      </w:pPr>
    </w:p>
    <w:p>
      <w:pPr>
        <w:jc w:val="both"/>
        <w:ind w:left="1000" w:hanging="317"/>
        <w:spacing w:after="0" w:line="268"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All electric</w:t>
      </w:r>
      <w:r>
        <w:rPr>
          <w:rFonts w:ascii="Times New Roman" w:cs="Times New Roman" w:eastAsia="Times New Roman" w:hAnsi="Times New Roman"/>
          <w:sz w:val="18"/>
          <w:szCs w:val="18"/>
          <w:color w:val="auto"/>
        </w:rPr>
        <w:t>. The first of our core ESG commitments is that, throughout the Lotus product line, all future new mainstream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vehicles from us and from Lotus UK will be fully electric. Eletre, the latest of our new generation of vehicles, marks our transition to a full line-up of electric vehicles.</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0"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Carbon-neutral sustainable development</w:t>
      </w:r>
      <w:r>
        <w:rPr>
          <w:rFonts w:ascii="Times New Roman" w:cs="Times New Roman" w:eastAsia="Times New Roman" w:hAnsi="Times New Roman"/>
          <w:sz w:val="18"/>
          <w:szCs w:val="18"/>
          <w:color w:val="auto"/>
        </w:rPr>
        <w:t>. We plan to achieve our goal to become a carbon-neutral company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sustainability in the design of products. Manufacturing sustainability is of high importance to us. Minimizing environmental impacts is one of the most important targets of the manufacturing plant from the very beginning. We have worked with Geely Holding to carry out a series of energy-saving and emission reduction measures at Geely Holding’s manufacturing plant, including adopting the design of dry box spray room, the establishment of photovoltaic power generation, waste gas incineration, rainwater collection, water reuse, waste heat utilization, and other green facilities. The photovoltaic power generation system at Geely Holding’s manufacturing plant has a capacity of over 16 million kWh. We also target to achieve carbon neutrality (Scope 1, 2 and 3) by 2038. Scope 1 and 2 refer to emissions that are owned or controlled by us whereas Scope 3 emissions are those occur from sources not owned or controlled by us but as a consequence of our activities. The driving change commitment includes significant reduction in carbon emissions throughout the business, substantial elimination of waste, driving efficient and sustainable use of resources in both operations and supply chains, and protecting and preserving natural environments. Geely Holding’s manufacturing plant adopted a water reuse system that replenishes the water volume of Lotus Lake by recycling roof rainwater. The lake water will be treated and used for greening, flushing, and landscaping.</w:t>
      </w:r>
    </w:p>
    <w:p>
      <w:pPr>
        <w:spacing w:after="0" w:line="194"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Inspiring the next generation</w:t>
      </w:r>
      <w:r>
        <w:rPr>
          <w:rFonts w:ascii="Times New Roman" w:cs="Times New Roman" w:eastAsia="Times New Roman" w:hAnsi="Times New Roman"/>
          <w:sz w:val="18"/>
          <w:szCs w:val="18"/>
          <w:color w:val="auto"/>
        </w:rPr>
        <w:t>. To help engage the next generation of Lotus colleagues, we leverage Lotus’s unique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appeal and stimulate the ambitions of next generation, especially in the creative science, technology, engineering, art, and mathematics subjects. We help carry out educational outreach programs and work with our communities outside the core business to provide support and stability within its environments. We also adopt and align our strategy to external frameworks including the UN Global Compact, including commitments to transparent, responsible, and ethical business management.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released our first annual ESG Report on October 25, 2023, which documented our ESG strategy and highlighted our 2022 ESG achievements as part of Lotus’s advancement into a fully electric, intelligent, and sustainable luxury mobility provider under the brand’s Vision80 strategy. Our strategy focuses on six key fields: Nature Positive, Climate Neutrality, Sustainable Supply Chain, Inclusion and Equality, Community Commitment, and Transparent Governance. We joined the United Nations Global Compact (UNGC) in May 2023, and has set targets aligned with the United Nations Sustainable Development Goals (SDGs) for each field, embedding actionable frameworks into its operations to achieve the global goals.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Branding and Marketing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building up on our iconic sportscar reputation, together with the ambition to invest in a lifestyle business, we have established a strong commercial organizational competence. Our marketing activities include branding, global marketing campaigns, public relations, digital marketing, creative product marketing, communications, social media, and other marketing programs. We aim to create demand and expand our customer base globally.</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plan to build a network of around 300 retail stores globally by the end of 2025. We believe that one of the most effective forms of marketing is to continually improve our customers’ experience. Our omni-channel sales model is customer-oriented, where our customers can both access our online platform to customize their vehicles, make payments, and order for aftersales services, and come visit us in person, consult our sales team, and reserve for test-driving sessions.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marketing department is responsible for building our brand and corporate image, promoting products, facilitating best-in-class customer experience, and providing information regarding our products, strategies, and technology through our omni-channel sales model. In December 2022, we hosted the Eletre Hyper Track test drive event at the Shanghai International Circuit where Lotus Eletre R+ (an enhanced version of Eletre R in China) made its first media test drive on a Formula One track. In September 2023, we debuted Emeya, our first electric hyper-GT, in New York. We continue to build consumer community and enhance brand awareness globally. On March 29, 2023 and 2024, we hosted Lotus Day events on race track to engage customers with inspiration of driving passion and racing culture in conjunction with delivery ceremony of Eletre and Emeya.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and Privacy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prioritize the trust of our customers and employees and place great emphasis on systems and product security, cybersecurity, and privacy. To protect our systems, products, and data, we apply a variety of technical and organizational security policies, procedures, technical controls and protocols. We have a dedicated team of professionals that focus on application, network, system and product security based upon a clearly defined organizational operating model. We have obtained the ISO/IEC 27001 certifications (GB/T 22080-2016), and R155/R156 certifications. We have also commenced a corporate-wide data privacy policies and controls with dedicated cross-functional resources.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implement enterprise vulnerability management processes that include periodic scans designed to identify security vulnerabilities and implement a remediation. In addition, we conduct internal and external penetration tests, receive threat intelligence, follow incident response procedures, and remediate vulnerabilities according to severity and risk. Further, seeking to implement effective management, control, and protection, we have established a centralized, organization-wide view of information assets.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instituted cybersecurity risk monitor policies to detect threats and cybersecurity risks of our enterprise information assets and products, we have implemented cybersecurity monitoring capabilities that collect and analyze telemetries from a wide range of sources and takes proactive actions to ensure the security risk visualization of our systems and products.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cloud security policies seek to enable secure cloud architecture deployments and extend security capabilities. Utilizing signed certificates, encryption keys, message authentication codes, and cryptography algorithms, we adopt authentication and encryption to secure our products, software, vehicles and their components, and OTA updates. Additionally, we utilize pre-condition checks, sequence and dependency execution, and failure recovery when performing updates during the OTA process.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vehicle development involves a significant degree of automation and technology. With that level of complexity and interconnectivity in mind, we are building cybersecurity by TARA process into our vehicle development process itself, with the intent of enabling the business to remain resilient to any potential attacks at our vehicle development.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objective of our privacy policies is to facilitate beneficial uses of data to improve our products and services while preserving our customers’ privacy expectations and complying with applicable law. Global privacy laws and practices will guide the operational design, controls, procedures, and policies for our program. Our strategy accounts for increased risk as our business scales by addressing appropriate security and access controls for customer and employee information. A core tenet of our privacy measures is to implement privacy-by-design principles in both software and hardware development throughout our organization. Our privacy measures will continue to evolve and adapt, utilizing best practices and tailored risk management frameworks, to allow for close collaboration across the organization, particularly between our information technology and legal functions, which is critical for effective privacy measures.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also work to increase cybersecurity and privacy awareness throughout the organization through education and training. Our cloud security policies seek to enable secure cloud architecture deployments and extend security capabilities. Utilizing signed certificates, encryption keys, message authentication codes, and cryptography algorithms, we have deployed authentication and encryption as part of our efforts to secure our products, software, vehicles and their components, and OTA updates. Additionally, we utilize pre-condition checks, sequence and dependency execution, failure detection, and rollback and recovery when performing updates during the OTA process.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face competition from both traditional luxury automotive developers and an increasing number of newer companies focused on electric and other alternative fuel vehicles.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primary competitive factors on which we compete with our peers include, but are not limited to:</w:t>
      </w:r>
    </w:p>
    <w:p>
      <w:pPr>
        <w:spacing w:after="0" w:line="225" w:lineRule="exact"/>
        <w:rPr>
          <w:sz w:val="20"/>
          <w:szCs w:val="20"/>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prestige, and heritage;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styling, and luxury;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driver experience;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performance;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reliability and safety;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 range, efficiency, and charging speeds;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customer experience, such as access to charging options and availability and terms of aftersales services;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team experience at bringing electric vehicles and other disruptive technologies to market;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efficiency;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impact and perception;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sophistication of related vehicle software.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believe that we are favorably positioned to compete on the basis of these factors. However, many of our current and potential competitors have substantially greater financial, technical, manufacturing, marketing, and other resources than us. Our competitors may be able to deploy greater resources to the design, development, manufacturing, distribution, promotion, sales, marketing, and support of their products. Additionally, many of our competitors also have greater name recognition, longer operating histories, larger sales forces, broader customer and industry relationships, and other tangible and intangible resources that exceed ours. These competitors also compete with us in recruiting and retaining qualified research and development, sales, marketing, and management personnel, as well as in acquiring technologies complementary to, or necessary for, our products. Additional mergers and acquisitions in the electric vehicle and luxury automotive markets may result in even more resources being concentrated in our competitors.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our brand and history, our focus on design and experience, our advanced technologies, our relationship with Geely Holding and therefore the benefits we can obtain during the vehicle development phase, and our future-proof approach give us a competitive edge and allow us to formulate a highly differentiated go-to-market strategy. We also have a scalable asset-light business model that we believe generates significant competitive advantages, allowing us to incur less upfront capital expenditure and focus on R&amp;D and technologies.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various insurance policies to safeguard ourselves against risks and unexpected events. We maintain property insurance, public liability insurance, commercial general liability insurance, employer’s liability insurance, driver’s liability insurance, and inland transit insurance. In addition to providing social security insurance for our employees as required by applicable laws, we also provide supplemental commercial medical insurance for our employees. We do not maintain business interruption insurance or key-man insurance. We believe that our insurance coverage is adequate to cover our key assets, facilities, and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 Government Regulations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section sets forth a summary of the most significant rules and regulations that affect our business activities in China.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Investment in China</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Guidance Catalog of Industries for Foreign Investment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Investments in China by foreign investors and foreign-invested enterprises are regulated by (i) the Special Management Measures (Negative List) for the Access of Foreign Investment (2021 Version), or the 2021 Negative List, which was jointly promulgated by the Ministry of Commerce and NDRC on December 27, 2021 and effective on January 1, 2022, and (ii) the Catalog of Industries for Encouraged Foreign Investment (2022 Version), or the 2022 Encouraged Catalog, which was jointly promulgated by the Ministry of Commerce and NDRC on October 26, 2022 and effective on January 1, 2023. The 2022 Encouraged Catalog and the 2021 Negative List set out the industries and economic activities in which foreign investment in China is encouraged, restricted, or prohibited. Pursuant to the 2022 Encouraged Catalog, the research and development and manufacture of automobiles, the research and development and manufacture of key parts and components of intelligent vehicles, and the research and development and manufacture of key parts and components of intelligent vehicles of new energy vehicles fall within the encouraged category. However, the 2021 Negative List provides that foreign investors shall hold no more than 50% of the equity interest in a service provider operating certain value-added telecommunications services (other than for e-commerce, domestic multi-parties communications, storage and forwarding categories, call centers).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Investment Law</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15, 2019, the PRC National People’s Congress promulgated the Foreign Investment Law, or the 2019 PRC Foreign Investment Law, which came into effect on January 1, 2020. The 2019 Foreign Investment Law embodies an expected regulatory trend in mainland China to rationalize its foreign investment regulatory regime in line with prevailing international practice and the legislative efforts to unify the corporate legal requirements for both foreign and domestic-invested enterprises in China. The 2019 Foreign Investment Law establishes the basic framework for the access to, and the promotion, protection, and administration of foreign investments in view of investment protection and fair competition. Furthermore, the 2019 PRC Foreign Investment Law stipulates that foreign-invested enterprises established according to the previously existing laws regulating foreign investment may maintain their structure and corporate governance within five years after the implementation of the 2019 PRC Foreign Investment Law.</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2019 Foreign Investment Law stipulates that foreign-invested enterprises operating in “restricted” or “prohibited” industries in the Negative List will be required to obtain market-entry clearance and other approvals from PRC government authorities.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26, 2019, the State Council approved the Implementation Regulations of Foreign Investment Law, which took effect on January 1, 2020, and further requires equal treatment of PRC domestic companies and foreign-invested enterprises in terms of policy making and implementation. On December 26, 2019, the PRC Supreme People’s Court issued an Interpretation on the Application of Foreign Investment Law, which took effect on January 1, 2020. This interpretation applies to all contractual disputes arising from the acquisition of the rights and interests by a foreign investor by way of gift, division of property, merger of enterprises, or division of enterprises.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Manufacturing Passenger Vehicles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Provisions on Administration of Investment in Automotive Industry, which was promulgated by NDRC and effective on January 10, 2019, enterprises are encouraged to, through equity investment and production capacity cooperation, facilitate mergers and restructuring, enter into strategic alliances, carry out joint research and development of products, organize joint manufacturing, and increase industrial integration. The leading resources in production, education, research, application, and other areas are encouraged to be integrated, and core enterprises in the automotive industry are encouraged to form industrial alliance and industrial consortium.</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Administrative Rules on the Admission of New Energy Vehicle Manufacturers and Products, last amended on July 24, 2020 and effective from September 1, 2020, to be included in the Vehicle Manufacturers and Products Announcement, our vehicles must satisfy certain conditions, including, among others, meeting certain standards set out therein, meeting other safety and technical requirements specified by the Ministry of Industry and Information Technology, and passing inspections conducted by a state-recognized inspection institution. After these conditions are met and the application has been approved by the Ministry of Industry and Information Technology, the qualified vehicles will be included in the Vehicle Manufacturers and Products Announcement by the Ministry of Industry and Information Technology. If a passenger vehicle manufacturer manufactures or sells any model of a passenger vehicle without prior approval of the competent authorities, including the inclusion in the Vehicle Manufacturers and Products Announcement by the Ministry of Industry and Information Technology, it may be subject to penalties, including fines, forfeiture of any illegally manufactured and sold vehicles and spare parts, and revocation of its business licenses.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Compulsory Product Certification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Regulations on Certification and Accreditation last amended on July 20, 2023, certification and accreditation activities in mainland China shall comply with these regulations. Under the Administrative Regulations on Compulsory Product Certification, which took effect on November 1, 2022, the List of the First Batch of Products Subject to Compulsory Product Certification, which took effect on December 3, 2001, and the Compulsory Product Certification Catalogue Description and Definition Form, which was last amended on August 10, 2023, the State Administration for Market Regulation is responsible for the regulation and quality certification, and vehicle wireless terminal and vehicle wireless module cannot be delivered, sold, imported, or used in operating activities until certified by designated PRC certification authorities as qualified products and granted certification marks, otherwise the violator shall be ordered to make correction and be imposed with a fine ranging from RMB50,000 to RMB200,000 and the illegal income shall be confiscated.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Intelligent Connected Vehicles and Autonomous Driving</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March 24, 2021, the Ministry of Public Security issued the Draft Proposed Amendments of the Road Traffic Safety Law (Proposed Amendments). The Proposed Amendments clarify the requirements related to road testing of, and access by, vehicles equipped with autonomous driving functions, as well as regulating how liability for traffic violations and accidents will be allocated. The Proposed Amendments stipulate that vehicles equipped with autonomous driving functions should first pass tests in closed roads and venues and obtain temporary license plates before embarking on road testing. Further, such road testing should be conducted at designated times, areas and routes in accordance with the law. After passing the road test, vehicles equipped with autonomous driving functions can be manufactured, imported and sold in accordance with the laws and regulations, and those needing access to the road must apply for motor vehicle number plates. The Proposed Amendments provide that when vehicles equipped with autonomous driving functions and human driving modes are involved in road traffic violations or accidents, the responsibility of the driver or the autonomous driving system developer shall be determined in accordance with laws, as well as the liability for damage. For vehicles on the road that are equipped with autonomous driving functions without human driving modes, this liability issue should be separately dealt with by competent departments of the State Council. As of the date of this annual report, the aforementioned provision has not been officially promulgated or implemented.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8"/>
          <w:szCs w:val="18"/>
          <w:color w:val="auto"/>
        </w:rPr>
        <w:t>On July 27, 2021, the Ministry of Industry and Information Technology, the Ministry of Public Security and the Ministry of Transport, jointly issued the Good Practices for the Administration of Road Test and Demonstration Application of Intelligent Connected Vehicles (for Trial Implementation), or Circular 97, which became effective on September 1, 2021, and is the primary regulation governing road tests and demonstrations of intelligent connected vehicles in China. Pursuant to Circular 97, any entity intending to conduct a road testing of autonomous driving vehicles must obtain a road-testing certificate and a temporary license plate for each tested vehicle. To qualify for above testing certificate and temporary license plate, an applicant entity must satisfy, among others, the following requirements: (1) it must be an independent legal person registered in PRC with the capacity to conduct intelligent connected vehicles-related businesses such as manufacturing, technological research and testing of vehicles and vehicle parts, which has established protocol to test and assess the performance of autonomous driving system and is capable of conducting real-time remote monitor of the road tested vehicles, and with the ability of event recording, analysis and reproduction of the vehicles under road testing and ensuring the network security of the vehicles under road testing and the remote monitor platforms; (2) the vehicle under road testing must be equipped with a driving system that can switch between autonomous pilot mode and human operating mode in a safe, quick and simple manner and allows human driver to take control of the vehicle any time immediately when necessary; (3) the tested vehicle must be equipped with the functions of recording, storing and real-time monitoring the condition of the vehicle and is able to transmit real-time data of the vehicle, such as the driving mode, location and speed; (4) the applicant entity must sign an employment contract or a labor service contract with the driver of the tested vehicle, who must be a licensed driver with more than three years’ driving experience and a track record of safe driving and is familiar with the testing protocol for autonomous driving system and proficient in operating the system;</w:t>
      </w:r>
    </w:p>
    <w:p>
      <w:pPr>
        <w:spacing w:after="0" w:line="14" w:lineRule="exact"/>
        <w:rPr>
          <w:sz w:val="20"/>
          <w:szCs w:val="20"/>
          <w:color w:val="auto"/>
        </w:rPr>
      </w:pPr>
    </w:p>
    <w:p>
      <w:pPr>
        <w:jc w:val="both"/>
        <w:ind w:firstLine="8"/>
        <w:spacing w:after="0" w:line="249" w:lineRule="auto"/>
        <w:tabs>
          <w:tab w:leader="none" w:pos="2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entity must insure each tested vehicle for at least RMB5 million against car accidents or provide a letter of guarantee covering the same. In addition, during testing, the testing entity should post a noticeable identification logo for autonomous driving test on each tested car and should not use autonomous driving mode unless in the permitted testing areas specified in the road-testing certificate. If the testing entity intends to conduct road testing in the region beyond the administrative territory of the certificate issuing authority, it must apply for a separate road-testing certificate and a separate temporary license plate from the authority supervising the road-testing of autonomous cars in that region. In addition, the testing entity is required to submit to the road-testing certificate issuing authority a periodical testing report every six months and a final testing report within one month after completion of the road testing. In the case of a car accident causing severe injury or death of personnel or vehicle damage, the testing entity must report the accident to the road-testing certificate issuing authority within 24 hours and submit a comprehensive analysis report in writing covering cause analysis, final liability allocation results, etc. within five working days after the traffic enforcement agency determines the liability for the accident.</w:t>
      </w:r>
    </w:p>
    <w:p>
      <w:pPr>
        <w:spacing w:after="0" w:line="19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Under the Opinions of the Ministry of Industry and Information Technology on Strengthening the Administration of Intelligent Connected Vehicle Manufacturers and Access of Products, which was issued by the Ministry of Industry and Information Technology and implemented on July 30, 2021, the primary opinion that enterprises producing auto products with autonomous driving function shall ensure that the auto products at least satisfy the following requirements: (i) it is capable of automatically identify the failure of the autonomous driving system and whether the designed operating conditions are continuously met, and take risk mitigation measures to achieve the minimum risk level; (ii) it is equipped with human-machine interaction function displaying the operating condition of the autonomous driving system; (iii) it has an event data recording system and autonomous driving data recording system to discharge applicable functions, performance and safety requirements for accident reconstruction, liability determination and cause analysis, etc.;</w:t>
      </w:r>
    </w:p>
    <w:p>
      <w:pPr>
        <w:spacing w:after="0" w:line="1" w:lineRule="exact"/>
        <w:rPr>
          <w:sz w:val="20"/>
          <w:szCs w:val="20"/>
          <w:color w:val="auto"/>
        </w:rPr>
      </w:pPr>
    </w:p>
    <w:p>
      <w:pPr>
        <w:jc w:val="both"/>
        <w:ind w:firstLine="8"/>
        <w:spacing w:after="0" w:line="247" w:lineRule="auto"/>
        <w:tabs>
          <w:tab w:leader="none" w:pos="30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must satisfy the safety requirements to ensure functional safety, expected functional safety, network safety and other process safety, as well as testing requirements such as simulation nature, closed area, actual road, network safety, software upgrade, data recording, to avoid foreseeable and preventable accidents under the designed operating conditions of the tested vehicles.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Notice of the Ministry of Industry and Information Technology on Strengthening Network Safety and Data Safety Work of Vehicle Connectivity issued by the Ministry of Industry and Information Technology and implemented on September 15, 2021, enterprises engaged in vehicle connectivity shall strengthen the prevention and protection of intelligent connected vehicles safety, vehicle connectivity’s network safety, vehicle connectivity’s service platform safety and data safety, and improve the safety standard system, for network safety and data safety.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According to the Notice on Promoting the Development of Intelligent Connected Vehicles and Maintaining the Security of Surveying and Mapping Geographic Information issued by the Ministry of Natural Resources on August 25, 2022, if an intelligent connected vehicle is equipped with or integrated with certain sensors, the collection, storage, transmission and processing of surveying and mapping geographic information and data, including spatial coordinates, images, point clouds and their attribute information, of vehicles and surrounding road facilities in the process of road test, will be considered surveying and mapping activities. Persons who collect, store, transmit and process such surveying and mapping geographic information and data, will be the main actors of surveying and mapping activities. Additionally, if any vehicle manufacturer, service provider or smart driving software provider that is a foreign-invested enterprise needs to engage in the collection, storage, transmission and processing of surveying and mapping geographic information and data, it shall entrust an agency with surveying and mapping qualification to carry out the intended activities, and the entrusted agency shall undertake the collection, storage, transmission and processing of spatial coordinates, images, point clouds and their attribute information and other businesses, and provide geographic information service and support.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Automobile Sales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the Administrative Measures on Automobile Sales promulgated by the Ministry of Commerce on April 5, 2017 and effective on July 1, 2017, automobile suppliers and dealers, after receiving a business license, are required to file the basic information through the information management system for the national automobile circulation operated by the competent commerce department of the State Council within 90 days; and such automobile suppliers and dealers must update any change to their filed information within 30 days upon such change in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the Recall of Defective Automobiles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According to the Administrative Provisions on Defective Automotive Product Recalls, amended on March 2, 2019, the product quality supervision department of the State Council is in charge of the supervision and administration of recalls of defective automobile products nationwide. If an automobile producer is informed of any possible defect in its automobile products, it shall immediately organize an investigation and analysis and truthfully report the results of the investigation and analysis to the product quality supervision department of the State Council. If an automobile producer confirms the existence of a defect in its automobile products, it shall immediately cease the production, sale or import of the defective automobile products and recall all such defective products, and at the same time, it shall formulate a recall plan and file it with the product quality supervision and management department of the State Council. Any recall plan previously filed shall be filed again if there is any change to it. If the producer fails to implement the recall, the product quality supervision department of the State Council shall order the recall. If any automobile producer conceals a defect, refuses to recall by order or fails to stop producing or selling or importing the defective automobile products, it will be ordered to make a correction and subject to fines. Any illegal income will be confiscated, and in severe cases, the permit will be revoked by the licensing authority.</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Implementation Rules on the Administrative Provisions on Defective Automotive Product Recalls amended on October 23, 2020, the State Administration for Market Regulation is responsible for the supervision and administration of recalls of defective automobile products nationwide. To implement a recall, the producer shall formulate a recall plan and file it with the State Administration for Market Regulation and notify its operators in an effective manner. If a producer modifies a recall plan that is previously filed, it shall file it again with the State Administration for Market Regulation and submit explanatory materials. The producer shall release the information of the defective automobile products and the information related to the implementation of a recall in ways that are convenient for the public to receive such information, such as through newspapers, websites, radio and television, and inform owners of the automobile products of such defects, emergency treatment to avoid damage and the producer’s measures to eliminate the defects.</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Circular on Further Improving the Regulation of Recall of Automobile with OTA Technology promulgated by the State Administration for Market Regulation on November 23, 2020 and effective on the same date, automobile producers that provide technical services through OTA, in respect of the vehicles sold, are required to complete filing with the State Administration for Market Regulation. If a producer adopts the OTA method to eliminate defects in automobile products and implements a recall, it shall formulate a recall plan and file it with the State Administration for Market Regulation. If the OTA method fails to effectively eliminate defects or cause new defects, the producer shall take recall measures again.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According to the Notice on the Filing of Online Upgrade of Automotive Software promulgated and implemented by the Ministry of Industry and Information Technology Equipment Industry Development Center on April 15, 2022, filing shall be made for a vehicle manufacturer that has obtained the manufacturing permission license for road vehicles, the vehicle products with OTA upgrade function produced by it and the OTA upgrade activities conducted, with tiered filing based on the impact assessment of specific upgrading activities. In particular, it can be divided into three categories: (i) for upgrading activities not involving changes in product safety, environmental protection, energy saving, anti-theft and other technical performance, enterprises may directly conduct such upgrading activities after filing; (ii) for upgrading activities involving changes in product safety, environmental protection, energy saving, anti-theft and other technical performance, enterprises shall submit verification materials to ensure that the products comply with national laws and regulations, technical standards and specifications as well as other requirements. Among them, for upgrading activities involving the change of technical parameters in the Notice, enterprises shall apply for product change or extension with the Ministry of Industry and Information Technology in accordance with the management requirements of the Notice before filing such upgrading activities, with such upgrade subject to the completion of product admission under the Notice according to the process, so as to ensure the consistency of vehicle product production; (iii) for upgrading activities involving vehicle autonomous driving functions (level 3 and above of driving automation classification), they should be approved by the Ministry of Industry and Information Technology.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Guiding Opinions on Further Strengthening the Construction of Safety System for New Energy Vehicle Enterprises issued by the General Office of the Ministry of Industry and Information Technology, the General Office of the Ministry of Public Security, the General Office of the Ministry of Transport, the General Office of the Ministry of Emergency Management and the State Administration for Market Regulation on March 29, 2022, it proposed to comprehensively enhance the safety capabilities of enterprises in safety management mechanism, product quality, operation monitoring, after-sales service, accident response and handling, as well as network security, improve the safety of new energy vehicles, and promote the high-quality development of the new energy vehicle industry.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Import and Export of Goods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PRC Foreign Trade Law promulgated on May 12, 1994 and last amended on December 30, 2022, foreign trade operators shall submit documents and material related to its foreign trade activities to the authorities in accordance with the provisions promulgated by the foreign trade authorities of the State Council or other State Council departments in accordance with the law.</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PRC Customs Law last amended on April 29, 2021, where a consignee or consignor of import or export goods goes through customs declaration procedures, it shall file for record with the customs, and in the event customs declaration business is engaged in without being filed with the customs, the customs shall impose a fine against the entity concerned. Under the Administrative Provisions of the Customs on Record-filing of Customs Declaration Entities, which took effect on January 1, 2022, customs declaration entities include consignees or consignors of import or export goods that have filed for record with customs in accordance with these provisions, and consignors or consignees of import or export goods that apply for record-filing shall have obtained market entity qualifications. Record-filing of customs declaration entities shall be valid permanently.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Product Liability and Consumer Protection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28, 2020, the National People’s Congress approved the PRC Civil Code, which took effect on January 1, 2021. According to the Civil Code, if defective products are identified after they have been put into circulation, their manufacturers or sellers must timely take remedial measures such as warning announcement and product recall. If damage arises from a defective product, the aggrieved party may seek compensation from either the manufacturer or the seller of the product. If the defect is caused by the seller, the manufacturer will be entitled to seek indemnification from the seller upon compensation of the aggrieved party. If the products are manufactured or sold with known defects causing deaths or severe health issues, punitive damages may be claimed in addition to compensatory damages.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PRC Product Quality Law last amended on December 29, 2018, a manufacturer is prohibited from making or selling products that do not meet applicable standards and requirements for safeguarding human health and ensuring human and property safety. Products must be free from unreasonable dangers threatening human and property safety. Where a defective product causes physical injury to a person or property damage, the aggrieved party may claim compensation against the manufacturer or the seller of the product. Manufacturers and sellers of non-compliant products may be ordered to cease the manufacture or sale of the products and could be subject to confiscation of the products or fines. Income from sales in contravention of such standards or requirements may also be confiscated, and in severe cases, the business license may be revoked.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is subject to a variety of consumer protection laws, including the PRC Consumer Rights and Interests Protection Law, which was amended in 2013 and took effect on March 15, 2014. This law imposes stringent requirements and obligations on business operators. For example, business operators should guarantee that the products and services they provide satisfy the requirements for personal or property safety, and provide consumers with authentic information about the quality, function, usage, and term of validity of the products or services. Failure to comply with these consumer protection laws could subject us to administrative sanctions, such as the issuance of a warning, confiscation of illegal income, imposition of fines, an order to cease business operations, or revocation of business licenses, as well as potential civil or criminal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Battery Recycling for Electric Vehicles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Interim Measures for the Administration of Recycling Traction Batteries of New Energy Vehicles, which was promulgated by the Ministry of Industry and Information Technology in conjunction with the Ministry of Science and Technology, the Ministry of Environmental Protection (later known as Ministry of Ecology and Environment), the Ministry of Transport, the Ministry of Commerce, the General Administration of Quality Supervision, Inspection and Quarantine, and the PRC National Energy Administration on January 26, 2018 and effective on August 1, 2018, implements the system of extended responsibility of producers, according to which the main responsibility for traction battery recycling is borne by automobile manufacturers, and enterprises shall fulfil their corresponding responsibilities in all aspects of traction battery recycling and utilization to ensure the effective use and environmentally-friendly disposal of traction batteries.</w:t>
      </w:r>
    </w:p>
    <w:p>
      <w:pPr>
        <w:spacing w:after="0" w:line="17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According to the Interim Provisions on Traceability Management of Traction Battery Recycling for New Energy Vehicles, which was effective from August 1, 2018, the “Integrated Management Platform for National Monitoring of New Energy Vehicles and Traceability of Traction Battery Recycling and Utilization” shall be established to collect information on the whole lifecycle of traction battery production, sales, use, disposal, recycling and utilization, and to monitor the fulfilment of the responsibility of battery recycling and utilization by the subjects of each link. From the effective date of the Interim Provisions on Traceability Management of Traction Battery Recycling for New Energy Vehicles, the new energy vehicle products that have obtained the Announcement of Road Power-Driven Vehicle Manufacturing Enterprises and Products and the imported new energy vehicles that have obtained compulsory product certification are managed in a traceable manner. For the new energy vehicle products that have obtained access approval and the imported new energy vehicles that have obtained compulsory product certification before the effective date of the Interim Provisions on Traceability Management of Traction Battery Recycling for new energy vehicles, the implementation of traceability management will be delayed for 12 months. If, after the deadline, it is necessary to use traction batteries that are not coded according to national standards in the process of maintenance or other processes, an explanation shall be submitted.</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Requirements of the Industry Standards for the Comprehensive Utilization of Wasted Power Storage Batteries of New Energy Vehicles and Interim Measures for the Administration of the Announcement of the Industry Standards for the Comprehensive Utilization of Wasted Power Storage Batteries of New Energy Vehicles promulgated by the Ministry of Industry and Information Technology on December 16, 2019 and effective on the same date, enterprises that carry out echelon recovery or recycling recovery of wasted power storage batteries of New Energy Vehicles shall follow the principle of echelon recovery first, and then recycling recovery to improve the comprehensive utilization according to the national and industrial standards and technical information such as dismantling, disassembling and historical data of power storage batteries provided by new energy vehicle manufacturers and other manufacturers. Established new energy vehicle manufacturers and energy vehicle batteries manufacturers are encouraged to participate in new comprehensive utilization projects.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Favorable Government Policies Relating to New Energy Vehicles in mainland China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Government Subsidies for New Energy Vehicle Purchasers</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Notice by the PRC Ministry of Finance, the Ministry of Science and Technology, the Ministry of Industry and Information Technology and NDRC of the Policies on Government Subsidies for Promotion and Application of New Energy Vehicles in 2016 – 2020 jointly promulgated by the Ministry of Finance, the Ministry of Science and Technology, the Ministry of Industry and Information Technology and NDRC on April 22, 2015 and effective on the same date, those who purchase new energy vehicles included in the Catalog of Recommended New Energy Vehicle Models for Promotion and Application from 2016 to 2020 may obtain subsidies. The Notice specifies that the subject of the subsidies for new energy vehicles purchases are consumers, who shall receive the subsidy in the form of an amount settled between the new energy vehicle manufacturer and the consumer at the price after deducting the subsidy when selling the product, and then the subsidy advanced by the enterprise shall be paid by the central government to the new energy vehicle manufacturer in accordance with applicable procedures. According to the Notice, the subsidy standard for other models (excluding fuel cell vehicles) for 2017 to 2020 is appropriately reduced, of which, the subsidy standard for 2017 to 2018 is reduced by 20% as compared to that of 2016, and for 2019 to 2020 by 40% as compared to that of 2016.</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Notice of Adjusting the Policies on Government Subsidies for Promotion and Application of New Energy Vehicles jointly promulgated by the Ministry of Finance, the Ministry of Science and Technology, the Ministry of Industry and Information Technology and NDRC on December 29, 2016 and effective on January 1, 2017, the threshold of the Catalog of Recommended Models for obtaining government subsidy was raised and the subsidy from local government shall not exceed 50% of the subsidy from the central government for every vehicle. Meanwhile, it specifies that the central and local subsidy standards and caps for other models (excluding fuel cell vehicles) from 2019 to 2020 shall be reduced by 20% as compared to the then existing subsidy standards.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Notice of Adjusting and Improving the Policies on the Government Subsidies for Promotion and Application of New Energy Vehicle, or the 2018 Notice of the Polices on Government Subsidies for Vehicles, and the Notice of Further Improving the Policies on Government Subsidies for Promotion and Application of New Energy Vehicles, or the 2019 Notice of the Polices on Government Subsidies for Vehicles, jointly promulgated by the Ministry of Finance, the Ministry of Science and Technology, the Ministry of Industry and Information Technology and NDRC between 2018 and 2019, the aforementioned notices gradually adjusted the subsidy scheme for the promotion of new energy vehicles and the product technical specifications for new energy vehicles.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According to the Notice of Improving the Policies on Government Subsidies for Promotion and Application of New Energy Vehicles, or the 2020 Notice of the Policies on Government Subsidies for Vehicles, jointly promulgated by the Ministry of Finance, the Ministry of Science and Technology, the Ministry of Industry and Information Technology and NDRC on April 23, 2020 and effective on the same day, the implementation period of the policies on government subsidies for new energy vehicles was extended to the end of 2022, and it confirms that the subsidy standards for 2020 to 2022 shall be in principle reduced by 10%, 20% and 30% respectively from a year earlier, and the subsidized vehicles shall be in principle capped at approximately 2 million units per year. The Notice stipulates that since 2020, new energy passenger vehicles and commercial vehicles enterprises shall make a single application for subsidy settlement of 10,000 and 1,000 units respectively, and new energy passenger vehicles must be sold for not more than RMB300,000 before the subsidy, except for the vehicles adopting battery-swapping technology. The abovementioned four departments jointly promulgated the Notice on Further Improving the Policies on Government Subsidies for Promotion and Application of New Energy Vehicles, or the 2021 Supplementary Notice of the Polices on Government Subsidies for Vehicles, on December 31, 2020, which specifies that the subsidy standard for new energy vehicles in 2021 shall be reduced by 20% as compared to that of 2020. The abovementioned four departments further jointly promulgated the Notice of Improving the Policies on Government Subsidies for Promotion and Application of New Energy Vehicles in 2022, or the 2022 Supplementary Notice of the Policies on Government Subsidies for Vehicles, on December 31, 2021, which specifies that the subsidy standard for new energy vehicles in 2022 shall be reduced by 30% as compared to that of 2021 and it also specifies that the 2022 policies on government subsidies for new energy vehicles shall end on December 31, 2022.</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Exemption of Vehicle Purchase Tax</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19, 2023, the Ministry of Finance, the State Administration of Taxation and the Ministry of Industry and Information Technology promogulated the Announcement on the Continuation and Optimization of Vehicle Purchase Tax Relief Policies for New Energy Vehicles, which stipulates that for purchases of qualified new energy vehicles listed in the Catalog of New Energy Vehicle Models Exempted from Vehicle Purchase Tax jointly issued by the Ministry of Industry and Information Technology and the State Administration of Taxation, the policy on vehicle purchase tax exemption was extended until December 31, 2025, provided that the exemption amount for each new energy passenger vehicle shall not exceed RMB30,000. The new energy vehicles purchased during the period from January 1, 2026 to December 31, 2027 are subject to the Vehicle Purchase Tax at a reduced rate by half, provided that the tax reduction amount for each new energy passenger vehicle shall not exceed RMB15,000.</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Non-Imposition of Vehicle and Vessel Tax</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Notice of the Policies on Energy-saving and New-energy Vehicles Enjoying Vehicle and Vessel Tax Reduction and Exemption jointly promulgated by the Ministry of Finance, the Ministry of Transport, the State Administration of Taxation, and the Ministry of Industry and Information Technology on July 10, 2018 and effective on the same date, purely electric passenger vehicles are not subject to vehicle and vessel tax.</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 Energy Vehicle License Plates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recent years, in order to ease road traffic congestion and improve air quality, certain local governments have issued restrictions on the issuance of vehicle license plates. These restrictions generally do not apply to the issuance of license plates for new energy vehicles, which makes it easier for purchasers of new energy vehicles to obtain automobile license plates. For example, pursuant to the Implementation Measures on Encouraging Purchase and Use of New Energy Vehicles in Shanghai, effective from March 1, 2021, from the date of implementation to December 31, 2023, the special plate quota will be issued for free to qualified consumers who purchase new energy vehicles, while from January 1, 2023, the special license plate quota will no longer issued to consumers who purchase plug-in hybrid (including extended-range) vehicles.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Policies Relating to Incentives for Electric Vehicle Charging Infrastructure</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the Guiding Opinions of the General Office of the State Council on Accelerating the Promotion and Application of New Energy Vehicles effective on July 14, 2014, the Guiding Opinions of the General Office of the State Council on Accelerating the Construction of Electric Vehicle Charging Infrastructure effective on September 29, 2015 and the Guidance on the Development of Electric Vehicle Charging Infrastructure (2015 – 2020) effective on October 9, 2015, the PRC government has actively promoted the construction of charging infrastructure and requires local governments to actively build urban public charging facilities and appropriately simplify planning and construction approval, improve the policies on fiscal prices and gradually standardize the charging services pricing mechanism.</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Notice on Accelerating the Development of Electric Vehicle Charging Infrastructure in Residential Areas jointly promulgated by NDRC, the National Energy Administration, the Ministry of Industry and Information Technology and the Ministry of Housing and Urban-Rural Development on July 25, 2016, new residential areas shall unify the laying of power supply lines to dedicated fixed parking spaces with pre-reserved room for meter boxes, charging facility installation locations and electricity capacity, and develop the construction plans on power supply facilities for public parking spaces according to local conditions, facilitating the construction and installation of charging infrastructure, and local governments are encouraged to take the lead in developing a comprehensive pilot construction program for the construction and operation of charging infrastructure in residential areas and actively carrying out pilot demonstrations.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Development Plan for the New Energy Vehicle Industry (2021 – 2035) promulgated by the General Office of State Council on October 20, 2020, China will accelerate construction of charging infrastructure, improve the level of charging infrastructure services, and encourage business model innovation.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Notice on the Issuance of Financial Support to Facilitate Efforts in Reaching Peak Carbon Dioxide Emissions and Carbon Neutralization issued by the Ministry of Finance on May 25, 2022, it proposes to vigorously support the development of new energy vehicles and improve the supporting policies for charging and replacement infrastructure.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Opinions on Promoting Urbanization Construction with County Towns as an Important Carrier issued and implemented by the General Office of the CPC Central Committee and the General Office of the State Council on May 6, 2022, it emphasizes to improve municipal transportation facilities. One of the initiatives is to accelerate the construction of charging piles by optimizing the construction layout of public charging and replacement facilities.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Implementation Plan for New-type Urbanization During the 14th Five-Year promulgated by NDRC on June 21, 2022, it will optimize the construction layout of public charging facilities, improve the charging facilities of residential areas and public parking, and construct charging facilities or reserve installation conditions for all the reserved parking spaces of new residential areas.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Implementation Plan for Reaching Peak Carbon Dioxide Emissions in Urban-Rural Development promulgated and implemented by the Ministry of Housing and Urban-Rural Development and NDRC on June 30, 2022, it encouraged the selection of new energy vehicles and promoted the construction of community charging and replacement facilities.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Average Fuel Consumption and New Energy Vehicle Credit Schemes for Vehicle Manufacturers and Importers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September 27, 2017, the Ministry of Industry and Information Technology, the Ministry of Finance, the Ministry of Commerce, the General Administration of Customs of PRC and the State Administration for Market Regulation jointly promulgated the Measure for the Parallel Administration of the Corporate Average Fuel Consumption and New Energy Vehicle Credits of Passenger Vehicle Enterprises (Parallel Credits Measure), which were most recently amended on June 29, 2023 and took effect on August 1, 2023. Under the Parallel Credits Measure, each of the vehicle manufacturers and vehicle importers above a certain scale is required to, among other things, maintain its new energy vehicles credits, or the new energy vehicle credits, and corporate average fuel consumption credits, above zero, regardless of whether new energy vehicles or vehicles powered by ICEs, or the ICE vehicles are manufactured or imported by it, and new energy vehicle credits can be earned only by manufacturing or importing new energy vehicles. Therefore, new energy vehicle manufacturers will enjoy preferences in obtaining and calculating new energy vehicle credits.</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New energy vehicle credits are equal to the aggregate actual scores of a vehicle manufacturer or a vehicle importer minus its aggregate targeted scores. According to the Parallel Credits Measure, the actual scores shall be calculated by multiplying the score of each new energy vehicle model, which depends on various metrics such as the driving range, battery energy efficiency and the rated power of fuel cell systems, and is calculated based on formula published by the Ministry of Industry and Information Technology (in the case of battery electric vehicle, the new energy vehicle credit of each vehicle is equal to (0.0034 x Vehicle Mileage + 0.2) x Mileage Adjustment Coefficient x Battery Energy Density Adjustment Coefficient x Electricity Consumption Coefficient), by the respective production or import volume, while the targeted scores shall be calculated by multiplying the annual production or import volume of traditional ICEs of a vehicle manufacturer or importer by the new energy vehicle credit ratio set by the Ministry of Industry and Information Technology. The new energy vehicle credit ratios are 14%, 16% and 18% for the year of 2021, 2022 and 2023, respectively, increasing from 10% and 12% for 2019 and 2020, respectively. Excess positive new energy vehicle credits are tradable and may be sold to other enterprises through a credit management system established by the Ministry of Industry and Information Technology while excess positive corporate average fuel consumption credits can only be carried forward or transferred among related parties. Negative new energy vehicle credits can be offset by purchasing excess positive new energy vehicle credits from other manufacturers or importers.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these measures, the requirements on the new energy vehicle credits shall be considered for the entry approval of passenger vehicle manufacturers and products by the regulators. If a passenger vehicle enterprise fails to offset its negative credits, its new products, if the fuel consumption of which does not reach the target fuel consumption value for a certain vehicle models as specified in the Evaluation Methods and Indicators for the Fuel Consumption of Passenger Vehicles, will not be listed in the Announcement of the Vehicle Manufacturers and Products issued by the Ministry of Industry and Information Technology, or will not be granted the compulsory product certification, and the vehicle enterprises may be subject to penalties according to the rules and regulations.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Policies to Promote New Energy Vehicle Consumption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Guiding Opinions on Further Promoting Electric Energy as Replacement jointly issued by ten ministries and commissions including NDRC and the Ministry of Industry and Information Technology on March 4, 2022, it proposes to further promote the electrification of the transportation sector. It suggests the acceleration of the electrification of urban public transport by prioritizing the use of new energy vehicles in sectors such as urban public transport, taxis, sanitation, postal services, logistics and distribution. Where vehicles and equipment need to be added and replaced in key areas of air pollution prevention and control such as ports and airports, those areas shall prioritize the use of new energy vehicles. Besides, it vigorously promotes household electric vehicles and speeds up the construction of infrastructure such as electric vehicle charging piles.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Opinions on Further Unleashing Consumption Potential to Promote Sustained Recovery of Consumption issued and implemented by the General Office of the State Council on April 25, 2022, it emphasizes to break down the barriers of consumption restrictions. One of the initiatives is to steadily increase the consumption of automobiles and other consumption in bulk stocks and no additional vehicle purchase restriction measures shall be issued in all regions. In the regions where purchase restrictions have been implemented, it shall gradually increase the number of vehicle increment indicators, relax the eligibility criteria for vehicle purchasers, and gradually remove vehicle purchase restrictions based on local conditions; vigorously develop green consumption and continue to support the acceleration of development of new energy vehicles, as well as fully tap into the consumption potential in counties and townships, while emphasizing on guiding enterprises to carry out promotions in rural areas with the focus on automobiles and home appliances, encouraging eligible areas to introduce new energy vehicles and green smart home appliances to the countryside, and promoting the construction of charging piles (stations) and other supporting facilities, so as to fully explore consumption potentials from counties and villages.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Notice of the State Council on Issuance of a Series of Policies and Measures to Consolidate and Stabilize the Economy issued by the State Council on May 31, 2022, it emphasizes to steadily increase the consumption of automobiles and other consumption in bulk stock, and no additional automobile purchase restrictions shall be issued in all regions. In the regions where purchase restrictions have been implemented, it shall gradually increase the number of vehicle increment indicators, relax the eligibility criteria for vehicle purchasers, and encourage the implementation of differentiated policies based on urban and rural indicators; optimize the investment, construction and operation models of new energy vehicle charging piles (stations), and gradually realize full coverage of charging facilities in all communities and operating parking lots, and accelerate the construction of charging piles (stations) in expressway service areas, passenger transport hubs and other areas.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the Notice on the Measures for Invigorating Automobile Circulation and Boosting Automobile Consumption issued by 17 departments including the Ministry of Commerce on July 5, 2022, it provided to (i) support the purchase and use of new energy vehicles; (ii) accelerate the activation of the second-hand cars market; (iii) promote vehicle renewal consumption; (iv) promote the sustainable and healthy development of the parallel import of vehicles; (v) optimize the environment for vehicle use; (vi) enrich vehicle financing services.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8"/>
          <w:szCs w:val="18"/>
          <w:color w:val="auto"/>
        </w:rPr>
        <w:t>In addition, various provinces and cities have also actively responded and introduced tailor-made local polices for promoting vehicle consumption. For example: (i) On April 27, 2022, the General Office of the Guangdong Province People’s Government issued the Notice on Several Measures for Further Promoting Consumption in Guangdong Province, which emphasizes to encourage vehicle consumption. Firstly, the special campaign for automobile “old for new” service will continue, and subsidies are granted to those who scrap or transfer out old vehicles with license plates registered in Guangdong under their names and buy new ones in their respective provinces with old-for-new promotion models and licensed in the province. Among which, subsidies for scraping old vehicles and purchasing new energy vehicles are RMB10,000 per unit and for scraping old vehicles and purchasing ICE vehicles are RMB5,000 per unit; subsidies for transferring out old cars and purchasing new energy vehicles are RMB8,000 per unit and for transferring out old cars and purchasing ICE vehicles are RMB3,000 per unit. Secondly, it encourages purchase of new energy vehicles. From May 1 to June 30, 2022, subsidies for individual consumers who purchase new energy vehicle models within the range of old-for-new promotion models in their respective provinces are RMB8,000 per unit. Thirdly, it optimizes car purchase management. It further revises and improves the regulations on car purchase qualifications, and increases the number of vehicle incremental indicators; (ii) On May 24, 2022, the People’s Government of Hubei Province issued the Notice of the General Office of the Provincial People’s Government on the Issuance of Certain Measures to Accelerate the Recovery and Boosting of Consumption to encourage automobile consumption, the key measures include: (x) the implementation of a special campaign to exchange old vehicles for new ones from June to December 2022, which provides subsidies to individual consumers who scrap or transfer out old vehicles with Hubei license plates under their names while purchasing new vehicles in Hubei Province and registering them in the province, with the required funds to be shared among the provincial government and municipalities at 50% respectively. Among which: subsidies for scrapping old vehicles and purchasing new energy vehicles are RMB8,000 per vehicle, and subsidies for scrapping old vehicles and purchasing ICE vehicles are RMB3,000 per vehicle; subsidies for transferring out old vehicles and purchasing new energy vehicles are RMB5,000 per vehicle, and subsidies for transferring out old vehicles and purchasing fuel vehicles are RMB2,000 per vehicle. The tax reduction policy of reducing the VAT on second-hand vehicle transactions from 2% to 0.5% will be fully implemented to reduce the costs of second-hand vehicle trading and improve circulation efficiency. Vehicle production will be encouraged and trading enterprises are encouraged to adopt various methods to benefit consumers; (y) the organization and implementation of a new round of new energy vehicle introduction to the countryside; and</w:t>
      </w:r>
    </w:p>
    <w:p>
      <w:pPr>
        <w:spacing w:after="0" w:line="15" w:lineRule="exact"/>
        <w:rPr>
          <w:sz w:val="20"/>
          <w:szCs w:val="20"/>
          <w:color w:val="auto"/>
        </w:rPr>
      </w:pPr>
    </w:p>
    <w:p>
      <w:pPr>
        <w:ind w:right="20" w:firstLine="8"/>
        <w:spacing w:after="0" w:line="260" w:lineRule="auto"/>
        <w:tabs>
          <w:tab w:leader="none" w:pos="28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new energy vehicle promotion activities and the implementation of the existing national promotion subsidy and exemption from vehicle purchase tax policy for consumers (including business units) who purchase new energy vehicles.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Value-Added Telecommunications Services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2000, the PRC State Council promulgated the PRC Telecommunications Regulations, or the Telecommunications Regulations, which was most recently amended on February 6, 2016 and provides a regulatory framework for telecommunications services providers in the PRC. The Telecommunications Regulations categorize all telecommunications businesses in China as either basic or value-added. Value-added telecommunications services are defined as telecommunications and information services provided through public network infrastructure. Pursuant to the Classified Catalogue of Telecommunications Services, an attachment to the Telecommunications Regulations, which was most recently updated on June 6, 2019 by the Ministry of Industry and Information Technology, internet information services, or ICP services, are classified as value-added telecommunications services. Under the Telecommunications Regulations and administrative measures, commercial operators of value-added telecommunications services must first obtain a license for conducting Internet content provision services, or an ICP license, from the Ministry of Industry and Information Technology or its provincial level counterparts. Otherwise, such operator might be subject to sanctions including corrective orders and warnings, imposition of fines and confiscation of illegal gains and, in the case of significant infringement, orders to close the website.</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Administrative Measures on Internet Information Services, promulgated by the State Council in September, 2000 and amended in January, 2011, “internet information services” refer to the provision of information through the internet to online users, and are divided into “commercial internet information services” and “non-commercial internet information services”. A commercial ICP service operator must obtain an ICP license before engaging in any commercial ICP services in China, while the ICP license is not required if the operator will only provide internet information on a non-commercial basis.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the Provisions on the Administration of Mobile Internet Applications Information Services amended by CAC on June 14, 2022 and effective on August 1, 2022, CAC is in charge of the law enforcement of supervision and administration of the information contents of mobile internet apps nationwide; providers rendering permitted internet information services via mobile internet applications shall also be subject to information security requirements; and mobile internet application providers shall sign a service agreement to clarify the rights and obligations of both parties.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2021 Negative List, the provision of value-added telecommunications services falls into the restricted category (other than for e-commerce, domestic multi-parties communications, storage and forwarding categories, call centers) and the foreign shareholding ratio shall not exceed 50%.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Cyber Security and Privacy Protection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Internet Information and Automotive Data Security</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PRC Cybersecurity Law issued by the Standing Committee of the National People’s Congress on November 7, 2016 and implemented on June 1, 2017, the state shall implement the multi-level protection scheme for network cybersecurity. Network operators shall, according to the requirements of laws and requirements as well as the mandatory requirements of national and industry standard, develop internal security management mechanisms, take technical measures and other necessary measures to ensure network security and stable operation. Under the Cybersecurity Law of PRC, where network operators provide network access and domain registration services for users, handle network access formalities for fixed-line or mobile phone users, or provide users with information release services, instant messaging services and other services, they shall require users to provide true identity information, or otherwise, the network operators shall not provide them with services. The PRC Cybersecurity Law also specifies that the network operators shall provide technical support and assistance to public security organs and state security organs for safeguarding national security and crime investigation activities. Network operators in violation of the provisions of this law may be subject to penalties, such as being ordered to make rectifications, given warnings or fines, confiscated of unlawful gains, ordered to a temporary suspension of operations, a suspension of business for corrections, closing down of websites, revocation of operations permits, etc.</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PRC Data Security Law passed by the Standing Committee of the National People’s Congress on June 10, 2021 and implemented on September 1, 2021, the state establishes a classified and tiered system for data protection. When conducting data processing activities, one shall comply with laws and regulations, establish a sound, full-range data security and management system, organize and conduct data security education and training as well as take corresponding technical measures and other necessary measures to protect data safety. The use of the internet and other information networks to carry out data processing activities shall, on the basis of the multi-level protection scheme for network cybersecurity, fulfil the obligations of data security protection. The handlers of important data shall, in accordance with applicable provisions, carry out risk assessment on their data processing activities on a regular basis and submit risk assessment reports to the competent authorities. Organizations and individuals shall cooperate with public security departments or state security organs in obtaining data for the purpose of safeguarding state security or investigating crimes according to law. Those who fail to fulfil the obligations of data security protection and provide important data abroad in violation of the law will be ordered to correct, warned, fined, suspended with their business or suspended for rectification, or revoked of business licenses.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Opinions on Severely Cracking Down on Illegal Securities Activities According to Law, or the Opinions, jointly issued by the General Office of the CPC Central Committee and the General Office of the State Council on July 6, 2021, China will strengthen the standard review in data security, cross-border data flow and confidential information management.</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December 8, 2022, the Ministry of Industry and Information Technology issued the Administrative Measures for Data Security in the Field of Industry and Information Technology, or the Data Security Measures in the IT Field, which took effect on January 1, 2023. Data Security Measures in the IT Field provide that all businesses which handle industrial and telecoms data in China are required to categorize such information into “general,” “important” and “core” and businesses processing “important” and “core” data shall comply with certain filing and reporting obligations. Industrial data refer to data produced and collected in the course of research and development design, manufacturing, operation and management, operating and maintenance, and platform operation in various sectors and fields of industry. Telecoms data refer to the data generated and collected in the course of telecommunications business operations. In accordance with the Data Security Measures in the IT Field, the industrial and telecommunication data handlers shall classify data firstly based on the data’s category and then based on its security level on a regular basis, to classify and identify data based on the industry requirements, business needs, data sources and purposes and other factors, and to make a data classification list. In addition, the industrial and telecommunication data handlers shall establish and improve a sound data classification management system, take measures to protect data based on the levels, carryout key protection of critical data, implement stricter management and protection of core data on the basis of critical data protection, and implement the protection with the highest level of requirement if different levels of data are processed at the same time. The Data Security Measures in the IT Field also impose certain obligations on industrial and telecommunication data handlers in relation to, among others, implementation of data security work system, administration of key management, data collection, data storage, data usage, data transmission, provision of data, publicity of data, data destruction, safety audit and emergency plans, etc.</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Administrative Provisions on Security Vulnerability of Network Products was jointly promulgated by the Ministry of Industry and Information Technology, CAC and the Ministry of Public Security on July 12, 2021 and effective on September 1, 2021. Network product providers, network operators as well as organizations or individuals engaging in the discovery, collection, release and other activities of network product security vulnerability are subject to the Provisions and shall establish channels to receive information of security vulnerability of their respective network products and shall examine and fix such security vulnerability in a timely manner. In response to the Cybersecurity Law, network product providers are required to report information of security vulnerability of network products with the Ministry of Industry and Information Technology within two days and to provide technical support for network product users. Network operators shall take measures to examine and fix security vulnerability after discovering or acknowledging that their networks, information systems or equipment have security loopholes. According to the Provisions, the breaching parties may be subject to monetary fine as regulated in accordance with the Cybersecurity Law. Since the Provisions is relatively new, uncertainties still exist in relation to its interpretation and implementation.</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According to the Several Provisions on the Management of Automobile Data Security (Trial Implementation) (Provisions on Automobile Data) jointly issued by CAC, NDRC, Ministry of Industry and Information Technology, the Ministry of Public Security and the Ministry of Transport on August 16, 2021 and implemented on October 1, 2021, automobile data handlers including automobile manufacturers, components and parts and software suppliers, dealers, maintenance organizations, and ride-hailing and sharing service enterprises shall process automobile data in a lawful, legitimate, specific and clear manner, and such data include personal information and important data involved during the design, production, sales, use, operation and maintenance, among others, of vehicles. Automobile data handlers are encouraged by the Provisions on Automobile Data to adhere to the following principles: the principle of in-vehicle processing, unless it is indeed necessary to transfer data out of the vehicle; the principle of non-collection by default; the principle of appropriate accuracy and coverage, and the principle of desensitization. Automobile data handlers shall obtain individual consent for processing personal information or rely on other legal bases in accordance with applicable laws and regulations. Where the automobile data handlers collect data containing images of people outside the vehicle and transmit the data out of the vehicle for the purpose of improving driving safety, and if it is not possible to obtain the consent of these people, such personal information shall be anonymized by means such as deleting the pictures containing identifiable natural persons, or partially contouring the facial information in the pictures. The Provisions on Automobile Data also provided that important data means the data that may endanger national security, public interests, or the lawful rights and interests of individuals or organizations once it has been tampered with, destroyed, leaked, or illegally obtained or used, including data of important sensitive areas, operating data of vehicle charging networks, personal information involving more than 100,000 personal information subjects, video and image data outside the vehicles that contain face information, license plate information, etc. Important data shall be stored domestically by laws. If such data need to be provided outside China due to business needs, it shall go through the safety assessment organized by the national cyberspace administration and ministries of the State Council. To process important data, automobile data handlers shall conduct risk assessment in accordance with the regulations and submit risk assessment reports to related departments at provincial levels. As of the date of this annual report, no implementing rule had been published in this regard. In addition, automotive data handler processing important data shall, by December 15 of each year, report to the related departments at provincial levels the information on automotive data security management. The implementation of such requirement on annual report is subject to the authority of related departments at provincial levels. Illegal automobile data handlers shall bear administrative punishment by laws and if a crime is committed, shall bear criminal liability.</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Regulations of Security Protection for Critical Information Infrastructure, or the CII Protection Regulations, issued by the State Council on July 30, 2021 and implemented on September 1, 2021, critical information infrastructure means network facilities and information systems in important industries and fields—such as public communication and information services, energy, transportation, irrigation, finance, public services, e-government, and science and technology industries for national defense—that may seriously endanger national security, national economy and people’s livelihood, and public interests in the event that they are damaged or lose their functions or their data are leaked. The Regulations emphasize that no individual or organization may engage in any activity of illegally hacking into, interfering with, or damaging any critical information infrastructure or endanger the critical information infrastructure security.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13, 2020, the Measures for Cybersecurity Review was jointly promulgated by CAC, NDRC, the Ministry of Industry and Information Technology, the Ministry of Public Security, the Ministry of State Security, the Ministry of Finance, the Ministry of Commerce, the People’s Bank of China, the State Administration for Market Regulation, the National Radio and Television Administration, the National Administration of State Secrets Protection and the State Cryptography Administration, revised on December 28, 2021 by the aforementioned departments and CSRC, and the Revised Measures for Cybersecurity Review was formally implemented on February 15, 2022. According to the Revised Measures for Cybersecurity Review, operators of online platforms with personal information of more than one million users must file a cybersecurity review with the Cybersecurity Review Office when they pursue listing in a foreign country. In the meantime, the governmental authorities have the discretion to initiate a cybersecurity review on any data processing activity if they deem such a data processing activity affects or may affect national security. The specific implementation rules on cybersecurity review are subject to further clarification by subsequent regulations.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7, 2022, CAC issued the Measures for the Security Assessment of Cross-border Data Transfer, effective and implemented on September 1, 2022. The Measures for the Security Assessment of Cross-border Data Transfer applies to the security assessment conducted by data handlers where they provide overseas parties with important data and personal information collected and generated during the operation in the PRC. Based on the Measures for the Security Assessment of Cross-border Data Transfer, data handlers shall apply for the security assessment of data cross-border transfer to the national cyberspace administration through the provincial cyberspace administration in the place where they operate if they provide data outside China and fall into one of the following conditions: a data handler shall apply to competent authorities for security assessment prior to transferring any data abroad if the transfer involves (i) important data; (ii) personal information transferred overseas by a critical information infrastructure operator and a data handler that has processed personal information of more than one million individuals; (iii) personal information transferred overseas by a data handler who has already provided personal information of 100,000 persons or sensitive personal information of 10,000 persons overseas since January 1 of the previous year; or (iv) other circumstances as requested by CAC.</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March 22, 2024, the CAC promulgated the Provisions on Promoting and Regulating Cross-border Data Flow, or the Cross-border Data Flow Provisions, which took effect on the same day. According to the Cross-border Data Flow Provisions, a data processor is required to apply for security assessment for cross-border data transfer in any of the following circumstances: (i) where a critical information infrastructure operator provides personal information or critical data to offshore entities and individuals; (ii) where any data processor other than a critical information infrastructure operator provides critical data to offshore entities and individuals, or provides personal information (excluding sensitive personal information) of not less than one million individuals or sensitive personal information of not less than 10,000 individuals in aggregate to offshore entities and individuals since January 1 of the current year. The Cross-border Data Flow Provisions also set out certain exceptions where a data processor is not required to apply for security assessment for cross-border data transfer, conclude standard contract for cross-border transfer of personal information or pass authentication for personal information protection. In case of any discrepancy between the Cross-border Data Flow Provisions and other applicable provisions such as the Measures for the Security Assessment of Outbound Data Transfer promulgated on July 7, 2022 and The Measures for the Standard Contract for Outbound Transfer of Personal Information promulgated on February 22, 2023, the Cross-border Data Flow Provisions shall prevail.</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14, 2021, CAC issued the Regulations on Network Data Security Management (draft for public comments), data handlers who carry out the following activities, according to regulations in China, shall apply for cybersecurity review: (i) the merger, reorganization or division of internet platform operators that have gathered a large amount of data resources related to national security, economic development and public interests, which affects or may affect national security; (ii) the data handlers who process personal information of at least one million users apply for listing in a foreign country; (iii) the data handlers’ listing in Hong Kong affects or may affect national security; (iv) other data processing activities that affect or may affect national security. Large internet platform operators who set up headquarters or operation centers or research and development centers overseas shall report to the national cyberspace administration and the competent authorities. As of the date of this annual report, the Regulations have not been formally adopted.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Personal Privacy Protection</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Under the Several Provisions on Regulating the Market Order of Internet Information Services issued by the Ministry of Industry and Information Technology on December 29, 2011 and effective on March 15, 2012, the Decision on Strengthening the Protection of Online Information issued by the Standing Committee of the National People’s Congress and implemented on December 28, 2012, the Order for the Protection of Telecommunications and Internet User Personal Information issued by the Ministry of Industry and Information Technology and implemented on July 16, 2013, and the PRC Cybersecurity Law issued by the Standing Committee of the National People’s Congress on November 7, 2016 and implemented on June 1, 2017, any collection and use of a user’s personal information must be legal, rational and necessary, and the user should be clearly notified the purposes, methods and scopes of collecting and using information, channels for enquiring and correcting information, and the consequence of refusal to provide information. An internet information service provider shall be prohibited from divulging, tampering or destroying any personal information, or selling or providing such information to other parties. Any violation of these laws and regulations may subject to warnings, fines, confiscation of illegal gains, revocation of licenses, cancelation of filings, closedown of websites or even criminal liabilities.</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Methods of Identifying Illegal Acts of Apps to Collect and Use Personal Information jointly promulgated and implemented by CAC, the Ministry of Industry and Information Technology, the Ministry of Public Security and the State Administration for Market Regulation on November 28, 2019 clarifies specific circumstances of illegal collection of information, including “failing to publish the rules on the collection and use of personal information”, “failing to explicitly explain the purposes, methods and scope of the collection and use of personal information”, “collecting and using personal information without the users’ consent”, “collecting personal information unrelated to the services it provides and beyond necessary principle”, “providing personal information to others without the users’ consent”, and “failing to provide the function of deleting or correcting the personal information according to the laws” or “failing to publish information such as ways of filing complaints and reports”.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PRC Civil Code adopted by the National People’s Congress on May 28, 2020 and implemented on January 1, 2021, the personal information of natural persons is protected by law. Any organization or individual must legally obtain personal information of others and must ensure the security of the information, and must not illegally collect, use, process or disseminate the personal information of others, nor illegally trade, provide or disclose the personal information of others.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Provisions on Automobile Data, automobile data handlers (including automobile manufacturers, components and parts and software suppliers, dealers, maintenance organizations, and ride-hailing and sharing service enterprises) shall process automobile data (including personal information data and important data during the design, production, sales, use, operation and maintenance of vehicles) in a lawful, legitimate, specific and clear manner. When processing personal information, automobile data handlers shall obtain personal consent or comply with other circumstances stipulated by laws and administrative regulations. If the automobile data handlers collect data of subjects outside the vehicle for the purpose of ensuring driving safety, but are unable to obtain consent from such subjects, the automobile data handlers shall anonymize the data by means such as deleting the pictures containing identifiable natural persons, or partially contouring the facial information in the pictures.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PRC Personal Information Protection Law adopted by the Standing Committee of the National People’s Congress on August 20, 2021 and implemented from November 1, 2021, the personal information of natural persons shall be protected by law. As the first systematic and comprehensive law specifically for the protection of personal information in the PRC, the Personal Information Protection Law provides, among others, that (i) an individual’s separate consent shall be obtained before operation of such individual’s sensitive personal information, e.g., biometric characteristics and individual location tracking, (ii) personal information operators operating sensitive personal information shall notify individuals of the necessity of such operations and the influence on the individuals’ rights, (iii) if personal information operators reject individuals’ requests to exercise their rights, individuals may file a lawsuit with a People’s Court.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State Administration for Market Regulation issued the Standard of Information Security Technology Personal Information Security Specification (2017 edition), which took effect in May 2018, and the Standard of Information Security Technology Personal Information Security Specification (2020 edition), which took effect in October 2020. Pursuant to these standards, any entity or person who has the authority or right to determine the purposes for and methods of using or processing personal information are seen as a personal data controller. Such personal data controller is required to collect information in accordance with applicable laws, and prior to collecting such data, the information provider’s consent is required.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Land and the Development of Construction Projects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Interim Regulations on Assignment and Transfer of the Rights to the Use of the State-Owned Urban Land promulgated by the State Council on May 19, 1990, last amended on November 29, 2020 and effective on the same date, China adopts a system of assignment and transfer of the right to use state-owned land. The assignment of land use rights may be carried out by agreement, bidding or auction. The land user shall pay the premium of the land use right to the State, and the State may assign such right to the user for an agreed term. The land user who has obtained the land use right may, within the term of land use, transfer, lease or mortgage the land use right or use it for other economic activities.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regulations abovementioned and the PRC Urban Real Estate Administration Law promulgated by the Standing Committee of the National People’s Congress on July 5, 1994, last amended on August 26, 2019 and effective on January 1, 2020, an assignment contract shall be signed between the regional land administration authority and land users for the assignment of land use rights. The land user is required to pay the land premium as provided in the assignment contract. After the full payment of the land premium, the land user must register with the land administration authority and obtain a land use rights certificate to acquire the land use rights. The land user shall develop, utilize and operate the land in accordance with the provisions of the assignment contract and the requirements of urban planning.</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Regulations on Planning Administration Regarding Assignment and Transfer of the Rights to Use of the State-Owned Land in Urban Area promulgated by the Ministry of Construction on December 4, 1992, amended on January 26, 2011 and effective on the same date, the land assignee shall obtain a construction land planning permit from the municipal planning authority. Pursuant to the Urban and Rural Planning Law promulgated by the Standing Committee of the National People’s Congress on October 28, 2007 and last amended on April 23, 2019, a construction work planning permit must be obtained from the competent urban and rural planning government authority for the construction of any structure, fixture, road, pipeline, or other engineering project within an urban or rural planning area.</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Administrative Provisions on Construction Permit of Construction Projects issued by the Ministry of Construction (the predecessor of the Ministry of Housing and Urban-Rural Development) on October 15, 1999, last amended on March 30, 2021 and implemented on the same date, for the construction, renovation and decoration of all kinds of buildings within the territory of China and the auxiliary facilities thereof, the installation of supporting lines, pipes and equipment, and the construction of municipal infrastructure projects in cities and towns, the construction unit shall, before starting construction, apply to the housing and urban-rural development administrative department of the people’s government at or above the county level where the project is located for a construction permit in accordance with the Provisions. For a construction project whose investment is less than RMB300,000 or whose construction area is less than 300 square meters, the construction unit may be allowed not to apply for a construction permit.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the Provisions on Acceptance Examination upon Completion of Buildings and Municipal Infrastructure promulgated by the Ministry of Housing and Urban-Rural Development on December 2, 2013 and effective on the same date, construction units of all types of buildings and municipal infrastructure projects that are newly built, expanded, or rebuilt within the territory of China shall file with the competent construction authority of the local people’s government at or above the county level where the project is located within 15 days from the date when the project is completed and accepted.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Environmental Protection and Work Safety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Environmental Protection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PRC Environmental Protection Law promulgated by the Standing Committee of the National People’s Congress on December 26, 1989, last amended on April 24, 2014 and effective on January 1, 2015, any entity which discharges or will discharge pollutants during the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Work Safety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Vehicle and component manufacturers shall comply with regulations related to environmental protection and work safety. In accordance with the PRC Work Safety Law promulgated on June 29, 2002 by the Standing Committee of the National People’s Congress, last amended on June 10, 2021 and implemented from September 1, 2021, a production and operation unit must develop a well-established work safety responsibility system and work safety rules and systems for all employees, meet the conditions for safe production as stipulated by laws and regulations, national standards or industry standards, and those who do not have such production conditions shall not engage in production and operation activities. The production and operation unit shall conduct safety production education and training for employees to ensure that they are equipped with necessary safety production knowledge and are familiar with safety production rules and regulations and safety operation procedures.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Fire Control</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PRC Fire Safety Law promulgated by the Standing Committee of the National People’s Congress in April 1998 and last amended and implemented on April 29, 2021, and the Interim Provisions on Administration of Fire Control Design Review and Acceptance of Construction Project promulgated by the Ministry of Housing and Urban-Rural Development on April 1, 2020, last amended on August 21, 2023 and effective on October 30, 2023, the construction unit of other construction projects must complete the fire protection filing of the fire protection completion acceptance within five working days after the completion acceptance of the construction project. If a construction project fails to pass the fire safety inspection before it is put into use, or does not meet the fire safety requirements after the inspection, it will be ordered to suspend the construction and use of such project, or suspend production and business, and be imposed a fine.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Intellectual Property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China is a party to several international treaties with respect to intellectual property right protection, including the Agreement on Trade-Related Aspects of Intellectual Property Rights, the Paris Convention for the Protection of Industrial Property, the Madrid Agreement Concerning the International Registration of Marks, and the Patent Cooperation Treaty.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PRC Patent Law promulgated by the Standing Committee of the National People’s Congress on March 12, 1984 and currently effective from June 1, 2021, and the Implementation Rules of the PRC Patent Law promulgated by the State Council on June 15, 2001 and last amended on January 9, 2010, there are three types of patents in China: invention patents, utility model patents, and design patents. The protection period is 20 years for an invention patent and 10 years for a utility model patent and 15 years for a design patent (or 10 years for design patents filed prior to June 1, 2021), commencing from their respective application dates. The patent system of mainland China adopts a first-to-file principle, under which the person who files the patent application first is entitled to the patent if two or more persons file patent applications for the same subject. Any person or entity that utilizes a patent or conducts any other activities that infringe a patent without authorization of the patent holder must compensate the patent holder and is subject to a fine imposed by the government authorities, and may be criminally liable in case of patent passing-off. In addition, any person or entity that files a patent application in a foreign country for an invention or utility model patent accomplished in China is required to report in advance to the State Council’s patent administrative authority for a confidentiality examination.</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Copyrights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Copyright Law, which was last amended on November 11, 2020 and became effective on June 1, 2021, provides that Chinese citizens, legal persons, or other organizations will own copyright in their copyrightable works, including works of literature, art, natural science, social science, engineering technology, and computer software, regardless of whether published or not. Copyright owners enjoy certain legal rights, including the right of publication, the right of authorship, and the right of reproduction. The Copyright Law extends copyright protection to internet activities, products disseminated over the internet, and software products. In addition, the Copyright Law provides for a voluntary registration system administered by the China Copyright Protection Center. According to the Copyright Law, a copyright infringer will be subject to various civil liabilities, which include ceasing infringement activities, apologizing to the copyright owner, and compensating for the loss of the copyright owner. Copyright infringers may also be subject to fines and administrative or criminal liabilities in severe situations.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Computer Software Protection Regulations promulgated by the State Council on December 20, 2001 and last amended on January 30, 2013, a software copyright owner may go through the registration procedures with a software registration authority recognized by the State Council’s copyright administrative authority. The software copyright owner may authorize others to exercise that copyright and is entitled to receive remuneration.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Trademarks are protected by the PRC Trademark Law last amended on April 23, 2019 and the Implementation Regulations of the PRC Trademark Law promulgated by the State Council last amended on April 29, 2014. The PRC Trademark Office grants a ten-year term to registered trademarks, and the term may be renewed for another ten-year period upon request by the trademark owner. Where the trademark owner fails to do so, a grace period of six months may be granted. In the absence of renewal upon expiry, the registered trademark will be canceled. A trademark owner may license its registered trademarks to another party by entering into trademark licenses agreements, which must be filed with the Trademark Office for its records. As with patents, the Trademark Law has adopted a first-to-file principle with respect to trademark registration. If a trademark that is applied for is identical or similar to another trademark that has already been registered or subject to a preliminary examination and approval for use on the same or similar kinds of products or services, such trademark application may be rejected. Any person applying for the registration of a trademark shall not infringe upon prior existing trademark rights of others, nor may any person register in advance a trademark that has already been used by another party and has already gained a “sufficient degree of reputation” through such party’s use. Market regulatory departments have the authority to investigate any behavior that infringes the exclusive right under a registered trademark in accordance with the law. In case of a suspected criminal offense, the case will be timely referred to a judicial authority and decided according to the law.</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Domain Names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Ministry of Industry and Information Technology promulgated the Administrative Measures of Internet Domain Names on August 24, 2017, which took effect on November 1, 2017 and replaced the Administrative Measures on China Internet Domain Names promulgated by the Ministry of Industry and Information Technology on November 5, 2004. According to these measures, the Ministry of Industry and Information Technology is in charge of the administration of internet domain names in mainland China. The domain name registration follows a first-to-file principle. Applicants for registration of domain names must provide true, accurate, and complete information of their identities to domain name registration service institutions. The applicants will become holders of such domain names upon the completion of the registration procedure.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According to the PRC Anti-Unfair Competition Law promulgated by the Standing Committee of the National People’s Congress on September 2, 1993 and last amended on April 23, 2019, a “trade secret” refers to technical and business information that is unknown to the public, may create business interests or profits for its legal owners or holders, and is maintained as a secret by its legal owners or holders. Under the Anti-Unfair Competition Law, business operators are prohibited from infringing others’ trade secrets by:</w:t>
      </w:r>
    </w:p>
    <w:p>
      <w:pPr>
        <w:spacing w:after="0" w:line="3" w:lineRule="exact"/>
        <w:rPr>
          <w:sz w:val="20"/>
          <w:szCs w:val="20"/>
          <w:color w:val="auto"/>
        </w:rPr>
      </w:pPr>
    </w:p>
    <w:p>
      <w:pPr>
        <w:jc w:val="both"/>
        <w:ind w:firstLine="8"/>
        <w:spacing w:after="0" w:line="249" w:lineRule="auto"/>
        <w:tabs>
          <w:tab w:leader="none" w:pos="2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trade secrets from the legal owners or holders by any unfair methods such as theft, bribery, fraud, coercion, electronic intrusion, or any other illicit means; (ii) disclosing, using, or permitting others to use the trade secrets obtained illegally under item (i) above; (iii) disclosing, using, or permitting others to use the trade secrets in violation of any contractual agreements or any requirements of the legal owners or holders to keep such trade secrets confidential; or (iv) instigating, inducing, or assisting others to violate a confidentiality obligation or to violate a rights holder’s requirements on keeping the confidentiality of trade secrets, disclosing, using, or permitting others to use the trade secrets of the rights holder. If a third party knows or should have known the above-mentioned illegal conduct but nevertheless obtains, uses, or discloses trade secrets of others, the third party may be deemed to have misappropriated the others’ trade secrets.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Business operators who violate the provisions of the Anti-Unfair Competition Law and cause others to suffer damages shall bear civil liability, and where the legitimate rights and interests of a business operator are harmed by unfair competition, the business operator may file a lawsuit with a People’s Court. The amount of compensation for a business operator who suffer damages due to unfair competition shall be determined on the basis of the actual losses suffered as a result of the infringement; where it is difficult to ascertain the actual losses, the amount of compensation shall be determined in accordance with the benefits gained by the infringing party from the infringement. If a business operator maliciously commits an act of infringing trade secrets and the case is serious, the amount of compensation may be determined at not less than one time and not more than five times the amount determined in accordance with the foregoing method. The amount of compensation shall also include reasonable expenses paid by the business operator to stop the infringement. If it is difficult to ascertain the actual losses suffered or benefits gained, the People’s Court shall, in consideration of the extent of the infringement, award compensation of less than RMB5,000,000 to the rights holder. Additionally, government authorities shall stop any illegal activities which infringe upon trade secrets and confiscate the illegal income from the infringing parties, and impose a fine between RMB100,000 to RMB1,000,000 (or where the circumstances are serious, between RMB500,000 to RMB5,000,000).</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PRC Criminal Law promulgated by the National People’s Congress on July 1, 1979 and last amended on March 1, 2024, anyone that commits any of the following acts of trade secrets infringement, if the circumstances are serious, shall be sentenced to a fixed-term imprisonment of not more than 3 years and/or shall be fined; if the circumstances are especially serious, the infringing party shall be sentenced to a fixed-term imprisonment of not less than 3 years but not more than 10 years and shall be subject to fines: (i) obtaining trade secrets from their legal owners or holders through unfair methods such as theft, bribery, fraud, coercion, electronic intrusion, or any other illicit means; (ii) disclosing, using, or permitting others to use trade secrets obtained illegally under item (i) above; (iii) disclosing, using, or permitting others to use trade secrets in violation of any contractual agreements or any requirements of the legal owners or holders to keep such trade secrets confidential. Any person who has knowledge of the circumstances referred to above but nevertheless obtains, discloses, uses or allows others to use such trade secrets shall be deemed to have infringed upon trade secrets.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Exchange</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Administration of Foreign Exchange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PRC Foreign Exchange Administrative Regulations promulgated on January 29, 1996 and last amended on August 5, 2008, and various regulations issued by SAFE and other PRC government authorities, Renminbi is convertible into other currencies for current account items, such as trade-related receipts and payments and payment of interest and dividends. The conversion of Renminbi into other currencies and remittance of the converted foreign currencies outside China for capital account items, such as direct equity investments, loans, and repatriation of investment, requires prior approval from SAFE or its local branch.</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Payments for transactions that take place in China must be made in Renminbi. Unless otherwise approved, PRC domestic companies may not repatriate payments denominated in foreign currencies received from abroad or retain the same abroad. Foreign-invested enterprises may retain foreign currencies under the current account with designated foreign exchange banks subject to a limit set by SAFE or its local branch. Foreign currencies under the current account may be either retained or sold to a financial institution engaged in the settlement and sale of foreign currencies pursuant to SAFE rules and regulations. For foreign currencies under the capital account, approval by SAFE is generally required for the retention or sale of such foreign currencies to a financial institution engaged in settlement and sale of foreign currencies.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Circular on Further Improving and Adjusting Foreign Exchange Administration Policies for Direct Investment promulgated by SAFE on November 19, 2012 and last amended on December 30, 2019, or SAFE Circular 59, approval of SAFE is not required for opening a foreign exchange account and depositing foreign currencies into the accounts relating to direct investments. SAFE Circular 59 also simplifies foreign exchange-related registration required for foreign investors to acquire the equity interest in PRC domestic companies and further improves the administration of foreign exchange settlement for foreign-invested enterprises. The Circular on Further Simplifying and Improving the Foreign Exchange Administration Policies for Direct Investment promulgated by SAFE and effective on June 1, 2015 and last amended on December 30, 2019, or SAFE Circular 13, cancels the administrative approvals of foreign exchange registration of direct domestic investment and direct overseas investment, and simplifies the procedure for foreign exchange-related registration. Pursuant to SAFE Circular 13, investors must register with banks for direct domestic investment and direct overseas investment.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SAFE Circular 19 which became effective on June 1, 2015 and was last amended on December 30, 2019, a foreign-invested enterprise may, according to its actual business needs, settle with a bank the portion of the foreign exchange capital in its capital account for which the foreign exchange administration has confirmed monetary capital contribution rights and interests (or for which the bank has registered the injection of the monetary capital contribution into the account). Pursuant to SAFE Circular 19, for the time being, foreign-invested enterprises are allowed to settle 100% of their foreign exchange capital on a discretionary basis; a foreign-invested enterprise must truthfully use its capital for its own operating purposes within the scope of business; and where an ordinary foreign-invested enterprise makes domestic equity investment with the amount of foreign exchanges settled, the foreign-invested enterprise must first go through domestic re-investment registration and open a corresponding account for foreign exchange settlement, pending payment with the foreign exchange administration or the bank at the place where it is registered.</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SAFE Circular 16, promulgated by SAFE and effective on June 9, 2016, stipulates that PRC domestic companies may also convert their foreign debts denominated in foreign currencies into Renminbi on a discretionary basis. SAFE Circular 16 also provides an integrated standard for conversion of foreign exchange under capital account items (including foreign exchange capital and foreign debts) on a discretionary basis, which applies to all PRC domestic companies.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PRC Market Entities Registration Administrative Regulations promulgated by the State Council on July 27, 2021 and effective on March 1, 2022, and other laws and regulations governing foreign-invested enterprises and company registrations, the establishment of a foreign-invested enterprise and any capital increase and other major changes in a foreign-invested enterprise must be registered with the State Administration for Market Regulation or its local counterparts, and must be filed via the foreign investment comprehensive administrative system, if such foreign-invested enterprise does not involve special market-entry administrative measures prescribed by the PRC government.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October 23, 2019, SAFE issued the Circular on Further Promoting Cross-Border Trade and Investment Facilitation. This circular allows foreign-invested enterprises whose approved business scopes do not contain equity investment to use their capital obtained from foreign exchange settlement to make domestic equity investment as long as the investment is real and complies with the foreign investment-related laws and regulations. In addition, this circular stipulates that qualified enterprises in certain pilot areas may use their capital income from registered capital, foreign debt, and overseas listing, for the purpose of domestic payments without providing authenticity certifications to the banks in advance for those domestic payments. Payments for transactions that take place in China must be made in Renminbi. Income denominated in foreign currencies received by PRC domestic companies may be repatriated into China or retained outside of China in accordance with requirements and terms specified by SAFE.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SAFE Circular 13 and other foreign exchange laws and regulations, when setting up a new foreign-invested enterprise, the foreign-invested enterprise must register with a bank located at its place of registration after obtaining its business license, and if there is any change in capital or other changes relating to the basic information of the foreign-invested enterprise, including any increase in its registered capital or total investment, the foreign-invested enterprise must register such changes with the bank located at its place of registration after obtaining approval from or completing the filing with competent authorities. Pursuant to the foreign exchange laws and regulations, the above-mentioned foreign exchange registration with the banks will typically take less than four weeks upon the acceptance of the registration application.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Based on the foregoing, if we intend to fund our wholly foreign-owned subsidiaries through capital injection at or after their establishment, we must register the establishment of and any follow-on capital increase in our wholly foreign-owned subsidiaries with the State Administration for Market Regulation or its local counterparts, file such via the foreign investment comprehensive administrative system, and register such with the local banks for the foreign exchange related matters.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Loans by the Foreign Companies to Their PRC Subsidiaries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loan made by foreign investors as shareholders in an foreign-invested enterprise is considered foreign debt in China and is regulated by various laws and regulations, including the PRC Regulation on Foreign Exchange Administration, the Interim Provisions on the Management of Foreign Debts, the Statistical Monitoring of Foreign Debt Tentative Provisions, and the Administrative Measures for Registration of Foreign Debt. Under these rules and regulations, a shareholder loan in the form of foreign debt made to a PRC entity does not require the prior approval of SAFE. However, such foreign debt must be registered with and recorded by SAFE or its local branches within fifteen business days after the entering of the foreign debt contract. Pursuant to these rules and regulations, the balance of the foreign debts of an foreign-invested enterprise cannot exceed the difference between the total investment and the registered capital of the foreign-invested enterprise.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January 12, 2017, the People’s Bank of China promulgated the Notice of the People’s Bank of China on Matters concerning the Macro-Prudential Management of Full-Covered Cross-Border Financing, or PBOC Notice No. 9. Pursuant to PBOC Notice No. 9, within a transition period of one year from January 12, 2017, foreign-invested enterprises may adopt the currently valid foreign debt management mechanism, or the mechanism as provided in PBOC Notice No. 9 at their own discretions. PBOC Notice No. 9 provides that enterprises may conduct independent cross-border financing in Renminbi or foreign currencies as required. Pursuant to PBOC Notice No. 9, the outstanding cross-border financing of an enterprise (the outstanding balance drawn, here and below) will be calculated using a risk-weighted approach and cannot exceed certain specified upper limits. PBOC Notice No. 9 further provides that the upper limit of risk-weighted outstanding cross-border financing for enterprises is 200% of its net assets, or the Net Asset Limits. Enterprises must file with SAFE in its capital item information system after entering into cross-border financing contracts and prior to three business days before drawing any money from the foreign debts.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Offshore Investment by PRC Residents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Under the Circular on Issues Concerning the Foreign Exchange Administration over the Overseas Investment and Financing and Round-Trip Investment by Domestic Residents via Special Purpose Vehicles issued by SAFE and effective on July 4, 2014, or SAFE Circular 37, PRC residents are required to register with local branches of SAFE in connection with their direct or indirect offshore investment in overseas special purpose vehicles directly established or indirectly controlled by PRC residents for offshore investment and financing with their legally owned assets or interests in PRC domestic companies, or their legally owned offshore assets or interests. Such PRC residents are also required to amend their registrations with SAFE when there is a change to the basic information of the special purpose vehicles, such as changes of an individual PRC resident, the name or operating period of the special purpose vehicles, or when there is a significant change to the special purpose vehicles, such as changes of the individual PRC residents’ increase or decrease of the capital contribution in the special purpose vehicles, or any share transfer or exchange, merger, or division of the special purpose vehicles. At the same time, SAFE issued the Operation Guidance for Issues Concerning Foreign Exchange Administration over Round-Trip Investment regarding the procedures for SAFE registration under SAFE Circular 37, which took effect on July 4, 2014, as an attachment to SAFE Circular 37.</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SAFE Circular 13, PRC residents may register with qualified banks instead of SAFE in connection with their establishment or control of an offshore entity established for the purpose of overseas direct investment. SAFE and its branches will implement indirect supervision over foreign exchange registration of direct investment via the banks.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Failure to comply with the registration procedures set forth in SAFE Circular 37 may result in restrictions on foreign exchange activities of onshore companies, including the payment of dividends and other distributions to its offshore parent or affiliate, the capital inflow from the offshore entities, and settlement of foreign exchange capital, and may also subject onshore companies or PRC residents to penalties under foreign exchange administration regulations of mainland China.</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Outbound Direct Investment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26, 2017, NDRC promulgated the Administrative Measures on Overseas Investments of Enterprises, or NDRC Order No. 11, which took effect on March 1, 2018. According to NDRC Order No. 11, non-sensitive overseas investment projects are required to make record filings with NDRC or its local branch. On September 6, 2014, the Ministry of Commerce promulgated the Administrative Measures on Overseas Investments, which took effect on October 6, 2014. According to such regulation, overseas investments of PRC enterprises that involve non-sensitive countries and regions and non-sensitive industries must make record filings with the Ministry of Commerce or its local branch. The Notice of the State Administration of Foreign Exchange on Further Improving and Adjusting Foreign Exchange Administration Policies for Direct Investment was issued by SAFE on November 19, 2012 and last amended on December 30, 2019, under which PRC enterprises must register for overseas direct investment with local banks. The shareholders or beneficial owners who are PRC entities are required to be in compliance with the related overseas investment regulations. If they fail to complete the filings or registrations required by overseas direct investment regulations, the authority may order them to suspend or cease the implementation of such investment and make corrections within a specified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Dividend Distribution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principal laws and regulations regulating the distribution of dividends by foreign-invested enterprises in mainland China include the PRC Company Law, as amended in 2004, 2005, 2013, 2018 and 2023, and the 2019 PRC Foreign Investment Law and its Implementation Regulations. According to the regulatory mechanism provided by the above-mentioned laws, a foreign-invested enterprise in mainland China may only pay dividends out of accumulated profits (if any) determined in accordance with PRC accounting standards and regulations. The PRC companies (including foreign-invested enterprises) are required to draw at least 10% of their after-tax profits into the statutory reserve fund until the reserve fund reaches 50% of their registered capital, except as otherwise provided by the laws on foreign investment; and no profit shall be distributed before making up any loss in the previous fiscal year. Retained profits for previous fiscal years may be distributed together with distributable profits for the current fiscal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Taxation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PRC Enterprise Income Tax Law promulgated by the Standing Committee of the National People’s Congress on March 16, 2007 and last amended on December 29, 2018 and the Implementation Rules of the PRC Enterprise Income Tax Law promulgated by the State Council on December 6, 2007 and amended on April 23, 2019, the income tax rate for both PRC domestic companies and foreign-invested enterprises is 25% unless otherwise provided for specifically. Enterprises are classified as either PRC resident enterprises or non-PRC resident enterprises. In addition, enterprises established outside China whose de facto management bodies are located in China are considered PRC resident enterprises and subject to the 25% enterprise income tax rate for their global income. An income tax rate of 10% applies to dividends declared to non-PRC resident enterprise investors that do not have an establishment or place of business in China, or that have such establishment or place of business but where the income is not effectively connected with the establishment or place of business, to the extent such dividends are derived from sources within China.</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Value-Added Tax</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PRC Provisional Regulations on Value-Added Tax effective on January 1, 1994 and last amended on November 19, 2017, the implementation rules effective on December 25, 1993 and last amended on October 28, 2011, and the Decisions on Abolishing the PRC Provisional Regulations on Business Tax and Amending the PRC Provisional Regulations on Value-Added Tax, promulgated on November 19, 2017, the PRC government imposes value-added tax, or VAT, on all enterprises and persons engaged in the sale of goods, provision of processing, repairing, and replacement services, and sales of services, intangible assets and real property in mainland China, as well as the importation of goods into mainland China. The rates have varied over time. Pursuant to the Announcement on Relevant Policies for Deepening Value-Added Tax Reform effective on April 1, 2019, we are currently subject to VAT at rates between 6% and 13% on the products and services we provide, less any deductible VAT we have already paid or borne. We are also subject to surcharges on VAT payments in accordance with PRC law.</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Withholding Tax</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PRC Enterprise Income Tax Law stipulates that an income tax rate of 10% applies to dividends declared to non-PRC resident investors that do not have an establishment or place of business in China, or that have such establishment or place of business but where the income is not effectively connected with the establishment or place of business, to the extent that such dividends are derived from sources within China.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Arrangement between Mainland China and the Hong Kong Special Administrative Region for the Avoidance of Double Taxation and Tax Evasion on Income and other applicable laws of mainland China, if a Hong Kong resident enterprise is determined by the competent tax authority to have satisfied the conditions and requirements, the 10% withholding tax rate on the dividends received by the Hong Kong resident enterprise from a PRC resident enterprise may be reduced to 5%. According to the Circular on Several Questions Regarding the Beneficial Owner in Tax Treaties, which was issued by the State Administration of Taxation on February 3, 2018 and took effect on April 1, 2018, when determining an applicant’s status as the beneficial owner regarding tax treatments in connection with dividends, interest, or royalties in the tax treaties, several factors are considered, including whether the applicant is obligated to pay over 50% of the income in twelve months to residents in a third country or region, whether the business operated by the applicant constitutes the actual business activities, and whether the counterparty country or region to the tax treaties does not levy any tax or grant any tax exemption on such incomes or levies tax at an extremely low rate, and such factors will be analyzed according to the actual circumstances of the specific cases.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on Indirect Transfer</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Circular 7 issued by the State Administration of Taxation on February 3, 2015 and last amended on December 29, 2017, an indirect transfer of assets, including equity interest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of the transaction arrangement, several factors are considered, including whether the main value of the equity interest of the offshore enterprise derives directly or indirectly from PRC taxable assets, whether the assets of the offshore enterprise mainly consists of direct or indirect investment in China or if its income is mainly derived from China, and whether the offshore enterprise and its subsidiaries directly or indirectly holding PRC taxable assets have a real commercial nature that is evidenced by their actual function and risk exposure. Circular 7 does not apply to sales of shares by investors through a public stock exchange where such shares were acquired on a public stock exchange. On October 17, 2017, the State Administration of Taxation issued Circular 37, which was amended by the Announcement of the State Administration of Taxation on the Revision to Certain Taxation Regulatory Documents issued by the State Administration of Taxation on June 15, 2018. Circular 37 further elaborates on the implementing rules regarding the calculation, reporting, and payment obligations of the withholding tax by non-PRC resident enterprises. Nevertheless, there remain uncertainties as to the interpretation and application of Circular 7. Circular 7 may be determined by the tax authorities to be applicable to our offshore transactions or sale of our shares or those of our offshore subsidiaries where non-PRC resident enterprises, being the transferors, were involved.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Employment and Social Welfare</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Labor Law and Labor Contract Law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PRC Labor Law effective on January 1, 1995 and last amended on December 29, 2018 and its implementation rules, employers must establish and improve work safety and health systems, enforce national standards, and carry out work safety and health education for employees. In addition, pursuant to the PRC Labor Contract Law effective on January 1, 2008 and amended on December 28, 2012 and its implementation rules, employers must execute written labor contracts with full-time employees and comply with local minimum wage standards. Violations of the Labor Law and the Labor Contract Law may result in the imposition of fines and other administrative and criminal liability in the case of serious violations.</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Interim Provisions on Labor Dispatch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Interim Provisions on Labor Dispatch promulgated by the Ministry of Human Resources and Social Security on January 24, 2014, which became effective on March 1, 2014, dispatched workers are entitled to equal pay with full-time employees for equal work. Employers are allowed to use dispatched workers for temporary, auxiliary or substitutive positions, and the number of dispatched workers may not exceed 10% of the total number of employees.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Social Insurance and Housing Fund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PRC Social Insurance Law promulgated by the Standing Committee of the National People’s Congress on October 28, 2010 and amended on December 29, 2018 and the Regulations on the Administration of Housing Funds promulgated by the State Council on April 3, 1999 and last amended on March 24, 2019, employers are required to contribute to a number of social security funds, including funds for basic pension insurance, unemployment insurance, basic medical insurance, occupational injury insurance, and maternity insurance, and also to housing funds. Any employer who fails to make such contribution may be fined and ordered to make good the deficit within a stipulated time limit.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Incentive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Notice of Issues Relating to the Foreign Exchange Administration for Domestic Persons Participating in Stock Incentive Plan of Overseas Listed Company issued by SAFE on February 15, 2012, employees, directors, supervisors, and other senior management who participate in any stock incentive plan of a publicly listed overseas company and who are PRC citizens or non-PRC citizens residing in China for a continuous period of no less than one year are, subject to a few exceptions, required to register with SAFE through a qualified domestic agent, which may be a PRC subsidiary of such overseas listed company, and complete certain other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Anti-Monopoly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PRC Anti-Monopoly Law amended by the Standing Committee of the National People’s Congress on June 24, 2022 and implemented from August 1, 2022, prohibited monopolistic conducts include monopoly agreements, abuse of dominant market position and concentration of business operators that may have the effect of eliminating or restricting competition.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Monopoly Agreement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Competing operators shall not enter into monopoly agreements that exclude or restrict the effect of competition, such as boycotting transactions, fixing or altering commodity prices, restricting commodity production, or fixing commodity prices for resales to third parties, unless the agreement satisfies the exemption conditions stipulated in the Anti-Monopoly Law, for example, where the operators can prove that they do not have the effect of excluding or restricting competition, or where the operators can prove that their shares in applicable market is lower than the standards set by the anti-monopoly law enforcement agency of the State Council and meets other conditions stipulated by it, or improving technology, enhancing the competitiveness of small and medium-sized operators, and maintaining legitimate rights and interests in cross-border economic and trade cooperation. Meanwhile, the operators shall not enter into monopoly agreements with other operators or provide substantial support to other operators to reach monopoly agreements. If the regulations are violated, the punishments include orders to cease to act, confiscation of illegal income and a penalty of not less than 1% but not more than 10% of the sales volume in the previous year; if there is no sales volume in the previous year, a penalty of not more than RMB5,000,000 shall be imposed. Where the monopoly agreement reached has not been implemented, a penalty of less than RMB3,000,000 would be imposed. If a violation is critically serious, causing material adverse impact and severe consequences, the anti-monopoly law enforcement agency of the State Council may determine the specific amount of penalty not less than two times but not more than five times the amount of the aforementioned fine.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Provisions on the Prohibition of Monopoly Agreements promulgated by the State Administration for Market Regulation on March 10, 2023 and effective on April 15, 2023, further provided for the prevention and prohibition of monopoly agreement-related matters, and replaced some of anti-trust rules and regulations previously issued by the State Administration for Industry and Commerce.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Abuse of Dominant Market Position</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business operator with a dominant market position shall not abuse its dominant market position, such as selling commodities at an unfairly high price or purchasing commodities at an unfairly low price, selling commodities at prices below cost without justifiable reasons and rejecting to trade with trading counterparts. In case of violation of the prohibition on abuse of dominant market position, the punishments include orders to cease to act, confiscation of illegal gains and a penalty of not less than 1% but not more than 10% of the sales volume in the previous year. If a violation is critically serious, causing material adverse impact and severe consequences, the anti-monopoly law enforcement agency of the State Council may determine the specific amount of penalty not less than two times but not more than five times the amount of the aforementioned fine.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Interim Provisions on Prohibition of Abuse of Dominant Market Position promulgated by the State Administration for Market Regulation and last amended on March 10, 2023 and effective on April 15, 2023, further prevented and curbed abuse of market dominance.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Business Operators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Operators shall declare the concentration reaching the threshold of declaration prescribed by the State Council to the anti-monopoly law enforcement agency of the State Council before conducting concentration. Concentration of business operators refers to the following circumstances: (i) merger of business operators; (ii) a business operator acquires control over other business operators by acquiring their equities or assets; or (iii) a business operator acquires control over other business operators or is able to exert a decisive influence on other business operators by contract or any other means. Where a business operator fails to comply with the mandatory reporting requirements, and has or may have the effect of excluding or restricting competition, the anti-monopoly law enforcement agency of the State Council has the power to order to cease the implementation of the concentration, dispose of shares or assets and transfer the business within a time limit, and take other necessary measures to restore the state before the concentration, and impose a penalty of not more than 10% of the sales volume in the previous year; if the operators fail to conduct concentration according to regulations and do not have the effect of excluding or restricting competition, a penalty of not more than RMB5,000,000 would be imposed. If a violation is critically serious, causing material adverse impact and severe consequences, the anti-monopoly law enforcement agency of the State Council may determine the specific amount of penalty not less than two times but not more than five times the amount of the aforementioned fine.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Provisions on the Review of Business Operator Concentration promulgated by the State Administration for Market Regulation on March 10, 2023 and effective on April 15, 2023, further provided for matters such as the declaration and review of the concentration of business operators and the investigation of the illegal implementation of the concentration of business operators.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Mergers and Acquisitions and Overseas Listing</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August 8, 2006, six PRC governmental and regulatory authorities, including the Ministry of Commerce and CSRC, promulgated the M&amp;A Rules, effective as of September 8, 2006 and later revised on June 22, 2009, which governs the mergers and acquisitions of domestic enterprises by foreign investors. The M&amp;A Rules, among other things, requires that if an overseas company established or controlled by PRC companies or individuals intends to acquire equity interests or assets of any other PRC domestic company affiliated with such PRC companies or individuals, such acquisition must be submitted to Ministry of Commerce for approval. The M&amp;A Rules also requires that an offshore special purpose vehicle formed for overseas listing purposes and controlled directly or indirectly by the PRC individuals or companies shall obtain the approval of CSRC prior to overseas listing and trading of such special purpose vehicle’s securities on an overseas stock exchange. After the 2019 PRC Foreign Investment Law and its Implementation Regulations became effective on January 1, 2020, the provisions of the M&amp;A Rules remain effective to the extent they are not inconsistent with the 2019 PRC Foreign Investment Law and its Implementation Regulations.</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17, 2023, CSRC promulgated the Trial Administrative Measures of Overseas Securities Offering and Listing by Domestic Companies, or the Overseas Listing Trial Measures, and five supporting guidelines, collectively the Overseas Listing Filing Rules, which became effective on March 31, 2023. According to the Overseas Listing Filing Rules, the offering or listing of shares, depository receipts, convertible corporate bonds, or other equity-like securities by a PRC domestic company in an overseas stock market, whether directly or indirectly through an offshore holding company, should be filed with CSRC. The determination of whether any offering or listing is “indirect” will be made on a “substance over form” basis.</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Overseas Listing Filing Rules, the reporting entity shall submit filing materials including but not limited to a report to CSRC within three business days after submitting listing applications to an overseas stock market. Once listed overseas, the reporting entity will be further required to report the occurrence of any of the following material events within three business days after the occurrence and announcement thereof to CSRC: (i) a change of control of the issuer; (ii) the investigation, sanction or other measures undertaken by any foreign securities regulatory agencies or competent authorities in respect of the issuer; (iii) change of the listing status or transfer of the listing board; and (iv) the voluntary or mandatory delisting of the issuer. In addition, the completion of any overseas follow-on offerings by an issuer in the same overseas market where it has completed its public offering and listing would necessitate a filing with CSRC within three business days thereafter.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CSRC also published the Notice on the Overseas Listing Filing and the set of Q&amp;A published on CSRC’s official website, which are in connection with the release of the Overseas Listing Filing Rules. CSRC clarifies that (i) on or prior to the effective date of the Overseas Listing Filing Rules, domestic companies that have already submitted valid applications for overseas offering and listing but have not obtained approval from overseas regulatory authorities or stock exchanges may reasonably arrange the timing for submitting their filing applications with CSRC, and must complete the filing before the completion of their overseas offering and listing; (ii) a transition period will be granted to domestic companies until September 30, 2023, which, prior to the effective date of the Overseas Listing Filing Rules, have already obtained the approval from overseas regulatory authorities or stock exchanges, but have not completed the indirect overseas listing; if domestic companies fail to complete the overseas listing prior to September 30, 2023, they shall file with CSRC according to the requirements.</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the Overseas Listing Filing Rules, PRC domestic companies are primarily responsible for compliance with the rules. Violation of the Overseas Listing Filing Rules or the completion of an overseas listing in breach of the Overseas Listing Filing Rules may result in a warning and a fine ranging from RMB1,000,000 to RMB10,000,000. Furthermore, the directly responsible supervisors and other directly liable persons of PRC domestic companies may be subject to warning and a fine ranging from RMB500,000 to RMB5,000,000, and the controlling shareholders and actual controllers of PRC domestic companies may be subject to a fine ranging from RMB1,000,000 to RMB10,000,000.</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February 24, 2023, CSRC issued Provisions on Strengthening Confidentiality and Archiving Administration of Overseas Securities Offering and Listing by Domestic Companies, or the Archives Rules, which became effective on March 31, 2023 and specify that during the overseas issuance of securities and listing activities of domestic enterprises, domestic enterprises and securities companies and securities service institutions that provide securities services shall, by strictly abiding by the laws and regulations of mainland China and the requirements therein, establish sound confidentiality and file work systems, take necessary measures to implement confidentiality and file management responsibilities, and shall not leak national secrets and undermine national and public interests. Files such as the work manuscripts generated in the PRC by securities companies and securities service institutions that provide securities services for overseas issuance and listing of securities by domestic enterprises shall be kept in the PRC. The transmission of any such working papers to recipients outside China must be approved in accordance with the applicable PRC regulations. Where files or copies thereof need to be transferred outside of the PRC, it shall be subject to the approval procedures in accordance with regulations of mainland China.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Government Regulations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section sets forth a summary of the most significant rules and regulations that affect our business activities in the EU, the U.K., and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Type Approval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Manufacturers of passenger vehicles in the EU that wish to benefit from the EU single market are required to comply with EU Regulation 2018/858, or the Whole Vehicle Type Approval), which requires that vehicles that are put on the market within the EU must first be type-approved to ensure that they meet all environmental, safety and security standards. A vehicle that has been type-approved in one EU member state can thereafter be sold and registered in all member states without further tests. As of the date of this annual report, we have acquired EU type approval for Eletre and Emeya in compliance with the Whole Vehicle Type Approval.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EU position is broadly the same in the U.K., which adopted EU Regulation 2018/858 as retained EU law at the end of the Brexit transition period, and which was subsequently implemented / amended by the Road Vehicles (Approval) Regulations 2020. On December 31, 2022, the new GB Type Approval Scheme came into force. This scheme is based heavily on EU Regulation 2018/858, but applies solely to vehicles to be sold on the market in Great Britain. Compliance with the scheme involves ensuring that the vehicle meets performance standards in Great Britain and can be sold on the Great Britain market. The GB Type Approval Scheme is mandatory for vehicles to be sold in Great Britain from February 1, 2024. Up until February 1, 2024, manufacturers had the option of using the Provisional GB Type Approval Scheme to obtain approval in Great Britain. Under the provisional scheme, manufacturers already in possession of an EU type approval under the Whole Vehicle Type Approval referenced above can obtain type approval in the U.K. by providing the Vehicle Certification Agency with: (i) a list of type approvals for vehicle types they intend to place on the market in Great Britain, and (ii) the corresponding EU type approval certificates. As of the date of this annual report, we have acquired U.K. type approval for Eletre and the type approval for Emeya is in process.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Safety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EU overhauled its vehicle safety regulations in 2009 by adopting EU Regulation 661/2009, replacing more than fifty previously existing vehicle safety directives with one overarching safety regulation which included requirements on seat belts and child restraint systems for example. This regulation was in turn revised in 2019 by the adoption of EU Regulation 2019/2144, which includes, for example, rules on cybersecurity and new guidelines regarding driver drowsiness and distraction, such as distractions caused by the use of a smartphone while driving, intelligent speed assistance, reversing safely with the aid of cameras or sensors, data recording in case of an accident (black box), lane-keeping assistance, advanced emergency braking, and crash-test improved safety.</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U.K., EU Regulation 661/2009 was adopted as retained EU law by virtue of the European Union (Withdrawal) Act 2018 and implemented by the Road Vehicles (Approval) Regulations 2020.</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changes made by EU Regulation 2019/2144 were not adopted in the U.K., as they were introduced after the U.K. had left the EU. Further legislation would be needed to transpose these into U.K. law, however there are no current plans to do so.</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U.S. National Traffic and Motor Vehicle Safety Act requires manufacturers of vehicles sold in the U.S. to certify that a vehicle meets all applicable Federal Motor Vehicle Safety Standards, federal bumper standards, and federal anti-theft standards, before that vehicle may be imported into or sold in the U.S. Those standards are issued and administered by the National Highway Traffic Safety Administration. Primary categories of Federal Motor Vehicle Safety Standards that apply to our vehicles include:</w:t>
      </w:r>
    </w:p>
    <w:p>
      <w:pPr>
        <w:spacing w:after="0" w:line="1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Crash Avoidance Standards</w:t>
      </w:r>
      <w:r>
        <w:rPr>
          <w:rFonts w:ascii="Times New Roman" w:cs="Times New Roman" w:eastAsia="Times New Roman" w:hAnsi="Times New Roman"/>
          <w:sz w:val="18"/>
          <w:szCs w:val="18"/>
          <w:color w:val="auto"/>
        </w:rPr>
        <w:t>. Safety standards intended to assist vehicles in avoiding collisions with other vehicles, objects,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road users. These standards prescribe minimum performance requirements for vehicle and equipment performance, including requirements for steering, braking, headlamps, tail lamps, and signal lights, controls and displays, warning signals, tires, stability control, and other vehicle equipment and functions.</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Crash Worthiness and Occupant Protection Requirements</w:t>
      </w:r>
      <w:r>
        <w:rPr>
          <w:rFonts w:ascii="Times New Roman" w:cs="Times New Roman" w:eastAsia="Times New Roman" w:hAnsi="Times New Roman"/>
          <w:sz w:val="18"/>
          <w:szCs w:val="18"/>
          <w:color w:val="auto"/>
        </w:rPr>
        <w:t>. Standards designed to protect vehicle occupants and mitigate damage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injury in the event of a crash. These standards include minimum performance requirements for vehicle structure and equipment, as well as other occupant protection requirements such as passenger restraint systems (e.g., airbags, seatbelts), systems, and features to protect vehicle occupants.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Electric Vehicle Specific Requirements</w:t>
      </w:r>
      <w:r>
        <w:rPr>
          <w:rFonts w:ascii="Times New Roman" w:cs="Times New Roman" w:eastAsia="Times New Roman" w:hAnsi="Times New Roman"/>
          <w:sz w:val="18"/>
          <w:szCs w:val="18"/>
          <w:color w:val="auto"/>
        </w:rPr>
        <w:t>. In addition to the safety standards summarized above that apply to all motor vehicles,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are a limited number of additional standards that apply to electric vehicles and high-voltage batteries. Today, those standards are designed primarily to protect vehicle occupants from injury, and include requirements and crash tests designed to limit electrolyte spillage, battery retention, and avoid electric shock to vehicle occupants in the event of a crash. In addition, the U.S. Departments of Energy and Transportation have indicated they may promulgate additional battery and EV safety and performance requirements, and we aim to comply with any such applicable standards if they are issued.</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Manufacturer Self-Certification</w:t>
      </w:r>
      <w:r>
        <w:rPr>
          <w:rFonts w:ascii="Times New Roman" w:cs="Times New Roman" w:eastAsia="Times New Roman" w:hAnsi="Times New Roman"/>
          <w:sz w:val="18"/>
          <w:szCs w:val="18"/>
          <w:color w:val="auto"/>
        </w:rPr>
        <w:t>. Federal law requires motor vehicle manufacturers to certify that a vehicle complies with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Federal Motor Vehicle Safety Standards, as well as National Highway Traffic Safety Administration bumper and theft prevention standards, before that vehicle is sold or offered for sale in the U.S. Federal law provides significant monetary penalties and other sanctions for vehicle manufacturers that certify as Federal Motor Vehicle Safety Standards-compliant vehicles that are found to fail to comply with one or more of those standards. These requirements apply equally to vehicles that are manufactured in the U.S. and vehicles that are imported for sale in the U.S.</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Other U.S. Department of Transportation/National Highway Traffic Safety Administration Requirements</w:t>
      </w:r>
      <w:r>
        <w:rPr>
          <w:rFonts w:ascii="Times New Roman" w:cs="Times New Roman" w:eastAsia="Times New Roman" w:hAnsi="Times New Roman"/>
          <w:sz w:val="18"/>
          <w:szCs w:val="18"/>
          <w:color w:val="auto"/>
        </w:rPr>
        <w:t>. Our vehicles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in the U.S. are also required to comply with (or obtain exemptions from) other requirements of federal laws administered by the National Highway Traffic Safety Administration, including corporate average fuel economy standards and consumer information and labeling requirements. Manufacturer of vehicles sold in the U.S. are also subject to various reporting requirements, including Early Warning Reporting requirements regarding warranty claims, field reports, death and injury claims and foreign recall.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Automobile Information and Disclosure Act</w:t>
      </w:r>
      <w:r>
        <w:rPr>
          <w:rFonts w:ascii="Times New Roman" w:cs="Times New Roman" w:eastAsia="Times New Roman" w:hAnsi="Times New Roman"/>
          <w:sz w:val="18"/>
          <w:szCs w:val="18"/>
          <w:color w:val="auto"/>
        </w:rPr>
        <w:t>. This law requires manufacturers of motor vehicles to disclose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regarding the manufacturer’s suggested retail price, optional equipment, and pricing. In addition, the AIDA requires inclusion fuel economy ratings on a label affixed to new vehicles offered for sale. The American Automobile Labeling Act also requires manufacturers of automobiles to state the percentage of our vehicle components that are manufactured in the U.S. and in other countries, and the location of final vehicle assembly.</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state may impose additional vehicle safety requirements with respect to vehicle equipment or components that are not regulated by a federal standard. Each state also has authority to regulate the operation of vehicles within its boundaries, including prescribing licensing and registration requirements and traffic laws. In some instances, a state’s power may extend to prohibiting the operation of certain types of vehicles on roads in that state.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Data Protection and Privacy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the entry into force on May 25, 2018, of the GDPR, processing of personal data of individuals located in the European Economic Area, or the “EEA, or done by any entity in the EEA, is subject to strict requirements centered around core principles and rights of such individuals to receive access to, to rectify or to delete their personal data. The GDPR obliges us, where applicable, to ensure adherence to the principles of lawfulness, fairness and transparency, and purpose limitation, data minimization, data accuracy, storage limitation and integrity and confidentiality. The GDPR also requires us to mitigate potential data breaches and to, unless the data breach leads to a low risk for the rights and freedoms of data subjects, report data breaches to the data protection supervisory authority within 72 hours.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9, 2021, the European Data Protection Board adopted Guidelines 01/2020 on processing personal data in the context of connected vehicles and mobility related applications, which stated that much of the data that is generated by a connected vehicle relate to a natural person that is identified or identifiable and thus constitute personal data under the GDPR.</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EU position is the same in the U.K., which adopted the GDPR as retained EU law at the end of the Brexit transition period. From January 1, 2021, the U.K. GDPR came into force. The U.K. GDPR is based on the EU GDPR, subject to minor amendments to make it more suited to its U.K. context.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EU GDPR was originally implemented in the U.K. through the Data Protection Act 2018. This instrument has since been amended to align with the U.K. GDPR. The act establishes the rights of individuals to access, remove, restrict and update their personal data, and sets out core data protection principles.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is no overarching generally applicable federal law in the U.S. that governs the collection, processing, storage, transmission, or use of personal data. More narrow and specific federal laws apply to the processing or other use or treatment of certain types of personal data (including information related to health, credit, telecommunications, and telemarketing), or to the processing or use of personal data by certain types of entities (e.g., financial institutions). Also, the Federal Trade Commission may bring enforcement actions against companies that engage in processing of personal data in a manner that constitutes an unfair or deceptive trade practice. In addition, the overwhelming majority of states have enacted laws related to data privacy. Perhaps the most stringent and comprehensive of those state laws is the California Consumer Privacy Act, as expanded and supplemented by the California Privacy Rights Act (effective January 1, 2023). To the extent state data privacy laws apply to us and our products or services, we aim to ensure compliance with the requirements of those laws.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Automated Driving / Advanced Driver Assistance System (AD/ADAS)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equip our vehicles with certain advanced driver assistance features. Generally, laws pertaining to driver assistance features and intelligent driving vehicles are evolving globally and, in some cases, may create restrictions on advanced driver assistance or intelligent driving features that we may develop. We aim to meet the requirements for each product, market, and time frame.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Automated and Electric Vehicles Act 2018 provides a framework for ADAS regulations in the U.K. The Act allows for the creation of a new liability scheme for insurers in relation to automated vehicles, and the creation of regulations relating to electric vehicle charging infrastructure, including availability and reliability standards. In January 2022, the Law Commission published a report with recommendations for a new legal framework to support the safe deployment of automated vehicles. Its recommendations included writing the test for automated driving into law, and introducing a second stage in the type approval process to authorize vehicles for use as automated driving on Great Britain roads. These recommendations have been laid before Parliament and are being considered as part of the government’s broader plans to legislate on automated vehicles.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Currently, there are no mandatory federal standards specifying additional safety or performance requirements for AD/ADAS. The U.S. Department of Transportation and the National Highway Traffic Safety Administration have issued voluntary guidance regarding the capabilities and performance of such systems, and there is a significant possibility that the National Highway Traffic Safety Administration may issue safety standards governing some ADAS in the next few years. There are some additional crash reporting requirements for vehicles equipped with ADS or ADAS. The National Highway Traffic Safety Administration has, to a limited extent, reduced occupant protection standards for automated vehicles that do not have human occupants. In the absence of applicable standards, the National Highway Traffic Safety Administration has “defect” authority to order a recall or take other enforcement action if it determines a vehicle’s ADAS poses an unreasonable risk to safety.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Sustainability and Environmental Regulations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operate in an industry that is subject to extensive sustainability and environmental related regulations, which have become more stringent over time, and are expected to become more extensive in the future. The laws and regulations to which we are or may become subject govern, among other things: water use; air emissions; use of recycled materials; energy sources; the storage, handling, treatment, transportation and disposal of hazardous materials; the protection of the environment, natural resources and endangered species; responsible mineral sourcing; due diligence transparency; environmental reporting; and the remediation of environmental contamination. Compliance with such laws and regulations at an international, regional, national, state, provincial and local level is and will be an important aspect of our ability to continue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countries have announced a requirement for the sale of zero-emission vehicles only within proscribed timeframes, some as early as 2035, and we as an electric vehicle developer aim to comply with these requirements across our entire coming product portfolio as we expand.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vehicle manufacturers are required to comply with the applicable emission regulations in each jurisdiction in which they operate. Furthermore, since our electric vehicles have zero or limited emissions compared to ICE vehicles, we earn emission grams or credits that may be sold to and used by other manufacturers to cover or offset their emissions footprint. We aim to follow the development and opportunities connected to emission regulations in all geographic regions in which we operate. The ability to earn excess emission grams or credits are dependent on each jurisdictions’ regulations and the opportunity to get compensated by others depends on the demand from other manufacturers.</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Manufacturers of passenger vehicles in the EU are required to comply with EU Regulation 715/2007—the WLTP on Energy Consumption and Range, and Directive 2005/64/EC—Recyclability, Recoverability, Reusability.</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Non-financial reporting forms part of the EU’s sustainability and environmental legislative framework. The EU Corporate Sustainability Reporting Directive 2022/2464 entered into force on January 5, 2023, and with effect from January 1, 2025, expands non-financial reporting obligations of EU-established entities and in certain cases overseas parent companies to cover all “large undertakings,” which can include non-EU based parent companies. The scope of what must be reported annually is significantly expanded. Where our entities are subject to this Directive, we must report according to European Sustainability Reporting Standards on issues such as environmental matters, social matters and treatment of employees, respect for human rights, anti-corruption and bribery, diversity on company boards (in terms of age, gender, educational and professional background). In addition, the EU is expected to finalize over the next 2 to 3 years the Corporate Sustainability Due Diligence Directive which will implement mandatory due diligence that certain large companies must undertake regarding human rights and environmental impacts along their supply chains.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WLTP applies in the U.K., as EU Regulation 715/2007 was adopted in the U.K. as retained EU law following Brexit. EU Directive 2005/64/EC was also retained in the U.K. and implemented through the Motor Vehicles (EC Type Approval) (Amendment) Regulations 2007.</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also separate national rules regulating CO2 emissions performance standards, for example the Road Vehicle Carbon Dioxide Emission Performance Standards (Cars and Vans) (Amendment) (EU Exit) Regulations 2020/1418 govern emissions from newly registered cars and vans in Great Britain.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Following a consultation last year, the U.K. government is currently in the process of developing a new U.K. road vehicle CO2 emissions regulatory framework. The proposed framework plans to introduce a zero emissions vehicles mandate that will require manufacturers to meet certain zero-emission vehicle targets every year from 2024. There would also be continued regulation of new non-zero emissions cars and vans until all new sales are zero emission at the exhaust.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U.K. introduced Streamlined Energy and Carbon Reporting (SECR) in 2019 in the Companies (Directors’ Report) and Limited Liability Partnerships (Energy and Carbon Report) Regulations 2018. SECR requires obligated companies to report on their energy consumption and associated greenhouse gas emissions within, if applicable, their financial reporting for Companies House.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to offer our vehicles for sale in the U.S. through dealers registered with individual states. We and our dealers must obtain and comply with the terms and conditions of government permits, certificates, licenses, authorizations, approvals and satisfy other requirements under U.S. laws, as well as state and local government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Manufacturers of vehicles sold in the U.S. are obligated to meet all applicable regulatory requirements in every U.S. jurisdiction in which it operates, distributes, or sells its products. Some required permits, certifications, or licenses are costly and difficult to obtain. Violations of applicable environmental, health, or safety laws and regulations may result in significant sanctions, including civil and criminal fines, penalties orders to cease non-compliant operations or to conduct corrective actions, or suspension or revocation of permits, certificates, and licenses.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vehicles we intend to offer for sale in the U.S. must satisfy the applicable requirements of laws and regulations administered by the National Highway Traffic Safety Administration and the Environmental Protection Agency on a federal level. Similarly, those vehicles must satisfy the emissions standards of the California Air Resource Board which is a major regulator on state level.</w:t>
      </w:r>
    </w:p>
    <w:p>
      <w:pPr>
        <w:spacing w:after="0" w:line="16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Clean Air Act, our vehicles are required to obtain a Certificate of Conformity issued by the Environmental Protection Agency and, for California and states that have adopted laws or regulations to utilize California’s light-duty vehicle standards, a California Executive Order issued by the California Air Resource Board. A Certificate of Conformity and/or California Air Resource Board Executive Order is required for each model year for vehicles sold in the U.S. This regulatory process is designed to ensure that all vehicles comply with applicable emission standards for both criteria pollutants, such as nitrogen oxides and particulate matter, and greenhouse house gases, such as carbon dioxide and nitrous oxide. This process also includes labelling requirements to provide consumer information such as miles per gallon or gas-equivalent ratings and maximum range on a single charge.</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expect our all-electric, battery-powered vehicles to generate regulatory compliance credits that can be monetized through sale to other OEMs. Under California’s Low-Emission Vehicle Program, and equivalent requirements that apply in the states that have adopted California’s standards, OEMs are required to produce an increasing percentage of BEVs, fuel cell electric vehicles, or plug-in hybrid electric vehicles. The zero-emission vehicle program of the California Air Resource Board requires OEMs to produce a certain number BEVs, fuel cell electric vehicles or plug-in hybrid electric vehicles each year, based on the total number of cars sold in California or the other states that have adopted the zero-emission vehicle program, ranging from 4.5% in 2018 to 22% by 2025. Moreover, California’s zero-emission vehicle program requires 100% of all new passenger car and light-duty truck sales to qualify as zero-emission vehicles by 2035. As a developer of zero-emission vehicles, we may earn zero-emission vehicle credits on each electric vehicle sold in California or other participating states, which may be sold to other OEMs without the need to offset any greenhouse house gases or other pollutant emitting ICE vehicles.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state-level credits, the Environmental Protection Agency and the National Highway Traffic Safety Administration require all OEMs to meet minimum greenhouse house gas emission and corporate average fuel economy standards applicable to light-duty vehicles. These federal regulations require that manufacturers of light-duty vehicles meet minimum threshold standards for greenhouse house gas emissions and fuel economy based on a vehicle’s footprint or overall dimensions. We will also benefit from these regulations as a developer of zero-emission vehicles because each electric vehicle will generate greenhouse house gas and corporate average fuel economy credits which can be sold to other manufacturers. In December 2021, the Environmental Protection Agency finalized revised greenhouse house gas standards for model year 2023 – 2026 light-duty vehicles. In May 2022, the National Highway Traffic Safety Administration finalized revised corporate average fuel economy standards for model year 2024 – 2026 light-duty vehicles. These standards require fleetwide increases in fuel economy and decreases in greenhouse house gas emissions from ICE equipped vehicles produced by all manufacturers.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May 2023, the Environmental Protection Agency proposed a new suite of greenhouse house gas and criteria pollutant emission standards for model year 2027 – 2032 light-duty vehicles. In the proposed regulation, the Environmental Protection Agency estimates the revised emission standards would require BEVs to account for 60% of total light-duty vehicle sales by 2030 and 67% of total sales by 2032. In July 2023, the National Highway Traffic Safety Administration proposed new corporate average fuel economy standards for model year 2027 – 2032 vehicles which would require estimated average fleetwide fuel economy for light-duty vehicles of 58 miles per gallon by 2032. These regulations have not been finalized and are subject to change. If the more stringent corporate average fuel economy and greenhouse house gas emission standards are finalized, we may be positioned to monetize the credits we may earn for selling zero-emission vehicles in the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Recall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Manufacturers of vehicles sold in the U.S. must recall such vehicles if they are found to have a safety defect or fail to comply with an applicable Federal Motor Vehicle Safety Standards. The primary recall obligations are to provide notice to owners of all affected vehicles, and to offer a remedy, free of charge, to all affected vehicle owners.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Distribution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legal rules governing commercial agency relationships (agents who promote sales in the name of and on behalf of the principal) are to some extent harmonized under the European Commercial Agency Directive (86/653/EEC). The European Commercial Agency Directive governs various aspects of the commercial agency relationship, including commission claims, minimum notice periods, compensation or indemnity claims upon termination of the agency contract and post-contractual non-compete obligations. The European Commercial Agency Directive is an EU Directive and as such, is not directly applicable in the EU Member States but needs to be transposed into the laws of each EU Member State. Individual national laws may provide for additional rules and national interpretations of the European Commercial Agency Directive.</w:t>
      </w:r>
    </w:p>
    <w:p>
      <w:pPr>
        <w:spacing w:after="0" w:line="1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distribution of new vehicles is generally regulated via Art. 101 and 102 of the Treaty of the Functioning of the European Union, the respective Block Exemption Regulations (EU Regulation 2022/720 of May 10, 2022 on the application of Article 101(3) of the Treaty of the Functioning of the European Union to categories of vertical agreements and concerted practices and Regulation n°461/2010 relative to after sales activities) and Motor Vehicle Regulation No 461/2010 which came into force on June 1, 2010 and will expire on May 23, 2028. Under the Block Exemption Regulations, OEMs and principals must not prevent members of a selective distribution system from selling spare parts to independent repairers, prevent a supplier of spare parts from selling its goods to operators outside the network or to end users, or prevent a supplier of components from placing its trademark or logo on a component supplied for the initial assembly of a motor vehicle. Other than the Block Exemption Regulations, the rules governing distributorship relationships vary by EU member state.</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U.K., the Commercial Agents (Council Directive) Regulations 1993 (SI 1993/3053) implement the European Commercial Agency Directive. The regulations continue to have effect post-Brexit as EU-derived domestic legislation under Section 2 of the EU (Withdrawal) Act 2018. These regulations govern the relationship between agent and principal where goods are sold, and imposes mandatory obligations on both parties. For the principal, this includes a duty to act in good faith, to provide documentation relating to the goods, and to notify the agent where there will be a reduction in goods from the volume expected. The Regulations also cover other aspects of the relationship, including pay, commission, and a requirement to give notice where the contract is concluded without breach.</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applicable provisions under the Treaty of the Functioning of the European Union and the associated Block Exemption Regulations will continue to apply where the principal has selling arrangements in other EEA countries in addition to the U.K. It is only where the effects of the agency agreement would be felt purely in the U.K. that these provisions would not apply, and U.K. competition rules under the Competition Act 1998 would apply in their place. In any event, the provisions under the CA 1998 which target anti-competitive business are closely based on Articles 101 and 102 of the Treaty of the Functioning of the European Union and contain similar exemptions.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Generally, the individual states have authority to regulate the distribution, sale, and service of vehicles within their state. A number of states have laws that either prohibit or impose limitations on “direct sale” of motor vehicles by a manufacturer to a retail customer. In states with a full prohibition, vehicle manufacturers are required to either sell vehicles in those states through automobile dealers or similar entity licensed to sell vehicles, or not sell vehicles in those states. Some state laws also prohibit a vehicle manufacturer from directly servicing vehicles it manufactured.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Incentives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Almost all EU Member States have adopted various measures to stimulate demand for BEVs, plug-in hybrid electric vehicles and fuel cell electric vehicles. In addition, some member states of the EU offer state-funded vehicle scrappage schemes that provide financial incentives for the replacement of old vehicles with new vehicles. There are also a number of government-funded research and development programs in the automotive industry within the EU. Many of these programs focus on projects related to electric mobility and autonomous driving.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U.K., there are a number of tax benefits currently in place to stimulate demand for BEVs. For example, businesses using purely electric (i.e. not hybrid) company vehicles are entitled to 100% first year capital allowances so that the full cost of the vehicle can be deducted from profits before tax. Purely electric vehicles are also exempt from vehicle excise duty until 2025. Further, electric vehicles are exempt from congestion charges.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EV Chargepoint Grant, people living in flats or rental accommodation are eligible for a grant that covers £350 or 75% of the cost to buy and install a chargepoint, whichever is the lower. Similarly, the Workplace Charging Scheme means that businesses can claim up to £350 / 75% per socket of the cost of up to 40 sockets, as a way of encouraging employees to make the switch to electric.</w:t>
      </w:r>
    </w:p>
    <w:p>
      <w:pPr>
        <w:spacing w:after="0" w:line="1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Consumers used to be able to benefit from the Plug-in Car Grant, under which consumers could get a discount on the purchase price of plug-in cars, however this scheme was ended in 2022. However, other types of vehicle may still be eligible for the grant, including wheelchair accessible vehicles, motorcycles and mopeds, vans and taxis. For eligible vehicles, the plug-in grant enables the consumer to get a percentage discount on the upfront cost of the vehicle.</w:t>
      </w:r>
    </w:p>
    <w:p>
      <w:pPr>
        <w:spacing w:after="0" w:line="1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likely to be tax benefits—for example, vehicle excise duty is calculated based on the size of the engine, year of first registration, and CO2 emissions—therefore most pure EV’s are zero rated for tax purposes (i.e. tax free). However, from April 2025, the vehicle excise duty will start to apply to electric vehicles.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federal Inflation Reduction Act of 2022 provides Clean Vehicle tax credits of up to US$7,500 per vehicle to purchasers of some zero-emission vehicles. In order for the purchase of a zero-emission vehicle to qualify for such credits, the vehicle and the purchaser must satisfy certain requirements. Those eligibility requirements include,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a specified percentage of the value of critical minerals contained in the vehicle’s battery be extracted or processed in the U.S.; that the battery components in the vehicle be manufactured or assembled in the U.S.; that the final assembly of the vehicle be conducted in the U.S.; that the retail price of the vehicle not exceed a specified level; and that the eligible purchasers must have taxable incomes below a specified level. Our vehicles do not presently qualify for the new Clean Vehicle tax credits under the federal Inflation Reduction Act of 2022.</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some cases, state and local governments may provide additional incentives for the purchase and sale of BEVs, plug-in hybrid electric vehicles or fuel cell electric vehicles.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Producer Responsibility—Batteries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Current Legislation. Directive 2006/66/EC on batteries and accumulators and waste batteries and accumulators sets out a number of targets and other requirements which aim to increase the collection and recycling of waste batteries of all types, thereby providing further environmental protection and helping to prevent heavy metal pollution which can be caused by some batteries if not dealt with correctly. All European member states were given until September 26, 2008 to transpose the detail of the Directive into each member’s local legislation. Costs associated with meeting the requirements of the Directive must be met by the producers of the batteries, and it must be free of charge for end users to place their waste batteries in the system that will ensure those batteries are recycled.</w:t>
      </w:r>
    </w:p>
    <w:p>
      <w:pPr>
        <w:spacing w:after="0" w:line="1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new EU Batteries Regulation is a proposal to repeal, replace, and significantly extend the scope of the existing EU Batteries Directive 2006/66/EC with a new, enhanced batteries law in the form of a harmonized EU-wide regulation. The draft new law contains full life-cycle mandatory provisions relating to a far wider range of batteries placed on the EU market than the current EU Batteries Directive, including for the first time lithium batteries, and generally all commercial and industrial batteries (as well as automotive and electric vehicle batteries). In general, the obligations fall on “economic operators,” which include manufacturers, authorized representatives, importers, distributors, fulfilment service providers, and any other natural or legal person who is subject to obligations in relation to manufacturing batteries, preparing batteries for reuse, preparing batteries for repurpose, repurposing, or remanufacturing, of batteries, that first place batteries on the market (including online placing on the market) or put them into service. New duties that our entities may be required to adhere to include: Supply Chain Due Diligence, Durability/Right-to-Repair/Battery Conformity (there are proposed minimum values for electrochemical performance and durability of rechargeable industrial batteries), Labelling and Information Disclosure and Enhanced Producer Responsibility For End-of-Life Batteries.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U.K. transposed EU Directive 2006/66/EC into national law in 2008 and 2009 under the Batteries and Accumulators (Placing on the Market) Regulations 2008 and the Waste Batteries and Accumulators Regulations 2009. This legislation makes it compulsory to collect and recycle batteries and accumulators, prevents batteries and accumulators from being incinerated or dumped in landfills and restricts the substances used in batteries and accumulators. The U.K. government are considering following the EU in extending producer responsibility for batteries but such changes are some way off at present and so requirements will be more stringent in the EU going forward once the new EU Batteries Regulation comes in to force.</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Battery packs are also subject to selected tests specified in the SAE J2464 and J2929 standards, as well as tests defined by other standards and regulatory bodies and our own internal tests. These tests evaluate battery function and performance as well as resilience to conditions including immersion, humidity, fire, and other potential hazards.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End-of-Life Vehicles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EU Directive 2000/53/EC provides specific regulatory requirements for the take-back of end-of-life vehicles, such as material coding, treatment obligation, collection system obligation, information and monitoring requirements. It also prohibits the use of hazardous substances when manufacturing new vehicles (especially lead, mercury, cadmium and hexavalent chromium) except in defined exemptions when there are no adequate alternatives. Through Directive 2000/53/EC, vehicle manufacturers have an obligation to provide free take-back for cars and light commercial vehicles.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End-of-life Vehicles Regulations 2003 and the End-of-life Vehicles (Producer Responsibility) Regulations 2005 are the underpinning legislation in the U.K. and reflect the contents of EU Directive 2000/53/EC. Vehicles are regulated to limit the environmental impact of their disposal, by reducing the amount of waste created when they are scrapped. Producers must provide a convenient network of authorized treatment facilities, or make acceptable alternative arrangements, offering free take-back for their brands when they become </w:t>
      </w:r>
      <w:r>
        <w:rPr>
          <w:rFonts w:ascii="Times New Roman" w:cs="Times New Roman" w:eastAsia="Times New Roman" w:hAnsi="Times New Roman"/>
          <w:sz w:val="18"/>
          <w:szCs w:val="18"/>
          <w:color w:val="231F20"/>
        </w:rPr>
        <w:t>End-of-life Vehicles</w:t>
      </w:r>
      <w:r>
        <w:rPr>
          <w:rFonts w:ascii="Times New Roman" w:cs="Times New Roman" w:eastAsia="Times New Roman" w:hAnsi="Times New Roman"/>
          <w:sz w:val="18"/>
          <w:szCs w:val="18"/>
          <w:color w:val="auto"/>
        </w:rPr>
        <w:t>. The producer—the manufacturer or importer—placing the vehicle or component on the U.K. market is responsible for compliance.</w:t>
      </w:r>
    </w:p>
    <w:p>
      <w:pPr>
        <w:spacing w:after="0" w:line="145"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and other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114300</wp:posOffset>
            </wp:positionV>
            <wp:extent cx="5220335" cy="21602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2033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established offices in various cities in China and Europe. As of December 31, 2023, we had leased premises as summarized below and under operating lease agreements from independent third parties. We believe that our existing facilities are generally adequate to meet our current needs, but we expect to seek additional space as needed to accommodate future growth.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Approximate Size</w:t>
            </w:r>
          </w:p>
        </w:tc>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89"/>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(Building) in</w:t>
            </w:r>
          </w:p>
        </w:tc>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95"/>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Square Meters</w:t>
            </w:r>
          </w:p>
        </w:tc>
        <w:tc>
          <w:tcPr>
            <w:tcW w:w="330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20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Lease Term (years)</w:t>
            </w:r>
          </w:p>
        </w:tc>
      </w:tr>
      <w:tr>
        <w:trPr>
          <w:trHeight w:val="228"/>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China</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26,745</w:t>
            </w:r>
          </w:p>
        </w:tc>
        <w:tc>
          <w:tcPr>
            <w:tcW w:w="14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Lotus center, experience store</w:t>
            </w:r>
          </w:p>
        </w:tc>
        <w:tc>
          <w:tcPr>
            <w:tcW w:w="16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 to 10 years</w:t>
            </w:r>
          </w:p>
        </w:tc>
      </w:tr>
      <w:tr>
        <w:trPr>
          <w:trHeight w:val="229"/>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Wuhan, China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18,423</w:t>
            </w:r>
          </w:p>
        </w:tc>
        <w:tc>
          <w:tcPr>
            <w:tcW w:w="14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Lotus center, experience store</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1 to over 10 years</w:t>
            </w:r>
          </w:p>
        </w:tc>
      </w:tr>
      <w:tr>
        <w:trPr>
          <w:trHeight w:val="230"/>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Ningbo, China</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14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Hangzhou, China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w:t>
            </w:r>
          </w:p>
        </w:tc>
        <w:tc>
          <w:tcPr>
            <w:tcW w:w="14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VIP room</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1 to 3 years</w:t>
            </w:r>
          </w:p>
        </w:tc>
      </w:tr>
      <w:tr>
        <w:trPr>
          <w:trHeight w:val="230"/>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China</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4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Lotus center, experience store</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 to 8.5 years</w:t>
            </w:r>
          </w:p>
        </w:tc>
      </w:tr>
      <w:tr>
        <w:trPr>
          <w:trHeight w:val="229"/>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London, U.K.</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4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Less than 1 year to 10 years</w:t>
            </w:r>
          </w:p>
        </w:tc>
      </w:tr>
      <w:tr>
        <w:trPr>
          <w:trHeight w:val="229"/>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Coventry, U.K.</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4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Paris, France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4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Experience store, Lotus center, office</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6 to 10 years</w:t>
            </w:r>
          </w:p>
        </w:tc>
      </w:tr>
      <w:tr>
        <w:trPr>
          <w:trHeight w:val="229"/>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Amsterdam, Netherlands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4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15 years</w:t>
            </w:r>
          </w:p>
        </w:tc>
      </w:tr>
      <w:tr>
        <w:trPr>
          <w:trHeight w:val="229"/>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Houten, Netherlands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Lotus center, office</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5 to 10 years</w:t>
            </w:r>
          </w:p>
        </w:tc>
      </w:tr>
      <w:tr>
        <w:trPr>
          <w:trHeight w:val="230"/>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Oslo, Norway</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4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Experience store, fulfillment center</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 to 8 years</w:t>
            </w:r>
          </w:p>
        </w:tc>
      </w:tr>
      <w:tr>
        <w:trPr>
          <w:trHeight w:val="229"/>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Munich, Germany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experience store, fulfillment center</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Less than 1 year to 2 years</w:t>
            </w:r>
          </w:p>
        </w:tc>
      </w:tr>
      <w:tr>
        <w:trPr>
          <w:trHeight w:val="230"/>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Frankfurt, Germany</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14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workshop</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to 12 years</w:t>
            </w:r>
          </w:p>
        </w:tc>
      </w:tr>
      <w:tr>
        <w:trPr>
          <w:trHeight w:val="229"/>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Gothenburg, Sweden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Less than 1 year</w:t>
            </w:r>
          </w:p>
        </w:tc>
      </w:tr>
      <w:tr>
        <w:trPr>
          <w:trHeight w:val="230"/>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Milan, Italy</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r>
    </w:tbl>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October 2023, the WFOE pledged the land use rights, buildings and ancillary facilities on certain pieces of land totaling approximately 84,000 square meters where our global headquarters is located in Wuhan, China to the Jingkai Fund pursuant to an exchangeable note agreement entered into between the WFOE and the Jingkai Fund in September 2021. Such pledge was terminated in April 2024 following the listing of our securities on Nasdaq pursuant to the term of the pledge.</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is based upon, and should be read in conjunction with, our audited consolidated and combined financial statements and the related notes included in this annual report. This report contains forward-looking statements. See “Forward-Looking Information.”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spacing w:after="0" w:line="166"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pioneering luxury BEV maker that designs, develops luxury lifestyle vehicles (non-sports car vehicles for daily usage) under the iconic British brand “Lotus” and sell all Lotus branded cars.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a successful track record since our inception. In 2023, we delivered a total of 6,970 vehicles, which consisted of our lifestyle vehicles and sportscars distributed through LTIL. As of December 31, 2023, we had 3,180 full-time employees globally, including in China and Europe, among which approximately 56.7% belong to our R&amp;D division.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total revenues increased from US$9.6 million for the year ended December 31, 2022 to US$679.0 million for the year ended December 31, 2023. We recorded a net loss of US$750.3 million, US$724.6 million and US$110.5 million in 2023, 2022, and 2021,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generate revenues primarily through sales of goods and services.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Sales of goods. </w:t>
      </w:r>
      <w:r>
        <w:rPr>
          <w:rFonts w:ascii="Times New Roman" w:cs="Times New Roman" w:eastAsia="Times New Roman" w:hAnsi="Times New Roman"/>
          <w:sz w:val="18"/>
          <w:szCs w:val="18"/>
          <w:color w:val="auto"/>
        </w:rPr>
        <w:t>We generate revenues by providing the following products:</w:t>
      </w:r>
    </w:p>
    <w:p>
      <w:pPr>
        <w:spacing w:after="0" w:line="227" w:lineRule="exact"/>
        <w:rPr>
          <w:sz w:val="20"/>
          <w:szCs w:val="20"/>
          <w:color w:val="auto"/>
        </w:rPr>
      </w:pPr>
    </w:p>
    <w:p>
      <w:pPr>
        <w:ind w:left="1000" w:hanging="31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BEV lifestyle models developed by us;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Lotus-brand sports cars developed by Lotus UK;</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 parts;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peripheral products.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We generate revenues by providing automotive design and development services to OEM customers.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revenues by type both in absolute amount and as a percentage of our revenues for the years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8"/>
        </w:trPr>
        <w:tc>
          <w:tcPr>
            <w:tcW w:w="37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right="7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71"/>
        </w:trPr>
        <w:tc>
          <w:tcPr>
            <w:tcW w:w="3780" w:type="dxa"/>
            <w:vAlign w:val="bottom"/>
          </w:tcPr>
          <w:p>
            <w:pPr>
              <w:spacing w:after="0"/>
              <w:rPr>
                <w:sz w:val="14"/>
                <w:szCs w:val="14"/>
                <w:color w:val="auto"/>
              </w:rPr>
            </w:pP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US$</w:t>
            </w:r>
          </w:p>
        </w:tc>
        <w:tc>
          <w:tcPr>
            <w:tcW w:w="11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US$</w:t>
            </w:r>
          </w:p>
        </w:tc>
        <w:tc>
          <w:tcPr>
            <w:tcW w:w="11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US$</w:t>
            </w:r>
          </w:p>
        </w:tc>
        <w:tc>
          <w:tcPr>
            <w:tcW w:w="11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0"/>
        </w:trPr>
        <w:tc>
          <w:tcPr>
            <w:tcW w:w="3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3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Sales of goods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660,158</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revenues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679,008</w:t>
            </w: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9,557</w:t>
            </w: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3,687</w:t>
            </w: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3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revenues can be categorized as cost of goods sold and cost of services.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goods sold primarily consists of purchase costs of vehicles, charging piles, parts, and accessories, depreciation of molds tooling equipment, warehousing transportation costs, and customs duties. Cost of goods sold also includes reserves for estimated warranty expenses and charges to write-down the carrying value of the inventory when it exceeds its estimated net realizable value.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 of services generally includes cost of direct parts, materials, costs associated with providing extended warranty service and after-sales services, depreciation of associated assets used for providing services, labor costs, rental expenses, consumed materials, and depreciation of associated assets used for providing the automotive design and development services.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that our cost of revenues will increase in absolute amounts in the foreseeable future as we continue to expand our business globally.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cost of revenues by nature both in absolute amount and as a percentage of our cost of revenues for the years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80" w:type="dxa"/>
            <w:vAlign w:val="bottom"/>
          </w:tcPr>
          <w:p>
            <w:pPr>
              <w:spacing w:after="0"/>
              <w:rPr>
                <w:sz w:val="16"/>
                <w:szCs w:val="16"/>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c>
          <w:tcPr>
            <w:tcW w:w="1860" w:type="dxa"/>
            <w:vAlign w:val="bottom"/>
            <w:gridSpan w:val="6"/>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40" w:type="dxa"/>
            <w:vAlign w:val="bottom"/>
            <w:tcBorders>
              <w:top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US$</w:t>
            </w:r>
          </w:p>
        </w:tc>
        <w:tc>
          <w:tcPr>
            <w:tcW w:w="64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92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US$</w:t>
            </w: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top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US$</w:t>
            </w:r>
          </w:p>
        </w:tc>
        <w:tc>
          <w:tcPr>
            <w:tcW w:w="660" w:type="dxa"/>
            <w:vAlign w:val="bottom"/>
            <w:tcBorders>
              <w:top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6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(564,741)</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(948)</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(12,086)</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(6,302)</w:t>
            </w: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(576,827)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(3,130)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6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gross profit for the years indicated.</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5"/>
                <w:szCs w:val="15"/>
                <w:color w:val="auto"/>
              </w:rPr>
            </w:pPr>
          </w:p>
        </w:tc>
        <w:tc>
          <w:tcPr>
            <w:tcW w:w="320" w:type="dxa"/>
            <w:vAlign w:val="bottom"/>
            <w:tcBorders>
              <w:bottom w:val="single" w:sz="8" w:color="auto"/>
            </w:tcBorders>
            <w:gridSpan w:val="2"/>
          </w:tcPr>
          <w:p>
            <w:pPr>
              <w:spacing w:after="0"/>
              <w:rPr>
                <w:sz w:val="15"/>
                <w:szCs w:val="15"/>
                <w:color w:val="auto"/>
              </w:rPr>
            </w:pPr>
          </w:p>
        </w:tc>
        <w:tc>
          <w:tcPr>
            <w:tcW w:w="70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gridSpan w:val="2"/>
          </w:tcPr>
          <w:p>
            <w:pPr>
              <w:spacing w:after="0"/>
              <w:rPr>
                <w:sz w:val="15"/>
                <w:szCs w:val="15"/>
                <w:color w:val="auto"/>
              </w:rPr>
            </w:pPr>
          </w:p>
        </w:tc>
        <w:tc>
          <w:tcPr>
            <w:tcW w:w="360" w:type="dxa"/>
            <w:vAlign w:val="bottom"/>
            <w:tcBorders>
              <w:bottom w:val="single" w:sz="8" w:color="auto"/>
            </w:tcBorders>
            <w:gridSpan w:val="2"/>
          </w:tcPr>
          <w:p>
            <w:pPr>
              <w:spacing w:after="0"/>
              <w:rPr>
                <w:sz w:val="15"/>
                <w:szCs w:val="15"/>
                <w:color w:val="auto"/>
              </w:rPr>
            </w:pPr>
          </w:p>
        </w:tc>
        <w:tc>
          <w:tcPr>
            <w:tcW w:w="6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9"/>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(i) research and development expenses, (ii) selling and marketing expenses, (iii) general and administrative expenses, and (iv) government grants.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operating expenses both in absolute amount and as a percentage of total operating expenses for the years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88"/>
        </w:trPr>
        <w:tc>
          <w:tcPr>
            <w:tcW w:w="3780" w:type="dxa"/>
            <w:vAlign w:val="bottom"/>
          </w:tcPr>
          <w:p>
            <w:pPr>
              <w:spacing w:after="0"/>
              <w:rPr>
                <w:sz w:val="16"/>
                <w:szCs w:val="16"/>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4"/>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Pr>
          <w:p>
            <w:pPr>
              <w:spacing w:after="0"/>
              <w:rPr>
                <w:sz w:val="16"/>
                <w:szCs w:val="16"/>
                <w:color w:val="auto"/>
              </w:rPr>
            </w:pPr>
          </w:p>
        </w:tc>
      </w:tr>
      <w:tr>
        <w:trPr>
          <w:trHeight w:val="171"/>
        </w:trPr>
        <w:tc>
          <w:tcPr>
            <w:tcW w:w="3780" w:type="dxa"/>
            <w:vAlign w:val="bottom"/>
          </w:tcPr>
          <w:p>
            <w:pPr>
              <w:spacing w:after="0"/>
              <w:rPr>
                <w:sz w:val="14"/>
                <w:szCs w:val="14"/>
                <w:color w:val="auto"/>
              </w:rPr>
            </w:pPr>
          </w:p>
        </w:tc>
        <w:tc>
          <w:tcPr>
            <w:tcW w:w="1240" w:type="dxa"/>
            <w:vAlign w:val="bottom"/>
            <w:tcBorders>
              <w:top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US$</w:t>
            </w:r>
          </w:p>
        </w:tc>
        <w:tc>
          <w:tcPr>
            <w:tcW w:w="64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US$</w:t>
            </w:r>
          </w:p>
        </w:tc>
        <w:tc>
          <w:tcPr>
            <w:tcW w:w="64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240" w:type="dxa"/>
            <w:vAlign w:val="bottom"/>
            <w:tcBorders>
              <w:top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US$</w:t>
            </w:r>
          </w:p>
        </w:tc>
        <w:tc>
          <w:tcPr>
            <w:tcW w:w="6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0"/>
        </w:trPr>
        <w:tc>
          <w:tcPr>
            <w:tcW w:w="3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0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(368,729)</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6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(445,844)</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(511,364)</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(328,935)</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(151,331)</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(38,066)</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(144,533)</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(148,369)</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(54,763)</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3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490,694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(838,120)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(689,720)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(113,499)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3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primarily consist of labor costs, license fees, outsourced development expenses, materials, rental expenses, depreciation, and other expenses. We expect to continue to strategically incur our research and development expenses as we continue to improve our technologies and functionality of our models.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selling and marketing expenses primarily consist of advertising costs and market promotion expenses, labor costs, rental expenses, and depreciation expenses. We expect to continue to strategically incur selling and marketing expenses in strengthening our brand image and expanding sales channels and expanding stores globally.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primarily consist of labor costs, day-to-day administrative expenses, depreciation and amortization expenses, professional service fees, and other general corporate expenses. We expect to incur additional expenses in relation to merger transaction expenses and share-based compensation expenses in 2024, which will result into a moderate increase in general and administrative expenses as compared to 2023. Afterwards, our general and administrative expenses are expected to grow slowly as in the foreseeable future as our operational efficiency continues to improve.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Government grants primarily consist of government subsidies received with no future related costs required and the amortization of deferred income relating to a subsidy relating to our R&amp;D expenditures.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Maples and Calder (Hong Kong) LLP, our Cayman Islands counsel, the Cayman Islands currently levies no taxes on corporations based upon profits, income, capital gains or appreciation.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payments of dividends.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current Hong Kong Inland Revenue Ordinance, our Hong Kong subsidiary is subject to Hong Kong profits tax at the rate of 16.5% on their taxable income generated from the operations in Hong Kong. A two-tiered profits tax rates regime was introduced in 2018 where the first HK$2 million of assessable profits earned by a company will be taxed at half of the current tax rate (8.25%) while the remaining profits will continue to be taxed at 16.5%. There is an anti-fragmentation measure where each group will have to elect only one company in the group to benefit from the progressive rates. No provision for Hong Kong profits tax has been made in the financial statements as the subsidiary in Hong Kong have no assessable profits for the years ended December 31, 2023, 2022 and 2021.</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Inland Revenue (Amendment) (Taxation on Specified Foreign-sourced income) Bill 2022 was enacted in Hong Kong on December 14, 2022 and became effective on January 1, 2023. This amendment addresses the EU’s inclusion of Hong Kong in Annex II of the EU list of non-cooperative jurisdictions for tax purposes in concern of any risk of double non-taxation arising from the tax exemption of offshore passive income for companies in Hong Kong without substantial economic substance. From January 1, 2023, offshore passive income (including interest income, dividend income or gain on disposal of equity interest (where applicable)), that is received or deemed to be received in Hong Kong (i.e., similar to the “received” concept in Singapore), needs to meet additional requirements, including, among others, economic substance requirements in order to continue to be entitled to the offshore income tax exemption in Hong Kong. We will monitor the regulatory developments and continue to evaluate the impact on our financial statements, if 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Mainland China</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PRC Enterprise Income Tax Law effective from January 1, 2008 and last amended on December 29, 2018, our subsidiaries and the former VIE and its subsidiaries in mainland China are subject to the statutory rate of 25%, unless otherwise specified.</w:t>
      </w:r>
    </w:p>
    <w:p>
      <w:pPr>
        <w:spacing w:after="0" w:line="176"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We are currently subject to Value Added Tax, or VAT, mainly at rates of 13% and 6%, respectively, on the products and services we provide, less any creditable input VAT. We are also subject to surcharges on VAT payments in accordance with PRC tax regulations.</w:t>
      </w:r>
    </w:p>
    <w:p>
      <w:pPr>
        <w:spacing w:after="0" w:line="1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Dividends paid by our wholly foreign-owned subsidiary in China to our intermediary holding company in Hong Kong will be subject to a withholding tax rate of 10%, unless the Hong Kong entity satisfies all the requirements under the Arrangement between Mainland China and Hong Kong for the Avoidance of Double Taxation and the Prevention of Fiscal Evasion with respect to Taxes on Income and receives approval from the tax authority. If our Hong Kong subsidiary satisfies all the requirements under the tax arrangement, then the dividends paid to the Hong Kong subsidiary are subject to withholding tax at a preferential rate of 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our company in the Cayman Islands or any of our subsidiaries outside of China were deemed a “resident enterprise” under the PRC Enterprise Income Tax Law, it would be subject to enterprise income tax on its worldwide income at a rate of 25%. See “Item 3. Key Information—D. Risk Factors—Risks Relating to Doing Business in China—If we are classified as a PRC resident enterprise for PRC income tax purposes, such classification could result in unfavorable tax consequences to us and our non-PRC shareholders.”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Under the PRC Enterprise Income Tax Law and the Implementation Rules of the PRC Enterprise Income Tax Law, research and development expenses that can enjoy super deduction refer to the expenditure incurred for developing new technologies, new products, and new processes. In case the intangible assets have not formed, and corresponding expenses are recognized in profit and loss account for the current period, the company can enjoy an additional deduction of 50% on the basis of actual expense deducted for enterprise income tax purposes when calculation the taxable income of the year. In case the intangible assets have been recognized, the company can amortize based on 150% of the cost of intangible assets. According to the Notice on Raising Proportion of Super-deduction of Research and Development Expenses published by the Ministry of Finance, the State Administration of Taxation, and the Ministry of Science and Technology in 2018, and the Announcement on Extension of the Implementation Period of Certain Preferential Tax Policies published by the Ministry of Finance and the State Administration of Taxation in 2021, the beforementioned percentages have been raised to 75% and 175%, respectively, with effective period from January 1, 2018 to December 31, 2023. According to the Announcement on Further Improving the Policy on Extra Pre-tax Deduction of R&amp;D Expenses published by the Ministry of Finance and the State Administration of Taxation in 2023, starting from January 1, 2023, the aforementioned percentages have been raised to 100% and 200%,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countries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subsidiaries in the U.K., Netherlands, and Germany are subject to value added tax (VAT). Revenues from sales of products and provision of services are generally subject to VAT at the rate of 20% for our U.K. subsidiaries, 21% for our Netherlands subsidiaries and 19% for our Germany subsidiaries, and payable after netting input VAT on purchases.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subsidiaries in the U.K., Netherlands, and Germany are also subject to income tax. The maximum applicable income tax rates in the U.K. are 19% for the period from January to March 2023, 25% for the period from April to December 2023, 19% for 2022 and 19% for 2021. The maximum applicable income tax rate in the Netherlands is 25.8% for the years ended December 31, 2023, 2022 and 2021. In Germany, the maximum applicable income tax rate for corporation tax is 15.825% for 2023, 2022 and 2021, while the maximum applicable income tax rate for trade tax is 14.35% for 2023, 14.35% for 2022 and 13.825% for 2021. For Germany income tax, the corporate tax rate excludes trade tax, which rate depends on the municipality in which Lotus GmbH conducts its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with line items in absolute amount for the years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3060" w:type="dxa"/>
            <w:vAlign w:val="bottom"/>
            <w:tcBorders>
              <w:bottom w:val="single" w:sz="8" w:color="auto"/>
            </w:tcBorders>
            <w:gridSpan w:val="5"/>
          </w:tcPr>
          <w:p>
            <w:pPr>
              <w:jc w:val="center"/>
              <w:ind w:left="69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6080" w:type="dxa"/>
            <w:vAlign w:val="bottom"/>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183"/>
        </w:trPr>
        <w:tc>
          <w:tcPr>
            <w:tcW w:w="6080" w:type="dxa"/>
            <w:vAlign w:val="bottom"/>
          </w:tcPr>
          <w:p>
            <w:pPr>
              <w:spacing w:after="0"/>
              <w:rPr>
                <w:sz w:val="15"/>
                <w:szCs w:val="15"/>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5"/>
                <w:szCs w:val="15"/>
                <w:color w:val="auto"/>
              </w:rPr>
            </w:pPr>
          </w:p>
        </w:tc>
      </w:tr>
      <w:tr>
        <w:trPr>
          <w:trHeight w:val="169"/>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Sales of goods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660,158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Pr>
          <w:p>
            <w:pPr>
              <w:spacing w:after="0"/>
              <w:rPr>
                <w:sz w:val="19"/>
                <w:szCs w:val="19"/>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20" w:type="dxa"/>
            <w:vAlign w:val="bottom"/>
          </w:tcPr>
          <w:p>
            <w:pPr>
              <w:spacing w:after="0"/>
              <w:rPr>
                <w:sz w:val="19"/>
                <w:szCs w:val="19"/>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679,008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9,557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3,687</w:t>
            </w:r>
          </w:p>
        </w:tc>
        <w:tc>
          <w:tcPr>
            <w:tcW w:w="20" w:type="dxa"/>
            <w:vAlign w:val="bottom"/>
          </w:tcPr>
          <w:p>
            <w:pPr>
              <w:spacing w:after="0"/>
              <w:rPr>
                <w:sz w:val="19"/>
                <w:szCs w:val="19"/>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(564,741)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(948)</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Pr>
          <w:p>
            <w:pPr>
              <w:spacing w:after="0"/>
              <w:rPr>
                <w:sz w:val="19"/>
                <w:szCs w:val="19"/>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(12,086)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(6,302)</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20" w:type="dxa"/>
            <w:vAlign w:val="bottom"/>
          </w:tcPr>
          <w:p>
            <w:pPr>
              <w:spacing w:after="0"/>
              <w:rPr>
                <w:sz w:val="19"/>
                <w:szCs w:val="19"/>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(576,827)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(7,250)</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(3,130)</w:t>
            </w:r>
          </w:p>
        </w:tc>
        <w:tc>
          <w:tcPr>
            <w:tcW w:w="20" w:type="dxa"/>
            <w:vAlign w:val="bottom"/>
          </w:tcPr>
          <w:p>
            <w:pPr>
              <w:spacing w:after="0"/>
              <w:rPr>
                <w:sz w:val="19"/>
                <w:szCs w:val="19"/>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102,181</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2,307</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20" w:type="dxa"/>
            <w:vAlign w:val="bottom"/>
          </w:tcPr>
          <w:p>
            <w:pPr>
              <w:spacing w:after="0"/>
              <w:rPr>
                <w:sz w:val="19"/>
                <w:szCs w:val="19"/>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(368,729)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(445,844)</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(511,364)</w:t>
            </w:r>
          </w:p>
        </w:tc>
        <w:tc>
          <w:tcPr>
            <w:tcW w:w="20" w:type="dxa"/>
            <w:vAlign w:val="bottom"/>
          </w:tcPr>
          <w:p>
            <w:pPr>
              <w:spacing w:after="0"/>
              <w:rPr>
                <w:sz w:val="19"/>
                <w:szCs w:val="19"/>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(328,935)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(151,331)</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(38,066)</w:t>
            </w:r>
          </w:p>
        </w:tc>
        <w:tc>
          <w:tcPr>
            <w:tcW w:w="20" w:type="dxa"/>
            <w:vAlign w:val="bottom"/>
          </w:tcPr>
          <w:p>
            <w:pPr>
              <w:spacing w:after="0"/>
              <w:rPr>
                <w:sz w:val="19"/>
                <w:szCs w:val="19"/>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(144,533)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(148,369)</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(54,763)</w:t>
            </w:r>
          </w:p>
        </w:tc>
        <w:tc>
          <w:tcPr>
            <w:tcW w:w="20" w:type="dxa"/>
            <w:vAlign w:val="bottom"/>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490,694</w:t>
            </w:r>
          </w:p>
        </w:tc>
        <w:tc>
          <w:tcPr>
            <w:tcW w:w="20" w:type="dxa"/>
            <w:vAlign w:val="bottom"/>
          </w:tcPr>
          <w:p>
            <w:pPr>
              <w:spacing w:after="0"/>
              <w:rPr>
                <w:sz w:val="19"/>
                <w:szCs w:val="19"/>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(838,120)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(689,720)</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(113,499)</w:t>
            </w:r>
          </w:p>
        </w:tc>
        <w:tc>
          <w:tcPr>
            <w:tcW w:w="20" w:type="dxa"/>
            <w:vAlign w:val="bottom"/>
          </w:tcPr>
          <w:p>
            <w:pPr>
              <w:spacing w:after="0"/>
              <w:rPr>
                <w:sz w:val="19"/>
                <w:szCs w:val="19"/>
                <w:color w:val="auto"/>
              </w:rPr>
            </w:pPr>
          </w:p>
        </w:tc>
      </w:tr>
      <w:tr>
        <w:trPr>
          <w:trHeight w:val="223"/>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(735,939)</w:t>
            </w:r>
          </w:p>
        </w:tc>
        <w:tc>
          <w:tcPr>
            <w:tcW w:w="24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(687,413)</w:t>
            </w:r>
          </w:p>
        </w:tc>
        <w:tc>
          <w:tcPr>
            <w:tcW w:w="2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(112,942)</w:t>
            </w:r>
          </w:p>
        </w:tc>
        <w:tc>
          <w:tcPr>
            <w:tcW w:w="20" w:type="dxa"/>
            <w:vAlign w:val="bottom"/>
          </w:tcPr>
          <w:p>
            <w:pPr>
              <w:spacing w:after="0"/>
              <w:rPr>
                <w:sz w:val="19"/>
                <w:szCs w:val="19"/>
                <w:color w:val="auto"/>
              </w:rPr>
            </w:pPr>
          </w:p>
        </w:tc>
      </w:tr>
      <w:tr>
        <w:trPr>
          <w:trHeight w:val="22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20" w:type="dxa"/>
            <w:vAlign w:val="bottom"/>
          </w:tcPr>
          <w:p>
            <w:pPr>
              <w:spacing w:after="0"/>
              <w:rPr>
                <w:sz w:val="19"/>
                <w:szCs w:val="19"/>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20" w:type="dxa"/>
            <w:vAlign w:val="bottom"/>
          </w:tcPr>
          <w:p>
            <w:pPr>
              <w:spacing w:after="0"/>
              <w:rPr>
                <w:sz w:val="19"/>
                <w:szCs w:val="19"/>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(loss) income, net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(3,246)</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0" w:type="dxa"/>
            <w:vAlign w:val="bottom"/>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Share of results of equity method investments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(2,762)</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gains (losses),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(11,505)</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 w:type="dxa"/>
            <w:vAlign w:val="bottom"/>
          </w:tcPr>
          <w:p>
            <w:pPr>
              <w:spacing w:after="0"/>
              <w:rPr>
                <w:sz w:val="19"/>
                <w:szCs w:val="19"/>
                <w:color w:val="auto"/>
              </w:rPr>
            </w:pPr>
          </w:p>
        </w:tc>
      </w:tr>
      <w:tr>
        <w:trPr>
          <w:trHeight w:val="225"/>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values of mandatorily redeemable noncontrolling interest,</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exchangeable notes and convertible notes, excluding impact of instrument-</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specific credit risk</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(7,531)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(22,991)</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0" w:type="dxa"/>
            <w:vAlign w:val="bottom"/>
          </w:tcPr>
          <w:p>
            <w:pPr>
              <w:spacing w:after="0"/>
              <w:rPr>
                <w:sz w:val="20"/>
                <w:szCs w:val="20"/>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values of put option liabilities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(2,508)</w:t>
            </w:r>
          </w:p>
        </w:tc>
        <w:tc>
          <w:tcPr>
            <w:tcW w:w="17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(749,142)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(724,271)</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(108,678)</w:t>
            </w:r>
          </w:p>
        </w:tc>
        <w:tc>
          <w:tcPr>
            <w:tcW w:w="20" w:type="dxa"/>
            <w:vAlign w:val="bottom"/>
          </w:tcPr>
          <w:p>
            <w:pPr>
              <w:spacing w:after="0"/>
              <w:rPr>
                <w:sz w:val="19"/>
                <w:szCs w:val="19"/>
                <w:color w:val="auto"/>
              </w:rPr>
            </w:pPr>
          </w:p>
        </w:tc>
      </w:tr>
      <w:tr>
        <w:trPr>
          <w:trHeight w:val="223"/>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20" w:type="dxa"/>
            <w:vAlign w:val="bottom"/>
          </w:tcPr>
          <w:p>
            <w:pPr>
              <w:spacing w:after="0"/>
              <w:rPr>
                <w:sz w:val="19"/>
                <w:szCs w:val="19"/>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(750,255)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(724,563)</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(110,531)</w:t>
            </w:r>
          </w:p>
        </w:tc>
        <w:tc>
          <w:tcPr>
            <w:tcW w:w="20" w:type="dxa"/>
            <w:vAlign w:val="bottom"/>
            <w:tcBorders>
              <w:bottom w:val="single" w:sz="8" w:color="auto"/>
            </w:tcBorders>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use adjusted net loss and adjusted EBITDA in evaluating our operating results and for financial and operational decision-making purposes. Adjusted net loss represents net loss excluding share-based compensation expenses, and such adjustment has no impact on income tax. We define adjusted EBITDA as net loss excluding interest income, interest expenses, income tax expenses, depreciation of property, equipment and software, and share-based compensation expenses.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present these non-GAAP financial measures because they are used by our management to evaluate our operating performance and formulate business plans. We believe that adjusted net loss and adjusted EBITDA help identify underlying trends in our business that could otherwise be distorted by the effect of certain expenses that are included in net loss. We also believe that the use of the non-GAAP measures facilitates investors’ assessment of our operating performance. We believe that adjusted net loss and adjusted EBITDA provide useful information about our operating results, enhance the overall understanding of our past performance and future prospects and allow for greater visibility with respect to key metrics used by our management in its financial and operational decision making.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Adjusted net loss and adjusted EBITDA should not be considered in isolation or construed as alternatives to net loss or any other measures of performance or as indicators of our operating performance. Investors are encouraged to compare our historical adjusted net loss and adjusted EBITDA to the most directly comparable GAAP measure, net loss. Adjusted net loss and adjusted EBITDA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 reconciliation of our net loss to adjusted net loss and adjusted EBITDA for the years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9"/>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5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5"/>
                <w:szCs w:val="15"/>
                <w:color w:val="auto"/>
              </w:rPr>
            </w:pPr>
          </w:p>
        </w:tc>
      </w:tr>
      <w:tr>
        <w:trPr>
          <w:trHeight w:val="169"/>
        </w:trPr>
        <w:tc>
          <w:tcPr>
            <w:tcW w:w="5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(750,255)</w:t>
            </w:r>
          </w:p>
        </w:tc>
        <w:tc>
          <w:tcPr>
            <w:tcW w:w="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(724,563)</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(110,531)</w:t>
            </w:r>
          </w:p>
        </w:tc>
        <w:tc>
          <w:tcPr>
            <w:tcW w:w="20" w:type="dxa"/>
            <w:vAlign w:val="bottom"/>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(750,255)</w:t>
            </w:r>
          </w:p>
        </w:tc>
        <w:tc>
          <w:tcPr>
            <w:tcW w:w="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(713,938)</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(110,531)</w:t>
            </w:r>
          </w:p>
        </w:tc>
        <w:tc>
          <w:tcPr>
            <w:tcW w:w="20" w:type="dxa"/>
            <w:vAlign w:val="bottom"/>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(750,255)</w:t>
            </w:r>
          </w:p>
        </w:tc>
        <w:tc>
          <w:tcPr>
            <w:tcW w:w="80" w:type="dxa"/>
            <w:vAlign w:val="bottom"/>
          </w:tcPr>
          <w:p>
            <w:pPr>
              <w:spacing w:after="0"/>
              <w:rPr>
                <w:sz w:val="19"/>
                <w:szCs w:val="19"/>
                <w:color w:val="auto"/>
              </w:rPr>
            </w:pPr>
          </w:p>
        </w:tc>
        <w:tc>
          <w:tcPr>
            <w:tcW w:w="122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(724,563)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(110,531)</w:t>
            </w:r>
          </w:p>
        </w:tc>
        <w:tc>
          <w:tcPr>
            <w:tcW w:w="20" w:type="dxa"/>
            <w:vAlign w:val="bottom"/>
          </w:tcPr>
          <w:p>
            <w:pPr>
              <w:spacing w:after="0"/>
              <w:rPr>
                <w:sz w:val="19"/>
                <w:szCs w:val="19"/>
                <w:color w:val="auto"/>
              </w:rPr>
            </w:pP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20" w:type="dxa"/>
            <w:vAlign w:val="bottom"/>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(9,204)</w:t>
            </w:r>
          </w:p>
        </w:tc>
        <w:tc>
          <w:tcPr>
            <w:tcW w:w="80" w:type="dxa"/>
            <w:vAlign w:val="bottom"/>
          </w:tcPr>
          <w:p>
            <w:pPr>
              <w:spacing w:after="0"/>
              <w:rPr>
                <w:sz w:val="19"/>
                <w:szCs w:val="19"/>
                <w:color w:val="auto"/>
              </w:rPr>
            </w:pPr>
          </w:p>
        </w:tc>
        <w:tc>
          <w:tcPr>
            <w:tcW w:w="122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(12,188)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20" w:type="dxa"/>
            <w:vAlign w:val="bottom"/>
          </w:tcPr>
          <w:p>
            <w:pPr>
              <w:spacing w:after="0"/>
              <w:rPr>
                <w:sz w:val="19"/>
                <w:szCs w:val="19"/>
                <w:color w:val="auto"/>
              </w:rPr>
            </w:pP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20" w:type="dxa"/>
            <w:vAlign w:val="bottom"/>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54,957</w:t>
            </w: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12,790</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20" w:type="dxa"/>
            <w:vAlign w:val="bottom"/>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(693,189)</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(704,502)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(109,226)</w:t>
            </w:r>
          </w:p>
        </w:tc>
        <w:tc>
          <w:tcPr>
            <w:tcW w:w="20" w:type="dxa"/>
            <w:vAlign w:val="bottom"/>
          </w:tcPr>
          <w:p>
            <w:pPr>
              <w:spacing w:after="0"/>
              <w:rPr>
                <w:sz w:val="19"/>
                <w:szCs w:val="19"/>
                <w:color w:val="auto"/>
              </w:rPr>
            </w:pPr>
          </w:p>
        </w:tc>
      </w:tr>
      <w:tr>
        <w:trPr>
          <w:trHeight w:val="20"/>
        </w:trPr>
        <w:tc>
          <w:tcPr>
            <w:tcW w:w="608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0"/>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5360" w:type="dxa"/>
            <w:vAlign w:val="bottom"/>
          </w:tcPr>
          <w:p>
            <w:pPr>
              <w:spacing w:after="0"/>
              <w:rPr>
                <w:sz w:val="24"/>
                <w:szCs w:val="24"/>
                <w:color w:val="auto"/>
              </w:rPr>
            </w:pPr>
          </w:p>
        </w:tc>
        <w:tc>
          <w:tcPr>
            <w:tcW w:w="216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5360" w:type="dxa"/>
            <w:vAlign w:val="bottom"/>
          </w:tcPr>
          <w:p>
            <w:pPr>
              <w:spacing w:after="0"/>
              <w:rPr>
                <w:sz w:val="16"/>
                <w:szCs w:val="16"/>
                <w:color w:val="auto"/>
              </w:rPr>
            </w:pPr>
          </w:p>
        </w:tc>
        <w:tc>
          <w:tcPr>
            <w:tcW w:w="216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360" w:type="dxa"/>
            <w:vAlign w:val="bottom"/>
          </w:tcPr>
          <w:p>
            <w:pPr>
              <w:spacing w:after="0"/>
              <w:rPr>
                <w:sz w:val="16"/>
                <w:szCs w:val="16"/>
                <w:color w:val="auto"/>
              </w:rPr>
            </w:pPr>
          </w:p>
        </w:tc>
        <w:tc>
          <w:tcPr>
            <w:tcW w:w="7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98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980" w:type="dxa"/>
            <w:vAlign w:val="bottom"/>
            <w:tcBorders>
              <w:top w:val="single" w:sz="8" w:color="auto"/>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1000" w:type="dxa"/>
            <w:vAlign w:val="bottom"/>
            <w:tcBorders>
              <w:top w:val="single" w:sz="8" w:color="auto"/>
              <w:bottom w:val="single" w:sz="8" w:color="auto"/>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Borders>
              <w:top w:val="single" w:sz="8" w:color="auto"/>
            </w:tcBorders>
            <w:gridSpan w:val="2"/>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r>
      <w:tr>
        <w:trPr>
          <w:trHeight w:val="169"/>
        </w:trPr>
        <w:tc>
          <w:tcPr>
            <w:tcW w:w="5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of goods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660,158</w:t>
            </w:r>
          </w:p>
        </w:tc>
        <w:tc>
          <w:tcPr>
            <w:tcW w:w="11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1,186</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658,972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55,562.6</w:t>
            </w:r>
          </w:p>
        </w:tc>
        <w:tc>
          <w:tcPr>
            <w:tcW w:w="20" w:type="dxa"/>
            <w:vAlign w:val="bottom"/>
          </w:tcPr>
          <w:p>
            <w:pPr>
              <w:spacing w:after="0"/>
              <w:rPr>
                <w:sz w:val="19"/>
                <w:szCs w:val="19"/>
                <w:color w:val="auto"/>
              </w:rPr>
            </w:pPr>
          </w:p>
        </w:tc>
      </w:tr>
      <w:tr>
        <w:trPr>
          <w:trHeight w:val="230"/>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BEV lifestyle models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465,265</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465,265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Sports cars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184,111</w:t>
            </w:r>
          </w:p>
        </w:tc>
        <w:tc>
          <w:tcPr>
            <w:tcW w:w="11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828</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183,283</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22,135.6</w:t>
            </w:r>
          </w:p>
        </w:tc>
        <w:tc>
          <w:tcPr>
            <w:tcW w:w="20" w:type="dxa"/>
            <w:vAlign w:val="bottom"/>
          </w:tcPr>
          <w:p>
            <w:pPr>
              <w:spacing w:after="0"/>
              <w:rPr>
                <w:sz w:val="19"/>
                <w:szCs w:val="19"/>
                <w:color w:val="auto"/>
              </w:rPr>
            </w:pPr>
          </w:p>
        </w:tc>
      </w:tr>
      <w:tr>
        <w:trPr>
          <w:trHeight w:val="230"/>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10,782</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2,911.7</w:t>
            </w:r>
          </w:p>
        </w:tc>
        <w:tc>
          <w:tcPr>
            <w:tcW w:w="20" w:type="dxa"/>
            <w:vAlign w:val="bottom"/>
          </w:tcPr>
          <w:p>
            <w:pPr>
              <w:spacing w:after="0"/>
              <w:rPr>
                <w:sz w:val="19"/>
                <w:szCs w:val="19"/>
                <w:color w:val="auto"/>
              </w:rPr>
            </w:pP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revenues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231F20"/>
              </w:rPr>
              <w:t>18,850</w:t>
            </w:r>
          </w:p>
        </w:tc>
        <w:tc>
          <w:tcPr>
            <w:tcW w:w="11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8,371</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10,479</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125.2</w:t>
            </w:r>
          </w:p>
        </w:tc>
        <w:tc>
          <w:tcPr>
            <w:tcW w:w="20" w:type="dxa"/>
            <w:vAlign w:val="bottom"/>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231F20"/>
              </w:rPr>
              <w:t>679,008</w:t>
            </w: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9,557</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669,451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7,004.8</w:t>
            </w:r>
          </w:p>
        </w:tc>
        <w:tc>
          <w:tcPr>
            <w:tcW w:w="2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total revenues increased by US$669.5 million from US$9.6 million for the year ended December 31, 2022 to US$679.0 million for the year ended December 31, 2023, primarily due to the ramp up of sales volume of BEV lifestyle models and the increase in the sales from the distribution of Lotus-brand sports cars, auto parts, and peripheral products, as well as automotive design and development services provided to OEM customers.</w:t>
      </w:r>
    </w:p>
    <w:p>
      <w:pPr>
        <w:spacing w:after="0" w:line="17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Sales of goods</w:t>
      </w:r>
      <w:r>
        <w:rPr>
          <w:rFonts w:ascii="Times New Roman" w:cs="Times New Roman" w:eastAsia="Times New Roman" w:hAnsi="Times New Roman"/>
          <w:sz w:val="18"/>
          <w:szCs w:val="18"/>
          <w:color w:val="auto"/>
        </w:rPr>
        <w:t>. Our sales of goods revenue increased by US$659.0 million from US$1.2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2022 to US$660.2 million for the year ended December 31, 2023, due to the increase in sales from BEV lifestyle models of US$465.3 million, sports cars of US$183.3 million, and auto parts and peripheral products of US$10.4 million.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Our service revenue increased by US$10.5 million from US$8.4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to US$18.9 million for the year ended December 31, 2023, primarily due to the increase in automotive design and development services provided to OEM customers of US$5.8 million and extended and aftersales services revenue for BEV lifestyle models and sports cars of US$4.7 million.</w:t>
      </w:r>
    </w:p>
    <w:p>
      <w:pPr>
        <w:sectPr>
          <w:pgSz w:w="11900" w:h="16838" w:orient="portrait"/>
          <w:cols w:equalWidth="0" w:num="1">
            <w:col w:w="9920"/>
          </w:cols>
          <w:pgMar w:left="980" w:top="513" w:right="99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38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38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53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4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Borders>
              <w:bottom w:val="single" w:sz="8" w:color="auto"/>
            </w:tcBorders>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9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(564,741)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563,793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59,471.8</w:t>
            </w:r>
          </w:p>
        </w:tc>
      </w:tr>
      <w:tr>
        <w:trPr>
          <w:trHeight w:val="22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231F20"/>
              </w:rPr>
              <w:t>(12,086)</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91.8</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(576,827)</w:t>
            </w: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(7,250)</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569,577</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7,856.2</w:t>
            </w:r>
          </w:p>
        </w:tc>
      </w:tr>
      <w:tr>
        <w:trPr>
          <w:trHeight w:val="20"/>
        </w:trPr>
        <w:tc>
          <w:tcPr>
            <w:tcW w:w="5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cost of revenues increased by US$</w:t>
      </w:r>
      <w:r>
        <w:rPr>
          <w:rFonts w:ascii="Times New Roman" w:cs="Times New Roman" w:eastAsia="Times New Roman" w:hAnsi="Times New Roman"/>
          <w:sz w:val="18"/>
          <w:szCs w:val="18"/>
          <w:color w:val="231F20"/>
        </w:rPr>
        <w:t>569.6</w:t>
      </w:r>
      <w:r>
        <w:rPr>
          <w:rFonts w:ascii="Times New Roman" w:cs="Times New Roman" w:eastAsia="Times New Roman" w:hAnsi="Times New Roman"/>
          <w:sz w:val="18"/>
          <w:szCs w:val="18"/>
          <w:color w:val="auto"/>
        </w:rPr>
        <w:t xml:space="preserve"> million from US$7.3 million for the year ended December 31, 2022 to US$</w:t>
      </w:r>
      <w:r>
        <w:rPr>
          <w:rFonts w:ascii="Times New Roman" w:cs="Times New Roman" w:eastAsia="Times New Roman" w:hAnsi="Times New Roman"/>
          <w:sz w:val="18"/>
          <w:szCs w:val="18"/>
          <w:color w:val="231F20"/>
        </w:rPr>
        <w:t>576.8</w:t>
      </w:r>
      <w:r>
        <w:rPr>
          <w:rFonts w:ascii="Times New Roman" w:cs="Times New Roman" w:eastAsia="Times New Roman" w:hAnsi="Times New Roman"/>
          <w:sz w:val="18"/>
          <w:szCs w:val="18"/>
          <w:color w:val="auto"/>
        </w:rPr>
        <w:t xml:space="preserve"> million for the year ended December 31, 2023. </w:t>
      </w:r>
      <w:r>
        <w:rPr>
          <w:rFonts w:ascii="Times New Roman" w:cs="Times New Roman" w:eastAsia="Times New Roman" w:hAnsi="Times New Roman"/>
          <w:sz w:val="18"/>
          <w:szCs w:val="18"/>
          <w:color w:val="231F20"/>
        </w:rPr>
        <w:t>The increase in cost of revenues was primarily due to the increased revenues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vehicle sales. The increase was attributable to the increase in cost of sales from vehicle products of US$553.0 million, auto parts and peripheral products of US$10.8 million, and automotive design and development services provided to OEM customers of US$5.8 million</w:t>
      </w:r>
      <w:r>
        <w:rPr>
          <w:rFonts w:ascii="Times New Roman" w:cs="Times New Roman" w:eastAsia="Times New Roman" w:hAnsi="Times New Roman"/>
          <w:sz w:val="18"/>
          <w:szCs w:val="18"/>
          <w:color w:val="000000"/>
        </w:rPr>
        <w: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53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4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9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102,181</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20"/>
                <w:szCs w:val="20"/>
                <w:color w:val="auto"/>
              </w:rPr>
            </w:pPr>
          </w:p>
        </w:tc>
        <w:tc>
          <w:tcPr>
            <w:tcW w:w="14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foregoing, our gross profits increased from US$2.3 million for the year ended December 31, 2022 to US$102.2 million for the year ended December 31, 2023 and our gross margin decreased from 24.1% for the year ended December 31, 2022 to 15.0% for the year ended December 31, 2023. The increased gross profit was primarily due to the ramp up of sales volume of BEV lifestyle models and the distribution of Lotus-brand sports cars. The decreased gross margin was primarily due to the ramp up of sales of vehicles with lower gross margins than those of the services provided by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38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38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53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4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9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(368,729)</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(445,844)</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(77,115)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(328,935)</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(151,331)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177,604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30"/>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(144,533)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(148,369)</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grants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55,824</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(51,747)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(838,120)</w:t>
            </w: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(689,720)</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148,400</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r>
      <w:tr>
        <w:trPr>
          <w:trHeight w:val="20"/>
        </w:trPr>
        <w:tc>
          <w:tcPr>
            <w:tcW w:w="5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Our research and development expenses decreased by US$77.1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US$445.8 million for the year ended December 31, 2022 to US$368.7 million for the year ended December 31, 2023 primarily due to </w:t>
      </w:r>
      <w:r>
        <w:rPr>
          <w:rFonts w:ascii="Times New Roman" w:cs="Times New Roman" w:eastAsia="Times New Roman" w:hAnsi="Times New Roman"/>
          <w:sz w:val="18"/>
          <w:szCs w:val="18"/>
          <w:color w:val="231F20"/>
        </w:rPr>
        <w:t>phase down of R&amp;D activities for the Eletre and Emeya models</w:t>
      </w:r>
      <w:r>
        <w:rPr>
          <w:rFonts w:ascii="Times New Roman" w:cs="Times New Roman" w:eastAsia="Times New Roman" w:hAnsi="Times New Roman"/>
          <w:sz w:val="18"/>
          <w:szCs w:val="18"/>
          <w:color w:val="000000"/>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Selling and marketing expenses</w:t>
      </w:r>
      <w:r>
        <w:rPr>
          <w:rFonts w:ascii="Times New Roman" w:cs="Times New Roman" w:eastAsia="Times New Roman" w:hAnsi="Times New Roman"/>
          <w:sz w:val="18"/>
          <w:szCs w:val="18"/>
          <w:color w:val="auto"/>
        </w:rPr>
        <w:t>. Our selling and marketing expenses increased by US$</w:t>
      </w:r>
      <w:r>
        <w:rPr>
          <w:rFonts w:ascii="Times New Roman" w:cs="Times New Roman" w:eastAsia="Times New Roman" w:hAnsi="Times New Roman"/>
          <w:sz w:val="18"/>
          <w:szCs w:val="18"/>
          <w:color w:val="231F20"/>
        </w:rPr>
        <w:t>177.6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US$151.3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2022 to US$</w:t>
      </w:r>
      <w:r>
        <w:rPr>
          <w:rFonts w:ascii="Times New Roman" w:cs="Times New Roman" w:eastAsia="Times New Roman" w:hAnsi="Times New Roman"/>
          <w:sz w:val="18"/>
          <w:szCs w:val="18"/>
          <w:color w:val="231F20"/>
        </w:rPr>
        <w:t>328.9</w:t>
      </w:r>
      <w:r>
        <w:rPr>
          <w:rFonts w:ascii="Times New Roman" w:cs="Times New Roman" w:eastAsia="Times New Roman" w:hAnsi="Times New Roman"/>
          <w:sz w:val="18"/>
          <w:szCs w:val="18"/>
          <w:color w:val="auto"/>
        </w:rPr>
        <w:t xml:space="preserve"> million for the year ended December 31, 2023, primarily due to (i) </w:t>
      </w:r>
      <w:r>
        <w:rPr>
          <w:rFonts w:ascii="Times New Roman" w:cs="Times New Roman" w:eastAsia="Times New Roman" w:hAnsi="Times New Roman"/>
          <w:sz w:val="18"/>
          <w:szCs w:val="18"/>
          <w:color w:val="231F20"/>
        </w:rPr>
        <w:t>the</w:t>
      </w:r>
      <w:r>
        <w:rPr>
          <w:rFonts w:ascii="Times New Roman" w:cs="Times New Roman" w:eastAsia="Times New Roman" w:hAnsi="Times New Roman"/>
          <w:sz w:val="18"/>
          <w:szCs w:val="18"/>
          <w:color w:val="auto"/>
        </w:rPr>
        <w:t xml:space="preserve"> increase in labor costs and other expenses accompanying the expansion of our global sales in 2023 of US$94.7 million, (ii) the </w:t>
      </w:r>
      <w:r>
        <w:rPr>
          <w:rFonts w:ascii="Times New Roman" w:cs="Times New Roman" w:eastAsia="Times New Roman" w:hAnsi="Times New Roman"/>
          <w:sz w:val="18"/>
          <w:szCs w:val="18"/>
          <w:color w:val="231F20"/>
        </w:rPr>
        <w:t>increase in marketing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advertising expenses of US$60.7 million; </w:t>
      </w:r>
      <w:r>
        <w:rPr>
          <w:rFonts w:ascii="Times New Roman" w:cs="Times New Roman" w:eastAsia="Times New Roman" w:hAnsi="Times New Roman"/>
          <w:sz w:val="18"/>
          <w:szCs w:val="18"/>
          <w:color w:val="000000"/>
        </w:rPr>
        <w:t>and (iii) the increase in depreciation of US$22.2 million.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decreased by US$3.8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US$148.4 million for the year ended December 31, 2022 to US$144.5 million for the year ended December 31, 2023, </w:t>
      </w:r>
      <w:r>
        <w:rPr>
          <w:rFonts w:ascii="Times New Roman" w:cs="Times New Roman" w:eastAsia="Times New Roman" w:hAnsi="Times New Roman"/>
          <w:sz w:val="18"/>
          <w:szCs w:val="18"/>
          <w:color w:val="231F20"/>
        </w:rPr>
        <w:t>primarily due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the impact of share-based compensation expense of US$10.6 million in 2022, partially offset by the increase in depreciation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amortization expenses </w:t>
      </w:r>
      <w:r>
        <w:rPr>
          <w:rFonts w:ascii="Times New Roman" w:cs="Times New Roman" w:eastAsia="Times New Roman" w:hAnsi="Times New Roman"/>
          <w:sz w:val="18"/>
          <w:szCs w:val="18"/>
          <w:color w:val="231F20"/>
        </w:rPr>
        <w:t>of US$7.0 million</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Government grants</w:t>
      </w:r>
      <w:r>
        <w:rPr>
          <w:rFonts w:ascii="Times New Roman" w:cs="Times New Roman" w:eastAsia="Times New Roman" w:hAnsi="Times New Roman"/>
          <w:sz w:val="18"/>
          <w:szCs w:val="18"/>
          <w:color w:val="auto"/>
        </w:rPr>
        <w:t>. Our government grants income decreased by US$51.7 million from US$55.8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December 31, 2022 to US$4.1 million for the year ended December 31, 2023, </w:t>
      </w:r>
      <w:r>
        <w:rPr>
          <w:rFonts w:ascii="Times New Roman" w:cs="Times New Roman" w:eastAsia="Times New Roman" w:hAnsi="Times New Roman"/>
          <w:sz w:val="18"/>
          <w:szCs w:val="18"/>
          <w:color w:val="231F20"/>
        </w:rPr>
        <w:t>primarily due to</w:t>
      </w:r>
      <w:r>
        <w:rPr>
          <w:rFonts w:ascii="Times New Roman" w:cs="Times New Roman" w:eastAsia="Times New Roman" w:hAnsi="Times New Roman"/>
          <w:sz w:val="18"/>
          <w:szCs w:val="18"/>
          <w:color w:val="auto"/>
        </w:rPr>
        <w:t xml:space="preserve"> the decrease in amortization of deferred income relating to government grants of US$55.0 million received in 2018. During the years ended December 31, 2023 and 2022, we received government grants of US$4.1 million and US$0.9 million with no future related costs required.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we had a loss from operations of US$</w:t>
      </w:r>
      <w:r>
        <w:rPr>
          <w:rFonts w:ascii="Times New Roman" w:cs="Times New Roman" w:eastAsia="Times New Roman" w:hAnsi="Times New Roman"/>
          <w:sz w:val="18"/>
          <w:szCs w:val="18"/>
          <w:color w:val="231F20"/>
        </w:rPr>
        <w:t>735.9</w:t>
      </w:r>
      <w:r>
        <w:rPr>
          <w:rFonts w:ascii="Times New Roman" w:cs="Times New Roman" w:eastAsia="Times New Roman" w:hAnsi="Times New Roman"/>
          <w:sz w:val="18"/>
          <w:szCs w:val="18"/>
          <w:color w:val="auto"/>
        </w:rPr>
        <w:t xml:space="preserve"> million for the year ended December 31, 2023, in comparison with a loss from operations of US$</w:t>
      </w:r>
      <w:r>
        <w:rPr>
          <w:rFonts w:ascii="Times New Roman" w:cs="Times New Roman" w:eastAsia="Times New Roman" w:hAnsi="Times New Roman"/>
          <w:sz w:val="18"/>
          <w:szCs w:val="18"/>
          <w:color w:val="231F20"/>
        </w:rPr>
        <w:t>687.4</w:t>
      </w:r>
      <w:r>
        <w:rPr>
          <w:rFonts w:ascii="Times New Roman" w:cs="Times New Roman" w:eastAsia="Times New Roman" w:hAnsi="Times New Roman"/>
          <w:sz w:val="18"/>
          <w:szCs w:val="18"/>
          <w:color w:val="auto"/>
        </w:rPr>
        <w:t xml:space="preserve"> million for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expenses</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interest expenses increased by US$1.7 million from US$8.5 million for the year ended December 31, 2022 to US$10.2 million for the year ended December 31, 2023, primarily due to the increase in bank loan borrowings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Our interest income decreased by US$3.0 million from US$12.2 million for the year ended December 31, 2022 to US$9.2 million for the year ended December 31, 2023, </w:t>
      </w:r>
      <w:r>
        <w:rPr>
          <w:rFonts w:ascii="Times New Roman" w:cs="Times New Roman" w:eastAsia="Times New Roman" w:hAnsi="Times New Roman"/>
          <w:sz w:val="18"/>
          <w:szCs w:val="18"/>
          <w:color w:val="231F20"/>
        </w:rPr>
        <w:t>primarily due to the decrease in interest income arising from bank deposits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loss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recorded investment loss of US$1.2 million for the year ended December 31, 2023, compared to an investment loss of US$3.2 million for the year ended December 31, 2022. The loss during the year ended December 31, 2023 was primarily due to the net-off effect of investment income from disposal of a subsidiary of US$3.8 million and loss on investment in equity securities of US$5.0 million. The loss during the year ended December 31, 2022 was primarily due to the loss on fair value change of the foreign exchange forwards of US$2.7 million that were used to manage market risk associated with exposure to fluctuations in foreign currency rates and the loss on investment in equity securities of US$1.5 million, which were partially offset by the investment income of US$1.0 million from structured deposits.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results of equity method investments</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recorded losses in share of results of equity method investments of US$1.0 million for the year ended December 31, 2023 due to the share of loss from our equity method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gains (losses), net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recorded net foreign currency exchange gains of US$0.04 million for the year ended December 31, 2023, compared to losses of US$11.5 million for the year ended December 31, 2022. The net change in foreign currency exchange losses was primarily attributable to fluctuations in exchange rates between U.S. dollar and RMB, as well as GBP and RMB.</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fair values of mandatorily redeemable noncontrolling interest, exchangeable notes and convertible notes, excluding impact of instrument-specific credit risk</w:t>
      </w:r>
    </w:p>
    <w:p>
      <w:pPr>
        <w:spacing w:after="0" w:line="14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losses in changes in fair value of US$7.5 million for the year ended December 31, 2023, primarily due to the recognition of losses from changes in fair value of mandatorily redeemable noncontrolling interest of US$0.1 million, exchangeable notes of US$4.4 million and convertible notes of US$3.0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values of put option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recorded loss in changes in fair values of put option liabilities of US$2.5 million for the year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before income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foregoing, our loss before income taxes for the year ended December 31, 2023 was US$749.1 million, increased by US$24.9 million from US$724.3 million for the year ended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Some of our subsidiaries are subject to income tax for their taxable income in 2023. The effective income tax rate for the years ended December 31, 2023 and 2022 was </w:t>
      </w:r>
      <w:r>
        <w:rPr>
          <w:rFonts w:ascii="Times New Roman" w:cs="Times New Roman" w:eastAsia="Times New Roman" w:hAnsi="Times New Roman"/>
          <w:sz w:val="18"/>
          <w:szCs w:val="18"/>
          <w:color w:val="231F20"/>
        </w:rPr>
        <w:t>negative 0.15</w:t>
      </w:r>
      <w:r>
        <w:rPr>
          <w:rFonts w:ascii="Times New Roman" w:cs="Times New Roman" w:eastAsia="Times New Roman" w:hAnsi="Times New Roman"/>
          <w:sz w:val="18"/>
          <w:szCs w:val="18"/>
          <w:color w:val="auto"/>
        </w:rPr>
        <w:t>% and negative 0.04%, respectively. The effective income tax rate for the years ended December 31, 2023 and 2022 differs from the applicable statutory income tax rate, primarily due to the recognition of full valuation allowance for deferred income tax assets of loss-making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loss increased by US$25.7 million from US$724.6 million for the year ended December 31, 2022 to US$750.3 million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Year Ended December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53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4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9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of goods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1,186</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221.4</w:t>
            </w:r>
          </w:p>
        </w:tc>
      </w:tr>
      <w:tr>
        <w:trPr>
          <w:trHeight w:val="229"/>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Vehicles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30"/>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Service revenues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8,371</w:t>
            </w: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3,318</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5,053</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152.3</w:t>
            </w:r>
          </w:p>
        </w:tc>
      </w:tr>
      <w:tr>
        <w:trPr>
          <w:trHeight w:val="223"/>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9,557</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3,687</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5,870</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159.2</w:t>
            </w:r>
          </w:p>
        </w:tc>
      </w:tr>
      <w:tr>
        <w:trPr>
          <w:trHeight w:val="20"/>
        </w:trPr>
        <w:tc>
          <w:tcPr>
            <w:tcW w:w="5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total revenues increased by US$5.9 million from US$3.7 million for the year ended December 31, 2021 to US$9.6 million for the year ended December 31, 2022, primarily due to sales from the distribution of historical Lotus-brand sports cars, auto parts, and peripheral products, automotive design and development services provided to Geely Holding.</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Sales of goods</w:t>
      </w:r>
      <w:r>
        <w:rPr>
          <w:rFonts w:ascii="Times New Roman" w:cs="Times New Roman" w:eastAsia="Times New Roman" w:hAnsi="Times New Roman"/>
          <w:sz w:val="18"/>
          <w:szCs w:val="18"/>
          <w:color w:val="auto"/>
        </w:rPr>
        <w:t>. Our sales of goods revenue increased by US$0.8 million from US$0.4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to US$1.2 million for the year ended December 31, 2022, primarily due to the increase in sales from the distribution of historical Lotus-brand sports cars of US$0.4 million, and auto parts and peripheral products of US$0.4 million.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Our service revenue increased by US$5.1 million from US$3.3 million for the year ended December 31,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US$8.4 million for the year ended December 31, 2022, primarily due to increase in automotive design and development services provided to Geely Holding.</w:t>
      </w:r>
    </w:p>
    <w:p>
      <w:pPr>
        <w:sectPr>
          <w:pgSz w:w="11900" w:h="16838" w:orient="portrait"/>
          <w:cols w:equalWidth="0" w:num="1">
            <w:col w:w="9920"/>
          </w:cols>
          <w:pgMar w:left="980" w:top="513" w:right="99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38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38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53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4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9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r>
      <w:tr>
        <w:trPr>
          <w:trHeight w:val="229"/>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(6,302)</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(7,250)</w:t>
            </w: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(3,130)</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4,120</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w:t>
            </w:r>
          </w:p>
        </w:tc>
      </w:tr>
      <w:tr>
        <w:trPr>
          <w:trHeight w:val="20"/>
        </w:trPr>
        <w:tc>
          <w:tcPr>
            <w:tcW w:w="5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cost of revenues increased by US$4.1 million from US $3.1 million for the year ended December 31, 2021 to US$7.3 million for the year ended December 31, 2022. The increase in cost of revenues was primarily due to the increased revenues. The increase was primarily attributable to the increase in cost of sales from the distribution of historical Lotus-brand sports cars of US$0.4 million, auto parts and peripheral products of US$0.2 million, and automotive design and development services provided to Geely Holding of US$3.3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53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4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9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20"/>
                <w:szCs w:val="20"/>
                <w:color w:val="auto"/>
              </w:rPr>
            </w:pPr>
          </w:p>
        </w:tc>
        <w:tc>
          <w:tcPr>
            <w:tcW w:w="14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foregoing, our gross profits increased from US$0.6 million for the year ended December 31, 2021 to US$2.3 million for the year ended December 31, 2022 and our gross margins increased from 15.1% for the year ended December 31, 2021 to 24.1% for the year ended December 31, 2022. The increased gross profit and gross margin was primarily due to the increased design services revenue with higher gross profit margin.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38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38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53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4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9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(445,844)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(511,364)</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(65,520)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(151,331)</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(38,066)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113,265</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r>
      <w:tr>
        <w:trPr>
          <w:trHeight w:val="230"/>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(148,369)</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(54,763)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r>
      <w:tr>
        <w:trPr>
          <w:trHeight w:val="230"/>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grants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55,824</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490,694</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(434,870)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(689,720)</w:t>
            </w: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(113,499)</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576,221</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507.7</w:t>
            </w:r>
          </w:p>
        </w:tc>
      </w:tr>
      <w:tr>
        <w:trPr>
          <w:trHeight w:val="20"/>
        </w:trPr>
        <w:tc>
          <w:tcPr>
            <w:tcW w:w="5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Our research and development expenses decreased by US$65.5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US$511.4 million for the year ended December 31, 2021 to US$445.8 million for the year ended December 31, 2022 primarily due to the fact that we incurred R&amp;D expenses relating to the Geely License of US$288.9 million during the year ended December 31, 2021, and no such expenses were incurred during the year ended December 31, 2022. The impact was partially offset by the increase of outsourced R&amp;D service costs of US$143.7 million, R&amp;D materials of US$39.3 million, R&amp;D labor costs of US$21.1 million and IT service fees of US$8.0 million.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Selling and marketing expenses</w:t>
      </w:r>
      <w:r>
        <w:rPr>
          <w:rFonts w:ascii="Times New Roman" w:cs="Times New Roman" w:eastAsia="Times New Roman" w:hAnsi="Times New Roman"/>
          <w:sz w:val="18"/>
          <w:szCs w:val="18"/>
          <w:color w:val="auto"/>
        </w:rPr>
        <w:t>. Our selling and marketing expenses increased by US$113.3 million from US$38.1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2021 to US$151.3 million for the year ended December 31, 2022, primarily due to increase in sales personnel and therefore the associated labor costs of US$16.9 million, increase in depreciation related to show cars and leased sales stores of US$12.3 million and increase in advertising costs of US$69.2 million related to the introduction of new vehicle models, such as Eletre.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increased by US$93.6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US$54.8 million for the year ended December 31, 2021 to US$148.4 million for the year ended December 31, 2022, primarily due to our enhanced business operation functionalities and their associated increase in labor costs of US$45.1 million, depreciation related to leased offices of US$10.2 million, increased IT service costs of US$7.4 million, outsourced labor service cost of US$8.4 million and professional services fees of US$4.5 million, which is in line with our business growth. In addition, we incurred share-based compensation of US$10.6 million for the year ended December 31, 2022.</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Government grants</w:t>
      </w:r>
      <w:r>
        <w:rPr>
          <w:rFonts w:ascii="Times New Roman" w:cs="Times New Roman" w:eastAsia="Times New Roman" w:hAnsi="Times New Roman"/>
          <w:sz w:val="18"/>
          <w:szCs w:val="18"/>
          <w:color w:val="auto"/>
        </w:rPr>
        <w:t>. Our government grants income decreased by US$434.9 million from US$490.7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2021 to US$55.8 million for the year ended December 31, 2022, primarily due to the decreased amortization of deferred income relating to government grants of US$435.5 million, partially offset by the increase in government grants of US$0.6 million with no future related costs required. With respect to the decreased amortization of deferred income relating to government grants, in 2018, we received a specific subsidy of US$755.6 million relating to the our future incurred R&amp;D expenditures. During the years ended December 31, 2022 and 2021, we recognized government grants of US$55.0 million and US$490.5 million, respectively, for the R&amp;D expenses incurred under this subsidy.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we had a loss from operations of US$687.4 million for the year ended December 31, 2022, in comparison with a loss from operations of US$112.9 million for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interest expenses increased by US$4.9 million from US$3.6 million for the year ended December 31, 2021 to US$8.5 million for the year ended December 31, 2022, primarily due to the increase of the fair value of the guarantees and additional features provided by Founders Onshore Vehicle for the exchangeable notes of US$4.7 million, which was treated as debt issuance cost and charged to the interest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interest income increased by US$6.0 million from US$6.2 million for the year ended December 31, 2021 to US$12.2 million for the year ended December 31, 2022, all due to increase in interest income arising from bank deposits.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 (loss), net</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recorded investment income of US$2.2 million for the year ended December 31, 2021, compared to investment loss of US$3.2 million for the year ended December 31, 2022. The loss during the year ended December 31, 2022 was primarily due to the loss on fair value change of the foreign exchange forwards of US$2.7 million that were used to manage market risk associated with exposure to fluctuations in foreign currency rates and the loss on investment in ECARX Holdings Inc. of US$1.5 million, which were partially offset by the investment income of US$1.0 million from structured deposits. During the year ended December 31, 2021, we incurred the gain on fair value change of the foreign exchange forwards of US$2.2 million that were used to manage market risk associated with exposure to fluctuations in foreign currency rates.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results of equity method investments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recorded losses in share of results of equity method investments of US$2.8 million for the year ended December 31, 2022, primarily due to losses of three associate companies we newly invested in 2022, calculated using the equity method.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gains (losses), net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recorded foreign currency exchange gains of US$0.8 million for the year ended December 31, 2021, compared to losses of US$11.5 million for the year ended December 31, 2022. The net change in foreign currency exchange losses was primarily attributable to fluctuations in exchange rates between U.S. dollar and RMB.</w:t>
      </w:r>
    </w:p>
    <w:p>
      <w:pPr>
        <w:spacing w:after="0" w:line="17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fair values of mandatorily redeemable noncontrolling interest, exchangeable notes and convertible notes, excluding impact of instrument-specific credit risk</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losses in changes in fair value of US$23.0 million for the year ended December 31, 2022, primarily due to the recognition of losses from changes in fair value of mandatorily redeemable noncontrolling interest of US$5.6 million, exchangeable notes of US$13.2 million and convertible notes of US$4.3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before income taxes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Primarily as a result of the foregoing, our loss before income taxes for the year ended December 31, 2022 was US$724.3 million, increased by US$615.6 million from US$108.7 million for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years ended December 31, 2022 and 2021 was negative 0.04% and negative 1.71%, respectively. The effective income tax rate for the years ended December 31, 2022 and 2021 differs from the PRC statutory income tax rate of 25%, primarily due to the recognition of full valuation allowance for deferred income tax assets of loss-making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loss increased by US$614.1 million from US$110.5 million for the year ended December 31, 2021 to US$724.6 million for the year ended December 31, 2022.</w:t>
      </w:r>
    </w:p>
    <w:p>
      <w:pPr>
        <w:spacing w:after="0" w:line="158"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60" w:type="dxa"/>
            <w:vAlign w:val="bottom"/>
            <w:tcBorders>
              <w:bottom w:val="single" w:sz="8" w:color="auto"/>
            </w:tcBorders>
            <w:gridSpan w:val="5"/>
          </w:tcPr>
          <w:p>
            <w:pPr>
              <w:jc w:val="center"/>
              <w:ind w:left="70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Consolidated and Combined Cash Flow Data</w:t>
            </w:r>
          </w:p>
        </w:tc>
        <w:tc>
          <w:tcPr>
            <w:tcW w:w="1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(386,932)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(351,419)</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(197,985)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(149,414)</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284,708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758,131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restricted cash</w:t>
            </w:r>
          </w:p>
        </w:tc>
        <w:tc>
          <w:tcPr>
            <w:tcW w:w="2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231F20"/>
              </w:rPr>
              <w:t>(12,189)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(49,217)</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restricted cash</w:t>
            </w:r>
          </w:p>
        </w:tc>
        <w:tc>
          <w:tcPr>
            <w:tcW w:w="15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(312,398)</w:t>
            </w:r>
          </w:p>
        </w:tc>
        <w:tc>
          <w:tcPr>
            <w:tcW w:w="24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208,081</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at the beginning of the year</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739,533</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531,452</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the end of the year</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427,135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739,533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52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136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5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5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date, we have financed our operating and investing activities primarily through cash generated by bank loans and equity financing activities and capital contributions from our shareholders, including through the issuance of redeemable convertible preferred shares, exchangeable notes, convertible notes and related party borrowings. We had cash and restricted cash of US$427.1 million, US$739.5 million and US$531.5 million as of December 31, 2023, 2022 and 2021, respectively. Cash and restricted cash from continuing operations comprise cash at bank and on hand and deposits made to banks to secure bank acceptance notes, a letter of guarantee, and deposits made to landlords for certain long-term leases.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holders of 20,518,519 LCAA Public Shares exercised their right to redeem their shares for cash at a redemption price of US$10.86 per share, for an aggregate redemption amount of US$222.8 million, representing approximately 94.2 % of the total LCAA Class A Ordinary Shares then outstanding. We raised gross cash proceeds of approximately US$895.7 million in connection with the Business Combination, including US$858.5 million from PIPE investors.</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will require additional liquidity to continue our operations over the next 12 months. We are evaluating strategies to obtain the required additional funding for future operations. These strategies may include, but are not limited to obtaining additional loans from banks or related parties and renewal of existing loans when they are due and improving operational efficiency to grow revenues and control expenses. We may also seek additional equity or debt financing in the future to satisfy capital requirements, respond to adverse developments or changes in our circumstances or unforeseen events or conditions, or fund organic or inorganic growth. We cannot assure you that financing will be available in amounts or on terms acceptable to us, if at all. In the event that additional financing is required from third party sources, we may not be able to raise it on acceptable terms or at all. See “Item 3. Key Information—D. Risk Factors— Risks Relating to Our Business and Industry—We have not been profitable and had negative net cash flows from operations. If we do not effectively manage our cash and other liquid financial assets, execute our plan to increase profitability and obtain additional financing, we may not be able to continue as a going concern ” and “Item 3. Key Information—D. Risk Factors—Risks Relating to Our Business and Industry—Our business plans require a significant amount of capital. In addition, our future capital needs may require us to obtain additional equity or debt financing that may dilute our shareholders or introduce covenants that may restrict our operations or our ability to pay dividends.”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2023, we entered into a share subscription agreement with Meritz, pursuant to which we issued 50,000,000 Ordinary Shares to Meritz at an aggregate subscription price equal to $500,000,000. We deposited into a restricted securities account consisting of (i) certain U.S. treasury bonds with an aggregate outstanding principal amount of $325,000,000 and (ii) certain U.S. treasury bonds and/or U.S. treasury bills with a par amount of US$189,612,700. Meritz was granted a put option to sell all or part of its subscribed ordinary shares to us at a price that reflects a 12.5% internal rate of return upon the occurrence of certain triggering events. We were granted call options to purchase up to an agreed number of Meritz’s subscribed ordinary shares from Meritz at a per share price that is not lower than $14.00, subject to satisfaction of certain conditions.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April 2023, we entered into a convertible note purchase agreement with Momenta Global Limited, pursuant to which we agreed to issue to Momenta Global Limited a convertible note denominated in the U.S. dollars in the principal amount of the U.S. dollar equivalent of RMB 80,000,000 due to mature on May 30, 2024. This note was issued in May 2023 following our acquisition of Momenta’s 40% equity interest in Ningbo Robotics. On November 11, 2023, LTC exercised the voluntary redemption right under the note purchase agreement to redeem 50% of the principal amount of the convertible note. LTC subsequently issued to Momenta Global Limited a new convertible note in the principal amount of US$5,648,281.51 upon surrender of the original convertible note. On February 22, 2024, this note was automatically converted into 577,456 Ordinary Shares.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and subsequent to March 2023, we entered into convertible note purchase agreements with certain investors, pursuant to which we issued unsecured convertible notes in an aggregate principal amount of US$23.5 million, each with the maturity date being the date that is one year following the issue date, which can be extended by the respective investor for an additional six months. On February 22, 2024, these convertible notes were automatically converted into a total of 2,433,912 Ordinary Shares.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2023, we issued put options to each of Geely HK and Etika at nil consideration. Pursuant to the put option agreements, each of Geely HK and Etika will have an option to require us to purchase the equity interests held by Geely HK and Etika in Lotus Advance Technologies Sdn Bhd, the immediate parent of LGIL, between April 1, 2025 and June 30, 2025, at a pre-agreed price. The exercise price will be settled with Ordinary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2022, the former VIE’s subsidiary, Hangzhou Lightning Speed Technology Co., Ltd., or Lightning Speed, entered into an exchangeable note agreement with an investor. Pursuant to the agreement, Lightning Speed is entitled to issue exchangeable notes to obtain financing from the investor. Each tranche of the exchangeable notes is scheduled to mature on the five-year anniversary date of issuance. With the consent of the investor, each tranche of the exchangeable notes is eligible for two extensions and each extension shall not exceed one year. Subject to further agreement by both parties, the investor is entitled to convert the whole or any portion of the outstanding principal amount of the exchangeable notes into the shares of Lightning Speed at the conversion date. In December 2022, Lightning Speed issued the first tranche of exchangeable notes with the principal amount of RMB500,000,000 to the investor.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2022, our subsidiary, Ningbo Robotics, issued a seven-year convertible note to an investor, who is entitled to receive annual interest on June 30 every year until the expiration of the convertible note. This note is convertible into the equity interest of Ningbo Robotics.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November 2021, we entered into one-year convertible notes with an investor, which was converted into redeemable convertible preferred shares in February 2022.</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September 2021, our WFOE entered into an exchangeable note agreement with an investor. Pursuant to the agreement, our WFOE is entitled to issue, from time to time, exchangeable notes to obtain financing from the investor. Each tranche of exchangeable notes is scheduled to mature on the one-year anniversary date of issuance. Also, upon the notification in writing by us, the investor is entitled to convert the whole or any portion of the outstanding principal amount of the exchangeable notes into the shares of the subsequent round of equity financing at the post-money equity valuation based on a fixed monetary amount. In April 2023, we entered into a subscription agreement with the investor, pursuant to which the investor has committed to subscribe for and purchase Ordinary Shares, which will be settled by the then outstanding principal amount of the exchangeable notes, subject to the satisfaction or waiver of certain customary closing conditions of the respective parties. In connection with the Business Combination, 36,597,038 ordinary shares were issued to WFOE Exchangeable Notes Holder following the settlement of the outstanding principal amount of the WFOE Exchangeable Notes to WFOE Exchangeable Notes Holder.</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Part of our revenues have been, and are expected to continue to be, denominated in RMB. Under existing foreign exchange regulations in mainland China,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competent government authorities is required where the RMB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For the year ended December 31, 2023, net cash used in operating activities was US$386.9 million. The difference between our net cash used in operating activities and our net loss of US$750.3 million for the same period from continuing operations was attributable to certain non-cash items, primarily consisting of depreciation of US$55.0 million, and certain changes in working capital accounts, primarily consisting of (i) increase in accounts payable due to related parties of US$335.3 million primarily attributable to the increase in purchase of BEV lifestyle models and Lotus-brand sports cars, (ii) increase in inventories of US$235.1 million primarily attributable to the increase of vehicles available for sale and time required for international shipment and clearance for vehicles to be sold globally, (iii) increase in accrued expenses and other current liabilities due to third parties of US$124.1 million primarily attributable to the increased salary payables and refundable deposits from customers, (iv) increase in accrued expenses and other current liabilities due to related parties of US$89.9 million primarily attributable to the acquisition of the distribution right and the increase of outsourced R&amp;D services,</w:t>
      </w:r>
    </w:p>
    <w:p>
      <w:pPr>
        <w:spacing w:after="0" w:line="1" w:lineRule="exact"/>
        <w:rPr>
          <w:sz w:val="20"/>
          <w:szCs w:val="20"/>
          <w:color w:val="auto"/>
        </w:rPr>
      </w:pPr>
    </w:p>
    <w:p>
      <w:pPr>
        <w:jc w:val="both"/>
        <w:ind w:firstLine="8"/>
        <w:spacing w:after="0" w:line="255" w:lineRule="auto"/>
        <w:tabs>
          <w:tab w:leader="none" w:pos="25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other non-current liabilities due to third parties of US$81.7 million primarily attributable to the conditional and refundable government grants received, and (vi) increase in accounts receivable due from third parties of US$75.3 million primarily attributable to the increase of sales of BEV lifestyle models and Lotus-brand sports cars to third-party distributors.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2022, net cash used in operating activities was US$351.4 million. The difference between our net cash used in operating activities and our net loss of US$724.6 million for the same year from continuing operations was attributable to certain non-cash items, primarily consisting of amortization of deferred income relating to government grants of US$55.0 million, and certain changes in certain working capital accounts that increase operating cash flows, primarily consisting of (i) decrease in prepayments and other current assets due from related parties of US$405.2 million primarily attributable to the refund of US$427.2 million from Zhejiang Liankong Technologies Co., Ltd, a subsidiary of Geely Holding, relating to the Geely License, (ii) decrease in accrued expenses and other current liabilities due to related parties of US$201.1 million primarily attributable to the settlement of payroll and consumable materials for R&amp;D expenditures incurred in the Lotus BEV business unit of Ningbo Geely R&amp;D and R&amp;D support service fee due to Ningbo Geely R&amp;D, and (iii) increase in accrued expenses and other current liabilities due to third parties of US$145.9 million primarily attributable to the increased accrued payroll and payable for other operating expenditures in line with the expansion of our business.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2021, net cash used in operating activities was US$126.5 million. The difference between our net cash used in operating activities and our net loss of US$110.5 million for the same year from continuing operations was attributable to certain non-cash items, primarily consisting of amortization of deferred income relating to government grants of US$490.5 million, and certain changes in working capital accounts that increase operating cash flows, primarily consisting of (i) increase in accrued expenses and other current liabilities due to related parties of US$401.3 million primarily attributable to the increase in the payroll and consumable materials for R&amp;D expenditures incurred in the Lotus BEV business unit of Ningbo Geely R&amp;D and R&amp;D support service fee due to Ningbo Geely R&amp;D, (ii) increase in accrued expenses and other current liabilities due to third parties of US$84.7 million due to the increased accrued payroll and payable for other operating expenditures, (iii) decrease in prepayments and other current assets due from related parties of US$83.2 million primarily attributable to the refund of R&amp;D service fees from Ningbo Geely R&amp;D, and (iv) decrease in operating lease liabilities of US$55.4 million primarily attributable to prepaid land use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net cash used in investing activities was US$198.0 million, which was mainly attributable to (i) payments for purchases of property, equipment and software and intangible assets of US$213.7 million, (ii) payments for purchases of short-term investments of US$38.3 million, (iii) proceeds from sales of short-term investments of US$37.4 million, and (iv) receipts of government grants related to assets of US$16.3 million.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net cash used in investing activities was US$149.4 million, which was mainly attributable to (i) payments for purchases of short-term investments of US$300.7 million, (ii) proceeds from sales of short-term investments of US$289.6 million, and (iii) payments for purchases of property, equipment and software and intangible assets of US$133.3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net cash provided by investing activities was US$244.5 million, which was mainly attributable to (i) receipt of government grant related to assets of US$279.1 million, and (ii) payments for purchases of property, equipment and software and intangible assets of US$34.6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2023, net cash provided by financing activities was US$284.7 million, which was mainly attributable to (i) proceeds from issuance of exchangeable notes of US$27.9 million, (ii) proceeds from settlement of receivable from shareholders of US$26.1 million, (iii) proceeds from issuance of convertible notes of US$25.3 million, (iv) repayment of mandatorily redeemable noncontrolling interest of US$11.6 million, (v) receipts of refundable deposits in connection with the PIPE investments of US$10.0 million; and (vi) net proceeds from bank loans of US$208.3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2022, net cash provided by financing activities was US$758.1 million, which primarily attributable to (i) proceeds from issuance of exchangeable notes of US$379.0 million, (ii) proceeds from issuance of Series A Preferred Shares of US$187.7 million, (iii) proceeds from issuance of Series Pre-A Preferred Shares of US$129.7 million, (iv) proceeds from issuance of ordinary shares of US$76.1 million, (v) proceeds from issuance of convertible notes of US$75.0 million, (vi) repayment of exchangeable notes for issuance of Series A Preferred Shares of US$57.4 million, and (vii) consideration payment in connection with reorganization of US$50.8 million.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2021, net cash provided by financing activities was US$364.9 million, which primarily attributable to (i) proceeds from issuance of ordinary shares of US$197.9 million, (ii) proceeds from issuance of exchangeable notes of US$125.0 million, (iii) proceeds from issuance of convertible notes of US$23.4 million, and (iv) capital contribution from shareholders of US$15.7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the ordinary cash requirements for our operations, our material cash requirements as of December 31, 2023 and any subsequent interim period primarily include our capital expenditures, purchase commitment and operating lease obligation.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capital expenditures are primarily incurred for purchase of property, equipment and software and intangible assets. Our total capital expenditures were US$213.7 million, US$133.3 million and US$34.6 million for the years ended December 31, 2023, 2022 and 2021, respectively. We will continue to make capital expenditures to meet the needs of our business operations. As of December 31, 2023, our capital expenditure commitment was US$59.6 million.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purchase commitment primarily consists of future minimum purchase commitment related to the purchase of BEV lifestyle models, Lotus-brand sports cars and research and development services and other operating expenses. As of December 31, 2023, our purchase commitment was US$182.0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operating lease obligation primarily consists of non-cancellable operating lease agreements for certain offices, warehouses, retail and service locations, equipment and vehicles worldwide. As of December 31, 2023, our operating lease obligation was US$</w:t>
      </w:r>
      <w:r>
        <w:rPr>
          <w:rFonts w:ascii="Times New Roman" w:cs="Times New Roman" w:eastAsia="Times New Roman" w:hAnsi="Times New Roman"/>
          <w:sz w:val="18"/>
          <w:szCs w:val="18"/>
          <w:color w:val="231F20"/>
        </w:rPr>
        <w:t>152.6</w:t>
      </w:r>
      <w:r>
        <w:rPr>
          <w:rFonts w:ascii="Times New Roman" w:cs="Times New Roman" w:eastAsia="Times New Roman" w:hAnsi="Times New Roman"/>
          <w:sz w:val="18"/>
          <w:szCs w:val="18"/>
          <w:color w:val="auto"/>
        </w:rPr>
        <w:t xml:space="preserve"> million.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the outstanding balance of convertible notes payable was US$</w:t>
      </w:r>
      <w:r>
        <w:rPr>
          <w:rFonts w:ascii="Times New Roman" w:cs="Times New Roman" w:eastAsia="Times New Roman" w:hAnsi="Times New Roman"/>
          <w:sz w:val="18"/>
          <w:szCs w:val="18"/>
          <w:color w:val="231F20"/>
        </w:rPr>
        <w:t>101.9</w:t>
      </w:r>
      <w:r>
        <w:rPr>
          <w:rFonts w:ascii="Times New Roman" w:cs="Times New Roman" w:eastAsia="Times New Roman" w:hAnsi="Times New Roman"/>
          <w:sz w:val="18"/>
          <w:szCs w:val="18"/>
          <w:color w:val="auto"/>
        </w:rPr>
        <w:t xml:space="preserve">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the outstanding balance of exchangeable notes payable was US$</w:t>
      </w:r>
      <w:r>
        <w:rPr>
          <w:rFonts w:ascii="Times New Roman" w:cs="Times New Roman" w:eastAsia="Times New Roman" w:hAnsi="Times New Roman"/>
          <w:sz w:val="18"/>
          <w:szCs w:val="18"/>
          <w:color w:val="231F20"/>
        </w:rPr>
        <w:t>454.3</w:t>
      </w:r>
      <w:r>
        <w:rPr>
          <w:rFonts w:ascii="Times New Roman" w:cs="Times New Roman" w:eastAsia="Times New Roman" w:hAnsi="Times New Roman"/>
          <w:sz w:val="18"/>
          <w:szCs w:val="18"/>
          <w:color w:val="auto"/>
        </w:rPr>
        <w:t xml:space="preserve">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the outstanding balance of our put option liabilities was US$</w:t>
      </w:r>
      <w:r>
        <w:rPr>
          <w:rFonts w:ascii="Times New Roman" w:cs="Times New Roman" w:eastAsia="Times New Roman" w:hAnsi="Times New Roman"/>
          <w:sz w:val="18"/>
          <w:szCs w:val="18"/>
          <w:color w:val="231F20"/>
        </w:rPr>
        <w:t>11.9</w:t>
      </w:r>
      <w:r>
        <w:rPr>
          <w:rFonts w:ascii="Times New Roman" w:cs="Times New Roman" w:eastAsia="Times New Roman" w:hAnsi="Times New Roman"/>
          <w:sz w:val="18"/>
          <w:szCs w:val="18"/>
          <w:color w:val="auto"/>
        </w:rPr>
        <w:t xml:space="preserve"> million.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with our existing cash balance and other financing alternatives. We will continue to make cash commitments, including capital expenditures, to support the growth of our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tcBorders>
              <w:bottom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Within One</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4"/>
        </w:trPr>
        <w:tc>
          <w:tcPr>
            <w:tcW w:w="3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(US$ in thousands)</w:t>
            </w: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 commitment</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59,304</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Purchase commitment</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182,001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179,490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23,981</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128,596</w:t>
            </w: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101,912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20,277</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81,635</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Exchangeable notes</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454,316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378,638</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75,678</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24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962,258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661,690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300,568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48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140</w:t>
            </w: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6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than as shown above, we did not have any other significant capital and other commitments, long-term obligations, or guarantees as of December 31,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Sheets Arrangements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not entered into any material financial guarantees or other commitments to guarantee the payment obligations of any third parties. In addition, we have not entered into any derivative contracts that are indexed to our shares and classified as shareholders’ equity or that are not reflected in our consolidated and combined financial statements except for certain call options that Meritz granted us in November 2023 in connection with the Meritz Investment.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Lotus Technology Inc. is a holding company with no material operations of its own. We conduct our operations through our subsidiaries in China, the U.K., Germany, and Netherlands currently. As a result, although other means are available for us to obtain financing at the holding company level, our ability to pay dividends to the shareholders and to service any debt we may incur may depend upon dividends paid by our mainland China subsidiaries.</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any of our subsidiaries incurs debt on its own behalf in the future, the instruments governing such debt may restrict its ability to pay dividends to us. In addition, our mainland China subsidiaries are permitted to pay dividends to us only out of their retained earnings, if any, as determined in accordance with PRC accounting standards and regulations. Under the laws of mainland China, each of our mainland China subsidiaries is required to set aside at least 10% of its after-tax profits each year, if any, after making up previous years’ accumulated losses, if any, to fund certain statutory reserve funds until such reserve funds reach 50% of its registered capital. In addition, each of our wholly foreign-owned subsidiaries in China may allocate a portion of its after-tax profits based on PRC accounting standards to enterprise expansion funds and staff bonus and welfare funds at its discretion. The statutory reserve funds and the discretionary funds are not distributable as cash dividends. Remittance of dividends by a wholly foreign-owned company out of China is subject to examination by the banks designated by SAFE. Our PRC subsidiaries will not be able to pay dividends until they generate accumulated profits and meet the requirements for statutory reserve funds.</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Lotus Technology Inc. provided loans with principal amount of US$231.6 million, US$5.9 million and nil to its subsidiaries, and made capital contribution of US$302.3 million, US$94.7 million and nil to its subsidiaries.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2023, 2022 and 2021, the WFOE provided loans with principal amount of US$316.7 million, US$49.6 million and nil to its subsidiaries, and made capital contribution of US$22.3 million, US $137.2 million and US$108.9 million to its subsidiaries. For the years ended December 31, 2023, 2022 and 2021, the WFOE repaid loans borrowed from the other subsidiaries in the amounts of US$71.8 million, nil and nil, respectively.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the WFOE paid advances of nil, nil and US$11.1 million to the former VIE. For the years ended December 31, 2023, 2022 and 2021, the WFOE collected advances of nil, US$10.6 million and nil, from the former VIE.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US$1.7 million, US$3.3 million and nil of service fees were paid by the former VIE and its subsidiaries to the subsidiaries of Lotus Technology Inc.</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the other subsidiaries provided loans with principal amount of US$180.5 million, nil and nil to the WFOE, repaid loans of US$186.1 million, nil and nil to Lotus Technology Inc., repaid loans of US$150.9 million, nil and nil to the WFOE, and made capital contribution of US$89.4 million, nil and nil to the WFOE.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Note 2 of our consolidated and combined financial statements included elsewhere in this annual report.</w:t>
      </w:r>
    </w:p>
    <w:p>
      <w:pPr>
        <w:spacing w:after="0" w:line="172"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4. Information on the Company—B. Business Overview—Intellectual Property” of this annual report.</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since January 1, 2024 that are reasonably likely to have a material and adverse effect on our total revenues, income, profitability, liquidity or capital resources, or that would cause the disclosed financial information to be not necessarily indicative of future results of operations or financial conditions.</w:t>
      </w:r>
    </w:p>
    <w:p>
      <w:pPr>
        <w:spacing w:after="0" w:line="183"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accounting estimate is considered critical if it requires an accounting estimate to be made based on assumptions about matters that are uncertain and requires significant judgment at the time such estimate is made, and if different accounting estimates that reasonably could have been used, or changes in the accounting estimates that are reasonably likely to occur periodically, could materially impact the consolidated and combined financial statements.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prepare our financial statements in conformity with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trademark licenses with indefinite useful lives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Trademark licenses with indefinite useful lives is tested for impairment at least annually and more frequently if events or changes in circumstances indicate that it is more likely than not that the asset is impaired. We first perform a qualitative assessment to assess all relevant events and circumstances that could affect the significant inputs used to determine the fair value of the indefinite-lived trademark licenses. If after performing the qualitative assessment, we determine that it is more likely than not that the indefinite-lived trademark licenses are impaired, we calculate the fair value of the trademark licenses and perform a quantitative impairment test by comparing the fair value of the trademark licenses with the carrying amount. If the carrying amount of the indefinite-lived trademark licenses exceeds the fair value, we recognize an impairment loss in an amount equal to that excess.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determined the estimated fair value of the trademark licenses based upon the relief from royalty method. Under this method, a royalty rate based on observed market royalties is applied to projected revenue supporting the trademark licenses and discounted to present value, using forecasted revenue growth rate projections and a discount rate, respectively, that required significant judgment by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share-based compensation awards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account for the compensation cost from share-based payment transactions with employees and non-employee service providers based on the grant-date fair value of the awards. The determination of the fair value is affected by the fair value of ordinary shares as well as assumptions regarding a number of complex and subjective variables, including the expected volatility, actual and projected share option exercise behavior, risk-free interest rates and expected dividends. The fair value of the ordinary shares is assessed using the income approach/discounted cash flow method, with a discount for lack of marketability, given that the shares underlying the awards were not publicly traded at the time of grant.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awards granted is estimated on the date of grant using the binomial option pricing model. Under the binomial option pricing model, we made a number of assumptions regarding the fair value of the share-based compensation awards, including:</w:t>
      </w:r>
    </w:p>
    <w:p>
      <w:pPr>
        <w:spacing w:after="0" w:line="183" w:lineRule="exact"/>
        <w:rPr>
          <w:sz w:val="20"/>
          <w:szCs w:val="20"/>
          <w:color w:val="auto"/>
        </w:rPr>
      </w:pPr>
    </w:p>
    <w:p>
      <w:pPr>
        <w:ind w:left="1000" w:right="20" w:hanging="317"/>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which was estimated based on the yield to maturity of U.S. treasury bonds denominated in US$ for a term consistent with the expected term of the awards in effect at the valuation date.</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which was estimated based on the historical volatility of comparable peer public companies with a time horizon close to the expected term of the awards.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which is zero as we do not anticipate any dividend payments in the foreseeable future.</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multiple, which was estimated as the average ratio of the stock price to the exercise price of when employees or non-employees would decide to voluntarily exercise their vested options. As we did not have sufficient information of past employees or non-employees exercise history, it was estimated by referencing to a widely-accepted academic research publication.</w:t>
      </w:r>
    </w:p>
    <w:p>
      <w:pPr>
        <w:spacing w:after="0" w:line="16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terms, which is the contract life of the awards.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underlying ordinary share. We determined the fair value of equity by using the income approach, which requires the estimation of future cash flows, and the application of an appropriate discount rate with reference to comparable listed companies engaged in the similar industry to convert such future cash flows to a present value, and then allocated the equity value to the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ind w:left="460" w:hanging="452"/>
        <w:spacing w:after="0"/>
        <w:tabs>
          <w:tab w:leader="none" w:pos="4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Directors and Senior Management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relating to our executive officers and directors as of the date of this annual report. Our board of directors is comprised of seven directors.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80" w:type="dxa"/>
            <w:vAlign w:val="bottom"/>
          </w:tcPr>
          <w:p>
            <w:pPr>
              <w:spacing w:after="0"/>
              <w:rPr>
                <w:sz w:val="16"/>
                <w:szCs w:val="16"/>
                <w:color w:val="auto"/>
              </w:rPr>
            </w:pPr>
          </w:p>
        </w:tc>
        <w:tc>
          <w:tcPr>
            <w:tcW w:w="456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28"/>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Donghui Li</w:t>
            </w:r>
          </w:p>
        </w:tc>
        <w:tc>
          <w:tcPr>
            <w:tcW w:w="2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80" w:type="dxa"/>
            <w:vAlign w:val="bottom"/>
            <w:tcBorders>
              <w:top w:val="single" w:sz="8" w:color="CCEEFF"/>
            </w:tcBorders>
            <w:shd w:val="clear" w:color="auto" w:fill="CCEEFF"/>
          </w:tcPr>
          <w:p>
            <w:pPr>
              <w:spacing w:after="0"/>
              <w:rPr>
                <w:sz w:val="19"/>
                <w:szCs w:val="19"/>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Qingfeng Feng</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48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3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Alexious Kuen Long Lee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4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 and Chief Financial Officer</w:t>
            </w:r>
          </w:p>
        </w:tc>
      </w:tr>
      <w:tr>
        <w:trPr>
          <w:trHeight w:val="23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Ooi Teik Huat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48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Ning Yu</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4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 Yunfeng Yan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48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Anish Melwani</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2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Daniel Donghui Li </w:t>
      </w:r>
      <w:r>
        <w:rPr>
          <w:rFonts w:ascii="Times New Roman" w:cs="Times New Roman" w:eastAsia="Times New Roman" w:hAnsi="Times New Roman"/>
          <w:sz w:val="18"/>
          <w:szCs w:val="18"/>
          <w:color w:val="auto"/>
        </w:rPr>
        <w:t>has served as chairman of our board of directors since November 2021. Mr. Li joined Geely Holding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April 2011 as Vice President and Chief Financial Officer. Since November 2011, he has served as a Director on the Board of Geely Holding Group. In April 2012, he was appointed as a Director on the Board of Volvo Cars (VOLCAR B). From May 2011 to April 2014, he served as Executive Director of Geely Automobile Holdings Co., Ltd. (HK.0175). From June 2016 to November 2020, he served as Executive Vice President and Chief Financial Officer of Geely Holding Group. In July 2016, he was appointed the position of Executive Director and Vice Chairman of Geely Automobile Holdings Co., Ltd. (HK.0175). In November 2020, he was appointed CEO of Geely Holding Group. In June 2022, he was appointed as a member on the board of Polestar Automotive Holding UK PLC (Nasdaq: PSNY). Mr. Li obtained an MBA degree from the Indiana University Kelley School of Business in 2010. He graduated from the Beijing Institute of Machinery in 1997 with a master’s degree in management engineering (with a focus on financial management). He also obtained a bachelor’s degree in philosophy from China Renmin University in 1991.</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Qingfeng Feng </w:t>
      </w:r>
      <w:r>
        <w:rPr>
          <w:rFonts w:ascii="Times New Roman" w:cs="Times New Roman" w:eastAsia="Times New Roman" w:hAnsi="Times New Roman"/>
          <w:sz w:val="18"/>
          <w:szCs w:val="18"/>
          <w:color w:val="auto"/>
        </w:rPr>
        <w:t>has served as our director and chief executive officer since our inception. Since joining Geely Holding Group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1999, he has worked in sales, manufacturing, supply chain and quality management and R&amp;D, among other areas, holding multiple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key positions in Geely Holding, including General Manager of Group Sales Company and Deputy General Manager of Geely Ningbo Company. In 2012, he was appointed as a vice president of Geely Holding Group and a member of the management board. In 2013, he became the Chief Technical Officer of Geely Holding Group, where he was responsible for establishment and management of R&amp;D systems and product strategic planning, and was in charge of Geely’s Market Strategy Centre, Technology Management Department, Geely Automobile Research Institute, and Geely Components and Parts Development Centre. In 2018, he was appointed as the Chief Executive Officer of Lotus Group. Qingfeng Feng graduated from East China University of Science and Technology in 1997 with a bachelor’s degree in Chemical Engineering. He completed an EMBA program at Tsinghua University in 2006.</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Alexious Kuen Long Lee </w:t>
      </w:r>
      <w:r>
        <w:rPr>
          <w:rFonts w:ascii="Times New Roman" w:cs="Times New Roman" w:eastAsia="Times New Roman" w:hAnsi="Times New Roman"/>
          <w:sz w:val="18"/>
          <w:szCs w:val="18"/>
          <w:color w:val="auto"/>
        </w:rPr>
        <w:t>has served as our chief financial officer since our inception and our director since November,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he was appointed as the Head of Strategic Marketing at FIAT Industrial China Investment Co. in 2004. He joined CLSA in 2011, and served as the Managing Director and Head of China Capital Access at CITIC-CLSA from 2017, directly responsible for the leadership role of bridging onshore and offshore resources (capital, cross-border investment), through the CLSA gateway. Since 2019, Mr. Lee was the Managing Director and Head of China Strategy at Jefferies.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Ooi Teik Huat </w:t>
      </w:r>
      <w:r>
        <w:rPr>
          <w:rFonts w:ascii="Times New Roman" w:cs="Times New Roman" w:eastAsia="Times New Roman" w:hAnsi="Times New Roman"/>
          <w:sz w:val="18"/>
          <w:szCs w:val="18"/>
          <w:color w:val="auto"/>
        </w:rPr>
        <w:t>has served as our director since January 2023. Mr. Ooi has served as the director of Meridian Solutions Sdn Bhd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August 1996. From August 1993 to August 1996, he was the head of corporate finance at Pengkalen Securities Sdn Bhd. Prior to that, Mr. Ooi was manager of corporate advisory department at Malaysian International Merchant Bankers Berhad from June 1989 to August 1993, and an audit supervisor at Othman Hew &amp; Co Chartered Accountants from September 1984 to June 1989. Mr. Ooi has been serving at three public listed companies, DRB-Hicom Berhad (since 2008), Malakoff Corporation Berhad (since 2012), and Gas Malaysia Berhad (since 2013). Mr. Ooi graduated from Monash University, Australia with a Bachelor of Economics. He is a member of CPA Australia and Malaysian Institute of Accountants.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Ning Yu </w:t>
      </w:r>
      <w:r>
        <w:rPr>
          <w:rFonts w:ascii="Times New Roman" w:cs="Times New Roman" w:eastAsia="Times New Roman" w:hAnsi="Times New Roman"/>
          <w:sz w:val="18"/>
          <w:szCs w:val="18"/>
          <w:color w:val="auto"/>
        </w:rPr>
        <w:t>has served as our director since July 2022. Mr. Yu has 30 years of working experience in the automotive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Yu currently serves as the managing partner of Zhongqing Capital. Prior to that, Mr. Yu served as the Managing Partner of NIO Capital for five years. Before joining NIO Capital, Mr. Yu had worked at Geely Holding Group as Vice President for five years responsible for Geely’s international business. Prior to Geely, Mr. Yu was the CEO of Fiat Powertrain Technologies in Asia Pacific, a division of the Fiat Group. Prior to that, he held management positions at General Dynamics and Daimler Chrysler in U.S. and was an engineer at Ministry of Machinery of China. Mr. Yu holds a Ph.D in Automotive Engineering from China Agricultural University and a Master Degree in Industrial Engineering from University of Windsor in Canada.</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Ada Yunfeng Yan </w:t>
      </w:r>
      <w:r>
        <w:rPr>
          <w:rFonts w:ascii="Times New Roman" w:cs="Times New Roman" w:eastAsia="Times New Roman" w:hAnsi="Times New Roman"/>
          <w:sz w:val="18"/>
          <w:szCs w:val="18"/>
          <w:color w:val="auto"/>
        </w:rPr>
        <w:t>has served as our independent director since February 2024. Ms. Yan started her career at Exxon (as it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known) in 1994, where she spent thirteen years working in Exxon and ExxonMobil’s affiliate companies in Beijing, Houston, Hong Kong and Shanghai. From 2007 to 2012, Ms. Yan served as the general manager at Delphi Wanyuan Engine Management Systems Co., Ltd. and the CFO of Delphi’s joint venture and R&amp;D companies in Beijing. Ms. Yan joined Shell in 2012, serving as cluster finance manager at Shell China/HK Lubricant Sales and Marketing business, regional finance manager at Shell Lubricant Supply Chain Asia Pacific and Middle East, and the CFO of Tongyi Lubricant Oil Company (a Shell joint venture). Ms. Yan started her sole proprietary business in 2018, providing financial consulting services for manufacturing companies based in California. Ms. Yan has been a member of ACCA since 1999, the Hong Kong Institute of Certified Public Accountant since 2002, and FCCA since 2004. Ms. Yan graduated from China Institute of Finance (currently School of Banking and Finance of University of International Business and Economics) with a bachelor’s degree in international finance in 1992. She received her MBA from the State University of New Jersey, Rutgers in 2001.</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Anish Melwani </w:t>
      </w:r>
      <w:r>
        <w:rPr>
          <w:rFonts w:ascii="Times New Roman" w:cs="Times New Roman" w:eastAsia="Times New Roman" w:hAnsi="Times New Roman"/>
          <w:sz w:val="18"/>
          <w:szCs w:val="18"/>
          <w:color w:val="auto"/>
        </w:rPr>
        <w:t>has served as our independent director since February 2024. Mr. Melwani is an independent director of LCAA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Chairman and Chief Executive Officer of LVMH for North America. In this role, he oversees and coordinates the activities of the LVMH Group across more than 75 Maisons. Mr. Melwani is a member of the board of directors for Fresh Cosmetics, Inc., Marc Jacobs Holdings LLC, Colgin Cellars LLC, Starboard Cruise Services, Inc., and Tiffany &amp; Co. Prior to joining LVMH in 2015, Mr. Melwani was a Senior Partner in the New York office of McKinsey and Company where he co-led the Global Strategy &amp; Corporate Finance practice and supported clients across industries. At McKinsey since 1999, Mr. Melwani counseled senior executives of leading global companies on issues related to corporate strategy, M&amp;A, alliances, portfolio management and organization. Mr. Melwani worked in McKinsey’s Singapore and Hong Kong offices and was then relocated to the New York office, where he advised leaders of public sector institutions in New York City. Mr. Melwani is a member of the Council on Foreign Relations, the Board of the United Way of New York City where he serves on the Marketing Committee, and the National Retail Federation’s Board of Directors. Mr. Melwani holds a B.A. in Economics from Harvard University.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we paid RMB16.0 million in cash to our directors and executive officers as a group. We have not set aside or accrued any amount to provide pension, retirement or other similar benefits to our executive officers. Our mainland China subsidiaries are required by law to make contributions equal to certain percentages of each employee’s salary for his or her pension insurance, medical insurance, unemployment insurance, work-related injury insurance and maternity insurance and other statutory benefits, and a housing provident fund.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of the executive officers is party to an employment agreement with the WFOE. Under these agreements, the employment of each of executive officers is for a specified time period, and may be terminated for cause, at any time and without advance notice or compensation, for certain acts of the executive officer, such as violation of company policies, conviction of crime, continued failure to satisfactorily perform agreed duties, or misconduct or dishonest act to our detriment. The employment may also be terminated without cause upon 30-day advance written notice. The executive officer may resign at any time with 30-day advance written notice.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executive officer of us has agreed to hold, both during and after the termination or expiry of his or her employment agreement, in strict confidence and not to use, except as required in the performance of his or her duties in connection with the employment or pursuant to applicable law, any confidential information of us or trade secrets, any confidential information or trade secrets of our customers or prospective customers,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 In addition, each executive officer of us has agreed to be bound by non-competition and non-solicitation restrictions during the term of his or her employment and typically for one year following the last date of employment.</w:t>
      </w:r>
    </w:p>
    <w:p>
      <w:pPr>
        <w:spacing w:after="0" w:line="19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Under these agreements, we agree to indemnify the directors and executive officers against certain liabilities and expenses incurred by such persons in connection with claims made by reason of their being a director or officer of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Share Incentive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September 2022, our shareholders approved and adopted the 2022 Share Incentive Plan, to attract and retain the best available personnel, provide additional incentives to employees, directors and consultants, and promote the success of our business. The maximum aggregate number of ordinary shares that may be issued under the 2022 Share Incentive Plan is 51,550,661 (after giving effect to the recapitalization upon the business combination with LCAA). As of December 31, 2023, a total of awards to purchase 10,073,233 ordinary shares have been granted under the 2022 Share Incentive Plan and outstanding, excluding awards that were forfeited or cancelled after the grant dates and after giving effect to the recapitalization upon the business combination with LCAA.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2022 Share Incentive Plan.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Type of Awards</w:t>
      </w:r>
      <w:r>
        <w:rPr>
          <w:rFonts w:ascii="Times New Roman" w:cs="Times New Roman" w:eastAsia="Times New Roman" w:hAnsi="Times New Roman"/>
          <w:sz w:val="18"/>
          <w:szCs w:val="18"/>
          <w:color w:val="auto"/>
        </w:rPr>
        <w:t>. The 2022 Share Incentive Plan permits the awards of options.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Mr. Qingfeng Feng will administer the 2022 Share Incentive Plan. The plan administrator will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participants to receive awards, the type and number of awards to be granted to each participant, and the terms and conditions of each grant.</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under the 2022 Share Incentive Plan are evidenced by an award agreement that sets forth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conditions and limitations for each award, which may include the term of the award, the provisions applicable in the event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that the grantee’s employment or service terminates, and our authority to unilaterally or bilaterally amend, modify, suspend, cancel or rescind the award.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employees, directors and consultants.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In general, the plan administrator determines the vesting schedule, which is specified in the award agreement.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The plan administrator determines the exercise price for each award, which is stated in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Options that are vested and exercisable will terminate if they are not exercised prior to the time as the plan administrator determines at the time of grant. However, the maximum exercisable term is ten years from the date of grant.</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Awards may not be transferred in any manner by the participant other than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provided in the 2022 Share Incentive Plan or the award agreement or otherwise determined by the plan administrator.</w:t>
      </w:r>
    </w:p>
    <w:p>
      <w:pPr>
        <w:spacing w:after="0" w:line="1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Termination and Amendment of the Plan</w:t>
      </w:r>
      <w:r>
        <w:rPr>
          <w:rFonts w:ascii="Times New Roman" w:cs="Times New Roman" w:eastAsia="Times New Roman" w:hAnsi="Times New Roman"/>
          <w:sz w:val="18"/>
          <w:szCs w:val="18"/>
          <w:color w:val="auto"/>
        </w:rPr>
        <w:t>. Unless terminated earlier, the 2022 Share Incentive Plan has a term of ten years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its effectiveness. Our board of directors has the authority to terminate, amend, suspend or modify the 2022 Share Incentive Plan, provided that certain amendments to the plan require the approval of our shareholders. However, unless otherwise determined by the plan administrator in good faith, no such action may adversely affect in any material way any award previously issued pursuant to the 2022 Share Incentive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Granted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of this annual report, we have not granted options to our directors or executive officers.</w:t>
      </w:r>
    </w:p>
    <w:p>
      <w:pPr>
        <w:spacing w:after="0" w:line="208"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consists of seven directors as of the date of this annual report. The Amended Articles provide that the minimum number of directors shall be three and the exact number of directors shall be determined from time to time by our board of directors.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director is not required to hold any shares in us by way of qualification. A director who is in any way, whether directly or indirectly, interested in a contract or transaction or proposed contract or transaction with us is required to declare the nature of his or her interest at a board meeting. Subject to Nasdaq listing rules and disqualification by the chairman of the board meeting, a director may vote in respect of any contract or proposed contract or arrangement in which such director may be interested provided that (a) the nature of his/her interest is declared at a meeting of the directors, either specifically or by way of a general notice, and such director’s vote may be counted in the quorum at any meeting of directors at which any such contract or proposed contract or arrangement is considered, and (b) if such contract or arrangement is a transaction with a related party, such transaction has been approved by the audit committee.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directors may exercise all the powers of the company to raise or borrow money, mortgage, or charge its undertaking, property, and assets (present or future), uncalled capital or any part thereof, and to issue debentures, debenture stock, bonds, or other securities, whether outright or as collateral security for any debt, liability, or obligation of our company or of any third party.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non-employee director has a service contract with us that provides for benefits upon termination of service.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under our board of directors and have adopted a charter for each of the three committees. Each committee’s members and functions are described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The audit committee consists of Ms. Ada Yunfeng Yan, Mr. Ning Yu and Mr. Anish Melwani. Ms. Ada Yunfeng Yan is the chairperson of the audit committee. Ms. Ada Yunfeng Yan satisfies the criteria of an audit committee financial expert as set forth under the applicable rules of the SEC. Each of Ms. Ada Yunfeng Yan and Mr. Anish Melwani satisfies the requirements for an “independent director” within the meaning of the Nasdaq listing rules and the criteria for independence set forth in Rule 10A-3 of the Exchange Act.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oversees our accounting and financial reporting processes. The audit committee is responsible for, among other things:</w:t>
      </w:r>
    </w:p>
    <w:p>
      <w:pPr>
        <w:spacing w:after="0" w:line="162" w:lineRule="exact"/>
        <w:rPr>
          <w:sz w:val="20"/>
          <w:szCs w:val="20"/>
          <w:color w:val="auto"/>
        </w:rPr>
      </w:pPr>
    </w:p>
    <w:p>
      <w:pPr>
        <w:ind w:left="1000" w:right="20" w:hanging="317"/>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consists of Mr. Donghui Li, Mr. Ning Yu and Mr. Anish Melwani. Mr. Donghui Li is the chairperson of the compensation committee. Mr. Anish Melwani satisfies the requirements for an “independent director” within the meaning of the Nasdaq listing rules.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76" w:lineRule="exact"/>
        <w:rPr>
          <w:sz w:val="20"/>
          <w:szCs w:val="20"/>
          <w:color w:val="auto"/>
        </w:rPr>
      </w:pPr>
    </w:p>
    <w:p>
      <w:pPr>
        <w:ind w:left="1000" w:right="20" w:hanging="317"/>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similar arrangements; and</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Mr. Donghui Li, Mr. Ning Yu and Ms. Ada Yunfeng Yan. Mr. Donghui Li is the chairperson of the nominating and corporate governance committee. Ms. Ada Yunfeng Yan satisfies the requirements for an “independent director” within the meaning of the Nasdaq listing rules.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83" w:lineRule="exact"/>
        <w:rPr>
          <w:sz w:val="20"/>
          <w:szCs w:val="20"/>
          <w:color w:val="auto"/>
        </w:rPr>
      </w:pPr>
    </w:p>
    <w:p>
      <w:pPr>
        <w:ind w:left="1000" w:hanging="317"/>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compliance with applicable laws and regulations, and making recommendations to the board on all matters of corporate governance and on any remedial action to be taken.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Cayman Islands law, directors owe fiduciary duties to the company, including a duty of loyalty, a duty to act honestly, and a duty to act in what they consider in good faith to be in the company’s best interests. Directors must also exercise their powers only for a proper purpose. Directors also have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We have the right to seek damages if a duty owed by our directors is breached. A shareholder may in certain circumstances have rights to seek damages in the name of the company if a duty owed by our directors is breached.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and Removal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Amended Articles provide that all directors may be appointed by ordinary resolution and removed by ordinary resolution, except with regard to the removal of the Chairperson, who may be removed from office by special resolution. The Amended Articles also provide that the directors may, so long as a quorum of directors remains in office, appoint any person to be a director so as to fill a casual vacancy or as an addition to the existing board of director. Our directors do not serve for a fixed term and there is no requirement for them to retire by rotation nor to make themselves eligible for re-election.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office of a director shall be vacated if, amongst other things, such director (a) becomes prohibited by applicable law from being a Director, (b) becomes bankrupt or makes any arrangement or composition with his or her creditors, (c) dies or is found to be or becomes of unsound mind, (d) resigns his or her office by notice in writing to us, (e) without special leave of absence from the board, is absent from meetings of the board for three consecutive meetings, and the board resolves that his or her office be vacated; or (f) is removed from office pursuant to any other provision of the Amended Articles.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director shall hold office until such time as he or she resigns his office by notice in writing to us, is removed from office by ordinary resolution or is otherwise disqualified from acting as a director or removed in accordance with the Amended Articles.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Board Diversity Matrix (As of February 29,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5720" w:type="dxa"/>
            <w:vAlign w:val="bottom"/>
            <w:tcBorders>
              <w:top w:val="single" w:sz="8" w:color="auto"/>
            </w:tcBorders>
          </w:tcPr>
          <w:p>
            <w:pPr>
              <w:jc w:val="center"/>
              <w:ind w:left="3330"/>
              <w:spacing w:after="0"/>
              <w:rPr>
                <w:sz w:val="20"/>
                <w:szCs w:val="20"/>
                <w:color w:val="auto"/>
              </w:rPr>
            </w:pPr>
            <w:r>
              <w:rPr>
                <w:rFonts w:ascii="Times New Roman" w:cs="Times New Roman" w:eastAsia="Times New Roman" w:hAnsi="Times New Roman"/>
                <w:sz w:val="18"/>
                <w:szCs w:val="18"/>
                <w:color w:val="auto"/>
                <w:w w:val="99"/>
              </w:rPr>
              <w:t>People’s Republic of China</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Private Issuer</w:t>
            </w:r>
          </w:p>
        </w:tc>
        <w:tc>
          <w:tcPr>
            <w:tcW w:w="5720" w:type="dxa"/>
            <w:vAlign w:val="bottom"/>
            <w:shd w:val="clear" w:color="auto" w:fill="CCEEFF"/>
          </w:tcPr>
          <w:p>
            <w:pPr>
              <w:jc w:val="center"/>
              <w:ind w:left="333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5720" w:type="dxa"/>
            <w:vAlign w:val="bottom"/>
          </w:tcPr>
          <w:p>
            <w:pPr>
              <w:jc w:val="center"/>
              <w:ind w:left="3330"/>
              <w:spacing w:after="0"/>
              <w:rPr>
                <w:sz w:val="20"/>
                <w:szCs w:val="20"/>
                <w:color w:val="auto"/>
              </w:rPr>
            </w:pPr>
            <w:r>
              <w:rPr>
                <w:rFonts w:ascii="Times New Roman" w:cs="Times New Roman" w:eastAsia="Times New Roman" w:hAnsi="Times New Roman"/>
                <w:sz w:val="18"/>
                <w:szCs w:val="18"/>
                <w:color w:val="auto"/>
                <w:w w:val="99"/>
              </w:rPr>
              <w:t>No</w:t>
            </w:r>
          </w:p>
        </w:tc>
      </w:tr>
      <w:tr>
        <w:trPr>
          <w:trHeight w:val="643"/>
        </w:trPr>
        <w:tc>
          <w:tcPr>
            <w:tcW w:w="4200" w:type="dxa"/>
            <w:vAlign w:val="bottom"/>
          </w:tcPr>
          <w:p>
            <w:pPr>
              <w:spacing w:after="0"/>
              <w:rPr>
                <w:sz w:val="24"/>
                <w:szCs w:val="24"/>
                <w:color w:val="auto"/>
              </w:rPr>
            </w:pPr>
          </w:p>
        </w:tc>
        <w:tc>
          <w:tcPr>
            <w:tcW w:w="5720" w:type="dxa"/>
            <w:vAlign w:val="bottom"/>
          </w:tcPr>
          <w:p>
            <w:pPr>
              <w:jc w:val="right"/>
              <w:ind w:right="4730"/>
              <w:spacing w:after="0"/>
              <w:rPr>
                <w:sz w:val="20"/>
                <w:szCs w:val="20"/>
                <w:color w:val="auto"/>
              </w:rPr>
            </w:pPr>
            <w:r>
              <w:rPr>
                <w:rFonts w:ascii="Times New Roman" w:cs="Times New Roman" w:eastAsia="Times New Roman" w:hAnsi="Times New Roman"/>
                <w:sz w:val="18"/>
                <w:szCs w:val="18"/>
                <w:color w:val="auto"/>
              </w:rPr>
              <w:t>148</w:t>
            </w:r>
          </w:p>
        </w:tc>
      </w:tr>
      <w:tr>
        <w:trPr>
          <w:trHeight w:val="547"/>
        </w:trPr>
        <w:tc>
          <w:tcPr>
            <w:tcW w:w="420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561"/>
        </w:trPr>
        <w:tc>
          <w:tcPr>
            <w:tcW w:w="1280" w:type="dxa"/>
            <w:vAlign w:val="bottom"/>
            <w:tcBorders>
              <w:top w:val="single" w:sz="8" w:color="0000EE"/>
            </w:tcBorders>
            <w:gridSpan w:val="2"/>
          </w:tcPr>
          <w:p>
            <w:pPr>
              <w:spacing w:after="0"/>
              <w:rPr>
                <w:sz w:val="24"/>
                <w:szCs w:val="24"/>
                <w:color w:val="auto"/>
              </w:rPr>
            </w:pPr>
          </w:p>
        </w:tc>
        <w:tc>
          <w:tcPr>
            <w:tcW w:w="4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9"/>
        </w:trPr>
        <w:tc>
          <w:tcPr>
            <w:tcW w:w="5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17"/>
              <w:spacing w:after="0"/>
              <w:rPr>
                <w:sz w:val="20"/>
                <w:szCs w:val="20"/>
                <w:color w:val="auto"/>
              </w:rPr>
            </w:pPr>
            <w:r>
              <w:rPr>
                <w:rFonts w:ascii="Times New Roman" w:cs="Times New Roman" w:eastAsia="Times New Roman" w:hAnsi="Times New Roman"/>
                <w:sz w:val="17"/>
                <w:szCs w:val="17"/>
                <w:color w:val="auto"/>
                <w:w w:val="70"/>
              </w:rPr>
              <w:t>7</w:t>
            </w:r>
          </w:p>
        </w:tc>
      </w:tr>
      <w:tr>
        <w:trPr>
          <w:trHeight w:val="434"/>
        </w:trPr>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 Not</w:t>
            </w:r>
          </w:p>
        </w:tc>
      </w:tr>
      <w:tr>
        <w:trPr>
          <w:trHeight w:val="189"/>
        </w:trPr>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Disclose</w:t>
            </w:r>
          </w:p>
        </w:tc>
      </w:tr>
      <w:tr>
        <w:trPr>
          <w:trHeight w:val="195"/>
        </w:trPr>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Male</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Binary</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Gender</w:t>
            </w:r>
          </w:p>
        </w:tc>
      </w:tr>
      <w:tr>
        <w:trPr>
          <w:trHeight w:val="228"/>
        </w:trPr>
        <w:tc>
          <w:tcPr>
            <w:tcW w:w="54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9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r>
      <w:tr>
        <w:trPr>
          <w:trHeight w:val="229"/>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90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5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LGBTQ+</w:t>
            </w: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6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2022 and 2023, we had approximately 2,300, 2,913 and 3,180 full-time employees, respectively. The following table sets forth the numbers of our employees categorized by function as of December 31,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Pr>
          <w:p>
            <w:pPr>
              <w:spacing w:after="0"/>
              <w:rPr>
                <w:sz w:val="16"/>
                <w:szCs w:val="16"/>
                <w:color w:val="auto"/>
              </w:rPr>
            </w:pPr>
          </w:p>
        </w:tc>
      </w:tr>
      <w:tr>
        <w:trPr>
          <w:trHeight w:val="195"/>
        </w:trPr>
        <w:tc>
          <w:tcPr>
            <w:tcW w:w="67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Functions: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1,802</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30"/>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Supply chain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Functional support</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3,180</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on our ability to attract, motivate, train and retain qualified personnel. We believe we offer our employees competitive compensation packages and an environment that encourages self-development and, as a result, have generally been able to attract and retain qualified personnel and maintain a stable core management team.</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required by applicable regulations, we participate in various employee social security plans that are organized by municipal and provincial governments, including pension, unemployment insurance, maternity insurance, work-related injury insurance, medical insurance, and housing insurance. We are required under applicable laws to make contributions to employee benefit plans at specified percentages of the salaries, bonuses, and certain allowances of our employees, up to a maximum amount specified by the local government from time to time. Bonuses are generally discretionary and based in part on employee performance and in part on the overall performance of our business. We have granted, and plan to continue to grant, share-based incentive awards to our employees to incentivize their contributions to our growth and development.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enter into standard labor contracts and confidentiality agreements with our employees. To date, we have not experienced any significant labor disputes.</w:t>
      </w:r>
    </w:p>
    <w:p>
      <w:pPr>
        <w:spacing w:after="0" w:line="158"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information regarding the beneficial ownership of our Ordinary Shares as of February 29, 2024:</w:t>
      </w:r>
    </w:p>
    <w:p>
      <w:pPr>
        <w:spacing w:after="0" w:line="225" w:lineRule="exact"/>
        <w:rPr>
          <w:rFonts w:ascii="Times New Roman" w:cs="Times New Roman" w:eastAsia="Times New Roman" w:hAnsi="Times New Roman"/>
          <w:sz w:val="18"/>
          <w:szCs w:val="18"/>
          <w:b w:val="1"/>
          <w:bCs w:val="1"/>
          <w:color w:val="auto"/>
        </w:rPr>
      </w:pPr>
    </w:p>
    <w:p>
      <w:pPr>
        <w:ind w:left="1000" w:hanging="317"/>
        <w:spacing w:after="0"/>
        <w:tabs>
          <w:tab w:leader="none" w:pos="10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principal shareholders who beneficially own more than 5% of our total outstanding shares on an as-converted basis.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or the power to receive the economic benefit of ownership of, the securities. In computing the number of shares beneficially owned by a person and the percentage ownership of that person, shares that the person has the right to acquire within 60 days are</w:t>
      </w:r>
    </w:p>
    <w:p>
      <w:pPr>
        <w:sectPr>
          <w:pgSz w:w="11900" w:h="16838" w:orient="portrait"/>
          <w:cols w:equalWidth="0" w:num="1">
            <w:col w:w="9920"/>
          </w:cols>
          <w:pgMar w:left="980" w:top="499"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including through the exercise of Warrants or any option or other right or the conversion of any other security. However, these shares are not included in the computation of the percentage ownership of any other person.</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percentage of our Ordinary Shares beneficially owned by the parties listed below is calculated based on 676,735,814 Ordinary Shares issued and outstanding as of February 29, 2024. There were also 15,037,030 Warrants issued and outstanding as of February 29,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 of Beneficial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1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Ownership/Voting Power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tcBorders>
              <w:top w:val="single" w:sz="8" w:color="CCEEFF"/>
            </w:tcBorders>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8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Daniel Donghui Li</w:t>
            </w:r>
            <w:r>
              <w:rPr>
                <w:rFonts w:ascii="Times New Roman" w:cs="Times New Roman" w:eastAsia="Times New Roman" w:hAnsi="Times New Roman"/>
                <w:sz w:val="26"/>
                <w:szCs w:val="26"/>
                <w:color w:val="auto"/>
                <w:vertAlign w:val="superscript"/>
              </w:rPr>
              <w:t>(2)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14,398,660</w:t>
            </w:r>
          </w:p>
        </w:tc>
        <w:tc>
          <w:tcPr>
            <w:tcW w:w="220" w:type="dxa"/>
            <w:vAlign w:val="bottom"/>
          </w:tcPr>
          <w:p>
            <w:pPr>
              <w:spacing w:after="0"/>
              <w:rPr>
                <w:sz w:val="19"/>
                <w:szCs w:val="19"/>
                <w:color w:val="auto"/>
              </w:rPr>
            </w:pP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Qingfeng Feng</w:t>
            </w:r>
            <w:r>
              <w:rPr>
                <w:rFonts w:ascii="Times New Roman" w:cs="Times New Roman" w:eastAsia="Times New Roman" w:hAnsi="Times New Roman"/>
                <w:sz w:val="26"/>
                <w:szCs w:val="26"/>
                <w:color w:val="auto"/>
                <w:vertAlign w:val="superscript"/>
              </w:rPr>
              <w:t>(3)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57,061,196</w:t>
            </w:r>
          </w:p>
        </w:tc>
        <w:tc>
          <w:tcPr>
            <w:tcW w:w="2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Alexious Kuen Long Lee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Ooi Teik Huat</w:t>
            </w:r>
          </w:p>
        </w:tc>
        <w:tc>
          <w:tcPr>
            <w:tcW w:w="2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Ning Yu</w:t>
            </w:r>
          </w:p>
        </w:tc>
        <w:tc>
          <w:tcPr>
            <w:tcW w:w="2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Ada Yunfeng Yan</w:t>
            </w:r>
          </w:p>
        </w:tc>
        <w:tc>
          <w:tcPr>
            <w:tcW w:w="2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Anish Melwani</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72,813,749</w:t>
            </w:r>
          </w:p>
        </w:tc>
        <w:tc>
          <w:tcPr>
            <w:tcW w:w="2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5.0% Shareholders:</w:t>
            </w: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Lotus Advanced Technology Limited Partnership</w:t>
            </w:r>
            <w:r>
              <w:rPr>
                <w:rFonts w:ascii="Times New Roman" w:cs="Times New Roman" w:eastAsia="Times New Roman" w:hAnsi="Times New Roman"/>
                <w:sz w:val="26"/>
                <w:szCs w:val="26"/>
                <w:color w:val="auto"/>
                <w:vertAlign w:val="superscript"/>
              </w:rPr>
              <w:t>(4)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186,648,945</w:t>
            </w:r>
          </w:p>
        </w:tc>
        <w:tc>
          <w:tcPr>
            <w:tcW w:w="220" w:type="dxa"/>
            <w:vAlign w:val="bottom"/>
          </w:tcPr>
          <w:p>
            <w:pPr>
              <w:spacing w:after="0"/>
              <w:rPr>
                <w:sz w:val="19"/>
                <w:szCs w:val="19"/>
                <w:color w:val="auto"/>
              </w:rPr>
            </w:pP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Etika</w:t>
            </w:r>
            <w:r>
              <w:rPr>
                <w:rFonts w:ascii="Times New Roman" w:cs="Times New Roman" w:eastAsia="Times New Roman" w:hAnsi="Times New Roman"/>
                <w:sz w:val="26"/>
                <w:szCs w:val="26"/>
                <w:color w:val="auto"/>
                <w:vertAlign w:val="superscript"/>
              </w:rPr>
              <w:t>(5)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156,236,329</w:t>
            </w:r>
          </w:p>
        </w:tc>
        <w:tc>
          <w:tcPr>
            <w:tcW w:w="2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Lotus Technology International Investment Limited</w:t>
            </w:r>
            <w:r>
              <w:rPr>
                <w:rFonts w:ascii="Times New Roman" w:cs="Times New Roman" w:eastAsia="Times New Roman" w:hAnsi="Times New Roman"/>
                <w:sz w:val="26"/>
                <w:szCs w:val="26"/>
                <w:color w:val="auto"/>
                <w:vertAlign w:val="superscript"/>
              </w:rPr>
              <w:t>(6)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108,740,886</w:t>
            </w:r>
          </w:p>
        </w:tc>
        <w:tc>
          <w:tcPr>
            <w:tcW w:w="220" w:type="dxa"/>
            <w:vAlign w:val="bottom"/>
          </w:tcPr>
          <w:p>
            <w:pPr>
              <w:spacing w:after="0"/>
              <w:rPr>
                <w:sz w:val="19"/>
                <w:szCs w:val="19"/>
                <w:color w:val="auto"/>
              </w:rPr>
            </w:pP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Meritz</w:t>
            </w:r>
            <w:r>
              <w:rPr>
                <w:rFonts w:ascii="Times New Roman" w:cs="Times New Roman" w:eastAsia="Times New Roman" w:hAnsi="Times New Roman"/>
                <w:sz w:val="26"/>
                <w:szCs w:val="26"/>
                <w:color w:val="auto"/>
                <w:vertAlign w:val="superscript"/>
              </w:rPr>
              <w:t>(7)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2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Lotus Group International Limited</w:t>
            </w:r>
            <w:r>
              <w:rPr>
                <w:rFonts w:ascii="Times New Roman" w:cs="Times New Roman" w:eastAsia="Times New Roman" w:hAnsi="Times New Roman"/>
                <w:sz w:val="26"/>
                <w:szCs w:val="26"/>
                <w:color w:val="auto"/>
                <w:vertAlign w:val="superscript"/>
              </w:rPr>
              <w:t>(8)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47,995,443</w:t>
            </w:r>
          </w:p>
        </w:tc>
        <w:tc>
          <w:tcPr>
            <w:tcW w:w="220" w:type="dxa"/>
            <w:vAlign w:val="bottom"/>
          </w:tcPr>
          <w:p>
            <w:pPr>
              <w:spacing w:after="0"/>
              <w:rPr>
                <w:sz w:val="19"/>
                <w:szCs w:val="19"/>
                <w:color w:val="auto"/>
              </w:rPr>
            </w:pP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HUBEI CHANGJIANG JINGKAI AUTOMOBILE INDUSTRY</w:t>
            </w:r>
          </w:p>
        </w:tc>
        <w:tc>
          <w:tcPr>
            <w:tcW w:w="1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720" w:type="dxa"/>
            <w:vAlign w:val="bottom"/>
            <w:gridSpan w:val="2"/>
            <w:shd w:val="clear" w:color="auto" w:fill="CCEEFF"/>
          </w:tcPr>
          <w:p>
            <w:pPr>
              <w:ind w:left="120"/>
              <w:spacing w:after="0" w:line="242" w:lineRule="exact"/>
              <w:rPr>
                <w:sz w:val="20"/>
                <w:szCs w:val="20"/>
                <w:color w:val="auto"/>
              </w:rPr>
            </w:pPr>
            <w:r>
              <w:rPr>
                <w:rFonts w:ascii="Times New Roman" w:cs="Times New Roman" w:eastAsia="Times New Roman" w:hAnsi="Times New Roman"/>
                <w:sz w:val="18"/>
                <w:szCs w:val="18"/>
                <w:color w:val="auto"/>
              </w:rPr>
              <w:t xml:space="preserve">INVESTMENT FUND PARTNERSHIP (LIMITED PARTNERSHIP) </w:t>
            </w:r>
            <w:r>
              <w:rPr>
                <w:rFonts w:ascii="Times New Roman" w:cs="Times New Roman" w:eastAsia="Times New Roman" w:hAnsi="Times New Roman"/>
                <w:sz w:val="26"/>
                <w:szCs w:val="26"/>
                <w:color w:val="auto"/>
                <w:vertAlign w:val="superscript"/>
              </w:rPr>
              <w:t>(9)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44,997,886</w:t>
            </w:r>
          </w:p>
        </w:tc>
        <w:tc>
          <w:tcPr>
            <w:tcW w:w="22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32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 of the total number of outstanding Ordinary Shares</w:t>
      </w:r>
    </w:p>
    <w:p>
      <w:pPr>
        <w:spacing w:after="0" w:line="231" w:lineRule="exact"/>
        <w:rPr>
          <w:sz w:val="20"/>
          <w:szCs w:val="20"/>
          <w:color w:val="auto"/>
        </w:rPr>
      </w:pPr>
    </w:p>
    <w:p>
      <w:pPr>
        <w:jc w:val="both"/>
        <w:ind w:left="340" w:hanging="332"/>
        <w:spacing w:after="0" w:line="268" w:lineRule="auto"/>
        <w:tabs>
          <w:tab w:leader="none" w:pos="3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indicated otherwise, the business address for the directors and executive officers of Lotus Technology Inc. is 800 Century Avenue, Pudong New Area, Shanghai, China. The business address for Mr. Daniel Donghui Li is 1760 Jiangling Road, Hangzhou, China. The business address for Mr. Ning Yu is Unit 2103, T3 Lujiazui Financial Plaza, No. 826 Century Avenue, Pudong New District, Shanghai, China. The business address for Ooi Teik Huat is 2 Lorong Aminuddin Baki 4, Taman Tun Dr Ismail, 60000 Kuala Lumpur, Malaysia.</w:t>
      </w:r>
    </w:p>
    <w:p>
      <w:pPr>
        <w:spacing w:after="0" w:line="185" w:lineRule="exact"/>
        <w:rPr>
          <w:rFonts w:ascii="Times New Roman" w:cs="Times New Roman" w:eastAsia="Times New Roman" w:hAnsi="Times New Roman"/>
          <w:sz w:val="14"/>
          <w:szCs w:val="14"/>
          <w:color w:val="auto"/>
        </w:rPr>
      </w:pPr>
    </w:p>
    <w:p>
      <w:pPr>
        <w:jc w:val="both"/>
        <w:ind w:left="340" w:hanging="332"/>
        <w:spacing w:after="0" w:line="271" w:lineRule="auto"/>
        <w:tabs>
          <w:tab w:leader="none" w:pos="3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14,398,660 Ordinary Shares held by Lotus Advanced Technology Limited Partnership, or LATLP. Mr. Daniel Donghui Li indirectly holds 7.7143% pecuniary interest in LATLP. See footnote (4) for further details about LATLP. Mr. Daniel Donghui Li disclaims beneficial ownership of all of the ordinary shares held by LATLP, except to the extent of his pecuniary interest therein.</w:t>
      </w:r>
    </w:p>
    <w:p>
      <w:pPr>
        <w:spacing w:after="0" w:line="183" w:lineRule="exact"/>
        <w:rPr>
          <w:rFonts w:ascii="Times New Roman" w:cs="Times New Roman" w:eastAsia="Times New Roman" w:hAnsi="Times New Roman"/>
          <w:sz w:val="14"/>
          <w:szCs w:val="14"/>
          <w:color w:val="auto"/>
        </w:rPr>
      </w:pPr>
    </w:p>
    <w:p>
      <w:pPr>
        <w:jc w:val="both"/>
        <w:ind w:left="340" w:hanging="332"/>
        <w:spacing w:after="0" w:line="282" w:lineRule="auto"/>
        <w:tabs>
          <w:tab w:leader="none" w:pos="3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57,061,196 Ordinary Shares held by LATLP. Mr. Qingfeng Feng indirectly holds 30.5714% pecuniary interest in LATLP. See footnote (4) for further details about LATLP. Mr. Qingfeng Feng disclaims beneficial ownership of all of the ordinary shares held by LATLP, except to the extent of his pecuniary interest therein.</w:t>
      </w:r>
    </w:p>
    <w:p>
      <w:pPr>
        <w:spacing w:after="0" w:line="350" w:lineRule="exact"/>
        <w:rPr>
          <w:rFonts w:ascii="Times New Roman" w:cs="Times New Roman" w:eastAsia="Times New Roman" w:hAnsi="Times New Roman"/>
          <w:sz w:val="14"/>
          <w:szCs w:val="14"/>
          <w:color w:val="auto"/>
        </w:rPr>
      </w:pPr>
    </w:p>
    <w:p>
      <w:pPr>
        <w:jc w:val="both"/>
        <w:ind w:left="340" w:hanging="332"/>
        <w:spacing w:after="0" w:line="261" w:lineRule="auto"/>
        <w:tabs>
          <w:tab w:leader="none" w:pos="3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186,648,945 Ordinary Shares held by LATLP. LATLP is a limited liability partnership incorporated under the laws of British Virgin Islands and its general partner is Yin Qing Holdings Limited. Yin Qing Holdings Limited is wholly owned by Mr. Qingfeng Feng, the CEO and director of the Company. On July 30, 2021, the partners of LATLP, namely Ming Jun Holdings Limited, Yin Qing Holdings Limited, Xing Rong Holdings Limited and Jing Can Holdings Limited signed an agreement, later joined by State Rainbow Investments Limited and Radiant Field Investments Limited, under which these partners agreed to act in concert with Ming Jun Holdings Limited. Ming Jun Holdings Limited is wholly owned by Mr. Shufu Li. Therefore, Mr. Shufu Li may be deemed to beneficially own all of the shares held of record by LATLP. The registered address of Lotus Advanced Technology Limited Partnership is Sertus Chambers, P.O. Box 905, Quastisky Building, Road Town, Tortola, British Virgin Islands.</w:t>
      </w:r>
    </w:p>
    <w:p>
      <w:pPr>
        <w:spacing w:after="0" w:line="191" w:lineRule="exact"/>
        <w:rPr>
          <w:rFonts w:ascii="Times New Roman" w:cs="Times New Roman" w:eastAsia="Times New Roman" w:hAnsi="Times New Roman"/>
          <w:sz w:val="14"/>
          <w:szCs w:val="14"/>
          <w:color w:val="auto"/>
        </w:rPr>
      </w:pPr>
    </w:p>
    <w:p>
      <w:pPr>
        <w:ind w:left="340" w:right="20" w:hanging="332"/>
        <w:spacing w:after="0" w:line="282" w:lineRule="auto"/>
        <w:tabs>
          <w:tab w:leader="none" w:pos="3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156,236,329 Ordinary Shares held by Etika. Etika is wholly owned by Albukhary Corporation Sdn. Bhd., which is 99.9% owned by Syed Mokhtar Shah Syed Nor. The address of Etika is Level 4B, No. 88, Jalan Perdana, Taman Tasik Perdana, 50480 Kuala Lumpur W.P. Kuala Lumpur.</w:t>
      </w:r>
    </w:p>
    <w:p>
      <w:pPr>
        <w:spacing w:after="0" w:line="175" w:lineRule="exact"/>
        <w:rPr>
          <w:rFonts w:ascii="Times New Roman" w:cs="Times New Roman" w:eastAsia="Times New Roman" w:hAnsi="Times New Roman"/>
          <w:sz w:val="14"/>
          <w:szCs w:val="14"/>
          <w:color w:val="auto"/>
        </w:rPr>
      </w:pPr>
    </w:p>
    <w:p>
      <w:pPr>
        <w:ind w:left="340" w:hanging="332"/>
        <w:spacing w:after="0" w:line="282" w:lineRule="auto"/>
        <w:tabs>
          <w:tab w:leader="none" w:pos="3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108,740,886 Ordinary Shares held by Lotus Technology International Investment Limited, or LTIIL. LTIIL is wholly owned by Geely HK, which is wholly owned by Geely Holding. Geely Holding is 82.233% owned by Mr. Shufu Li, 8.0583% owned by Mr. Xingxing Li, and 9.7087% owned by Ningbo Yima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4"/>
          <w:szCs w:val="14"/>
          <w:color w:val="auto"/>
        </w:rPr>
        <w:t>Enterprise Management Partnership (Limited Partnership). The registered address of LTIIL is Craigmuir Chambers, Road Town, Tortola, VG 1110, British Virgin Islands.</w:t>
      </w:r>
    </w:p>
    <w:p>
      <w:pPr>
        <w:spacing w:after="0" w:line="175"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50,000,000 held by Meritz. The business address of Meritz is Three IFC, 10 Gukjegeumyung-ro, Yeongdeungpo-gu, Seoul, Korea 07326.</w:t>
      </w:r>
    </w:p>
    <w:p>
      <w:pPr>
        <w:spacing w:after="0" w:line="230" w:lineRule="exact"/>
        <w:rPr>
          <w:rFonts w:ascii="Times New Roman" w:cs="Times New Roman" w:eastAsia="Times New Roman" w:hAnsi="Times New Roman"/>
          <w:sz w:val="14"/>
          <w:szCs w:val="14"/>
          <w:color w:val="auto"/>
        </w:rPr>
      </w:pPr>
    </w:p>
    <w:p>
      <w:pPr>
        <w:jc w:val="both"/>
        <w:ind w:left="340" w:hanging="332"/>
        <w:spacing w:after="0" w:line="272" w:lineRule="auto"/>
        <w:tabs>
          <w:tab w:leader="none" w:pos="3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47,995,443 Ordinary Shares held by LGIL. LGIL is wholly owned by Lotus Advance Technologies Sdn. Bhd, which is 51% owned by Geely HK and 49% owned by Etika. Geely HK is 100% owned by Geely Holding. See footnote (5) for details about Geely Holding. Etika is wholly owned by Albukhary Corporation Sdn. Bhd., which is 99.9% owned by Syed Mokhtar Shah Syed Nor. The registered address of LGIL is Potash Lane, Hethel, Norwich, Norfold, NR14 8EZ, England.</w:t>
      </w:r>
    </w:p>
    <w:p>
      <w:pPr>
        <w:spacing w:after="0" w:line="357" w:lineRule="exact"/>
        <w:rPr>
          <w:rFonts w:ascii="Times New Roman" w:cs="Times New Roman" w:eastAsia="Times New Roman" w:hAnsi="Times New Roman"/>
          <w:sz w:val="14"/>
          <w:szCs w:val="14"/>
          <w:color w:val="auto"/>
        </w:rPr>
      </w:pPr>
    </w:p>
    <w:p>
      <w:pPr>
        <w:jc w:val="both"/>
        <w:ind w:left="340" w:right="20" w:hanging="332"/>
        <w:spacing w:after="0" w:line="271" w:lineRule="auto"/>
        <w:tabs>
          <w:tab w:leader="none" w:pos="3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44,997,886 held by Jingkai Fund. Jingkai Fund is a limited liability partnership established under the laws of the People’s Republic of China. The registered address of Jingkai Fund is Room A, No. 05, 14/F., Building 6, Phase II, Wuhan Economic Development Wanda Plaza, Plot 12C2, Wuhan Economic and Technological Development Zone, Wuhan City, Hubei Province, China.</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To our knowledge, as of February 29, 2024, none of our ordinary shares were held by record holders in the United States.</w:t>
      </w:r>
    </w:p>
    <w:p>
      <w:pPr>
        <w:spacing w:after="0" w:line="23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4"/>
          <w:szCs w:val="14"/>
          <w:color w:val="auto"/>
        </w:rPr>
        <w:t>As of the date of this annual report, none of our ordinary shares are held by governmental entities of our place of incorporation, and no government entity in the place where our registered public accounting firm is located and organized has a controlling financial interest in our company.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are not aware of any arrangement that may, at a subsequent date, result in a change of control of our company.</w:t>
      </w:r>
    </w:p>
    <w:p>
      <w:pPr>
        <w:spacing w:after="0" w:line="231" w:lineRule="exact"/>
        <w:rPr>
          <w:sz w:val="20"/>
          <w:szCs w:val="20"/>
          <w:color w:val="auto"/>
        </w:rPr>
      </w:pPr>
    </w:p>
    <w:p>
      <w:pPr>
        <w:ind w:left="660" w:right="3060" w:hanging="652"/>
        <w:spacing w:after="0" w:line="500" w:lineRule="auto"/>
        <w:tabs>
          <w:tab w:leader="none" w:pos="458"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85"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18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refer to “Item 6. Directors, Senior Management and Employees—E. Share Ownership.”</w:t>
      </w:r>
    </w:p>
    <w:p>
      <w:pPr>
        <w:spacing w:after="0" w:line="180"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Business Combination Related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January 31, 2023, concurrently with the execution of the Original Merger Agreement, LCAA, the LCAA Founder Shareholders and LTC entered into the Sponsor Support Agreement, which was amended by the parties thereto on November 13, 2023, pursuant to which each LCAA Founder Shareholder has agreed, among other things and subject to the terms and conditions set forth therein, not to transfer any Ordinary Shares or Warrants (including any Ordinary Shares underlying such Warrants) held by such LCAA Founder Shareholder immediately after the First Effective Time, if any, for a period of six months after February 22, 2024, subject to certain exceptions. The Sponsor also agreed to use commercially reasonable efforts to facilitate discussions between LTC and entities holding brands that may be approved by LTC from time to time with respect to potential collaborations between us and such entities in connection with the following activities of LTC: product development, marketing, customer engagement, retail space, and technology infrastructure development.</w:t>
      </w:r>
    </w:p>
    <w:p>
      <w:pPr>
        <w:spacing w:after="0" w:line="15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of the LCAA Class B Ordinary Shares held by the Sponsor as of the date of the Sponsor Support Agreement were subject to earn-out restrictions pursuant to the Sponsor Support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Agreement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Original Merger Agreement, on January 31, 2023, LTIL entered into the Distribution Agreement with Lotus Cars Limited, the entity carrying out the sportscar manufacturing operations of Lotus UK, pursuant to which LTIL is appointed as the exclusive global distributor (excluding the U.S., where LTIL will act as the head distributor with the existing regional distributor continuing its functions) for Lotus Cars Limited to distribute vehicles, parts and certain tools, and to provide after sale services and brand, marketing and public relations for such vehicles, part and tools distributed by it on the terms and conditions of the Distribution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Put Option Agreements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Original Merger Agreement, on January 31, 2023, LTC entered into a put option agreement with each of Geely HK and Etika, pursuant to which each of Geely HK and Etika is granted the right to require LTC to purchase all of the equity interests held by each of Geely HK and Etika in Lotus Advance Technologies Sdn Bhd, the parent company of Lotus UK, at a pre-agreed price which will be calculated based on the total revenue of LGIL for the year of 2024 adjusted to exclude net debt, at a future date during the period from April 1, 2025 to June 30, 2025 and contingent upon satisfaction of certain pre-agreed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and following the execution of the Original Merger Agreement, LCAA and LTC entered into lock-up agreements with each of the shareholders of LTC that are not parties to the LTC Shareholder Support Agreement, pursuant to which, among other things, each such LTC shareholder agrees not to transfer, for a period of six months following February 22, 2024, certain Ordinary Shares such LTC shareholder will hold following the Closing, on the terms and subject to the conditions set forth in the lock-up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22, 2024, LTC, the LCAA Founder Shareholders entered into a Registration Rights Agreement, which provides for the customary registration rights of the LCAA Founder Shareholders.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Assignment, Assumption and Amendment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22, 2024, LTC, LCAA, Continental and Equiniti entered into the Assignment, Assumption and Amendment Agreement, pursuant to which the LCAA Warrants were assumed by LTC, Equiniti was engaged as the warrant agent under the Warrant Agreement, and Continental, as the warrant agent for LCAA, assigned to Equiniti all of its rights, interests and obligations in and under the Warrant Agreement dated as of March 10, 2021 between LCAA and Continental.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Meritz Investment</w:t>
      </w:r>
    </w:p>
    <w:p>
      <w:pPr>
        <w:spacing w:after="0" w:line="2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November 15, 2023, LTC entered into the Meritz Subscription Agreement with Meritz, pursuant to which, among other things, Meritz agreed to subscribe for, and LTC agreed to issue to Meritz 50,000,000 Ordinary Shares, or the Meritz Subscription Shares, at an aggregate subscription price equal to US$500,000,000. Pursuant to the Meritz Subscription Agreement, security documents were executed and delivered, granting certain security interests over the Restricted Cash Account (as defined below) and the Restricted Securities Account (as defined below) in favor of Meritz (such documents being collectively referred to as the “Security Documents”) to secure the put options and certain other obligations of LTC under the Meritz Subscription Agreement and the security interests granted to Meritz in accordance with the Security Documents were created and perfected. Pursuant to the Meritz Subscription Agreement, LTC deposited into the Restricted Securities Account (i) certain U.S. treasury bonds with the aggregate outstanding principal amount of US$325,000,000, and (ii) certain U.S. treasury bonds and/or U.S. treasury bills with the aggregate outstanding principal amount of US$175,000,000 after February 22, 2024. The Meritz Subscription Agreement shall terminate upon the earliest to occur of (a) termination of the Merger Agreement; (b) March 15, 2024, or such later Termination Date of the Merger Agreement as agreed among the parties hereto; (c) such date on which Meritz ceases to hold any of the Meritz Subscription Shares; and (d) March 24, 2027. Upon the termination of the Meritz Subscription Agreement, Meritz shall release all U.S. treasury bonds and/or U.S. treasury bills from the Restricted Securities Account and all the cash collateral from the Restricted Cash Account, in the manner set out in the Security Documents.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Meritz Put Option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Meritz has a put option, or the Put Option, to sell all or part of the Meritz Subscription Shares then held by it to LTC or any third party as nominated by LTC and approved by Meritz at a price, or the Put Option Price, equal to the Agreed Return upon the occurrence of (a) any Credit Event (as defined below) in respect of LTC; (b) any Collateral Default (as defined below); (c) failure by LTC to either</w:t>
      </w:r>
    </w:p>
    <w:p>
      <w:pPr>
        <w:jc w:val="both"/>
        <w:ind w:firstLine="8"/>
        <w:spacing w:after="0" w:line="248" w:lineRule="auto"/>
        <w:tabs>
          <w:tab w:leader="none" w:pos="23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total amount of freely available cash that is not subject to any legal or contractual restrictions as to withdrawal or use (excluding any restriction that is imposed by the foreign exchange rules or policies under applicable law) held by it as of the last date of each fiscal quarter shall be no less than US$175,000,000, in each case as evidenced in the applicable quarterly financial results filed or furnished by it with the SEC pursuant to a Current Report on Form 6-K, or (ii) file or furnish with the SEC pursuant to a Current Report on Form 6-K, (A) its quarterly financial results for each of the first and the third fiscal quarters within 60 calendar days following the last date of such fiscal quarter, (B) its second quarter and half-year financial results within 120 calendar days following the last date of such fiscal quarter, and (C) its fourth quarter and full-year financial results within 120 calendar days following the last date of such fiscal quarter; (d) failure of any of the Meritz Subscription Shares (including in the form of ADS) being eligible for resale pursuant to an effective registration statement filed with and declared effective by the SEC (such condition being referred to as the “Registration Condition”) and any such Meritz Subscription Shares not being eligible for resale under Rule 144 solely due to failure of LTC to meet the public information requirement under such rule at any time after August 22, 2024; or (e) February 22, 2027, which date may be extended by LTC subject to Meritz’s prior written consent (each of the events described in (a) through (e) is referred to as a “Put Option Trigger Event”). Meritz shall have the right to exercise the Put Option at any time from the date of occurrence of the applicable Put Option Trigger Event but on or before the 30th day after the receipt of a written notice from LTC of the occurrence of the applicable Put Option Trigger Event. Whether or not the Put Option has lapsed with respect to a particular Put Option Trigger Event, in the event of occurrence of another Put Option Trigger Event and provided that Meritz has not exercised the Put Option with respect to any of the Meritz Subscription Shares, the Put Option shall be deemed to be reinstated with respect to such other Put Option Trigger Event. The Put Option lapses if Meritz has not exercised the Put Option within 30 calendar days after the Third Anniversary. On the date on which LTC acquires such Meritz Subscription Shares with respect to which Meritz exercises its Put Option, or the “Put Option Shares, LTC shall be permitted to withdraw, and Meritz shall cause to be re-leased, all U.S. treasury bonds and/or U.S. treasury bills from the Restricted Securities Account and all the cash col-lateral from the Restricted Cash Account.</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“Agreed Return” means (i) an amount that provides Meritz with a 12.5% internal rate of return on the product of: (a) US$500,000,000; and (b) a fraction, (x) the numerator of which is the number of the Put Option Shares; and (y) the denominator of which is 50,000,000 (subject to any applicable anti-dilution adjustment), less (ii) an amount that yields a 12.5% internal rate of return on any cash dividends actually received by Meritz from LTC with respect to the Put Option Shares. “Credit Event” means any change of control, delisting or suspension of trading for 30 consecutive trading days, or non-payment of financial indebtedness or final judgment or court order over specified amount. “Collateral Default” means any failure to satisfy the Cash Top Up Obligation (as defined below), any failure to deposit the U.S. treasury bonds and/or U.S. treasury bills in the manner and amounts as required under the Meritz Subscription Agreement, any failure by LTC to perfect the security interests in the manner as required under the Meritz Subscription Agreement, or any material breach of any Security Document.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LTC Call Options</w:t>
      </w:r>
    </w:p>
    <w:p>
      <w:pPr>
        <w:spacing w:after="0" w:line="22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LTC has the right to acquire from Meritz (i) not more than the lower of (a) 17,500,000 Meritz Subscription Shares and (b) the number of Meritz Subscription Shares actually held by Meritz at the relevant time after the satisfaction of the Registration Condition and after the first date on which the arithmetic mean (such arithmetic mean being referred to as the “Market Price”) of the last reported publicly traded price of the Ordinary Shares of the Company at the closing of trading on a trading day (such traded price at closing being referred to as the “Closing Price”) for the five (5) trading days immediately prior to the date of determination is greater than US$14.00, at a per share purchase price of US$14.00 (such option being referred to as “Call Option 1”); (ii) not more than the lower of (a) 7,500,000 Meritz Subscription Shares and (b) the number of Meritz Subscription Shares actually held by Meritz at the relevant time ((such option being referred to as “Call Option 2”) after February 22, 2025 at a per share price equal to the greater of (a) US$14.00 and</w:t>
      </w:r>
    </w:p>
    <w:p>
      <w:pPr>
        <w:spacing w:after="0" w:line="3" w:lineRule="exact"/>
        <w:rPr>
          <w:sz w:val="20"/>
          <w:szCs w:val="20"/>
          <w:color w:val="auto"/>
        </w:rPr>
      </w:pPr>
    </w:p>
    <w:p>
      <w:pPr>
        <w:jc w:val="both"/>
        <w:ind w:firstLine="8"/>
        <w:spacing w:after="0" w:line="249" w:lineRule="auto"/>
        <w:tabs>
          <w:tab w:leader="none" w:pos="27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on the date of delivery of the notice by LTC to exercise Call Option 2; and (iii) not more than the lower of (a) 7,500,000 Meritz Subscription Shares and (b) the number of Meritz Subscription Shares actually held by Meritz at the relevant time (such option being referred to as “Call Option 3,” and together with Call Option 1 and Call Option 2, being collectively referred to as the “Call Options”) after February 22, 2026 at a per share price equal to the greater of (a) US$14.00 and (b) the Market Price on the date of delivery of the notice by LTC to exercise Call Option 3. Call Option 1 lapses on the earlier of the date that is (i) two business days after Call Option 1 becomes exercisable if LTC has not delivered the notice to exercise Call Option 1 before then, and (ii) 25 months after the closing date of the Meritz Investment. Each of Call Option 2 and Call Option 3 lapses 30 calendar days after the applicable Call Option becomes exercisable if LTC has not delivered the notice exercise the applicable Call Option before then. On the date on which LTC acquires such Meritz Subscription Shares with respect to which LTC exercises Call Option 2 or Call Option 3 (subject to payment of the applicable Call Option price to Meritz), LTC shall be permitted to withdraw U.S. treasury bonds from the Restricted Securities Account in the outstanding principal amount that is equal to (a) the number of the Meritz Subscription Shares subject to the applicable Call Option multiplied by (b) US$10.00.</w:t>
      </w:r>
    </w:p>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that LTC declines (or fails to accept the offer) to acquire the Meritz Subscription Shares pur-suant to its right of first offer as described below, Call Option 2 and Call Option 3 shall immediately lapse.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(iii) LTC Right of First Offer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and after the first date on which Meritz holds 15,000,000 (or 7,500,000, if as of such date, LTC has exercised Call Option</w:t>
      </w:r>
    </w:p>
    <w:p>
      <w:pPr>
        <w:spacing w:after="0" w:line="27" w:lineRule="exact"/>
        <w:rPr>
          <w:sz w:val="20"/>
          <w:szCs w:val="20"/>
          <w:color w:val="auto"/>
        </w:rPr>
      </w:pPr>
    </w:p>
    <w:p>
      <w:pPr>
        <w:jc w:val="both"/>
        <w:ind w:firstLine="8"/>
        <w:spacing w:after="0" w:line="249" w:lineRule="auto"/>
        <w:tabs>
          <w:tab w:leader="none" w:pos="20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fewer Meritz Subscription Shares, if Meritz desires to sell, dispose of or otherwise transfer 1,000,000 or more Meritz Subscription Shares to any third party in one or a series of related transactions, then LTC shall have a right of first offer to purchase all (but not less than all) Meritz Subscription Shares then held by Meritz, at a per share price equal to the Market Price as of the date of delivery of a written notice to LTC from Meritz of the proposed transfer. LTC shall have two business days following the receipt of such notice to accept or reject such offer. In the event that LTC does not elect to exercise its right of first offer, Meritz may transfer the relevant Meritz Subscription Shares to such third party within 180 days (as may be extended for regulatory approval) at a per share price equal to or higher than the Market Price as of the date of delivery of the written notice to LTC. In no event shall Meritz be required to deliver any notice pursuant to LTC’s right of first offer more than once.</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LTC’s right of first offer shall be void and of no force and effect upon the earlier of (a) the exercise of both Call Option 2 and Call Option 3 by LTC, and (b) March 22,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(iv) Security</w:t>
      </w:r>
    </w:p>
    <w:p>
      <w:pPr>
        <w:spacing w:after="0" w:line="2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LTC’s obligations to pay the Put Option Price, purchase price for Call Options and purchase price for the Meritz Subscription Shares with respect to which LTC has exercised its right of first offer under the Meritz Subscription Agreement (amount of payment by LTC to Meritz to fulfil such obligations and any obligations under any of the Security Documents, together with any expenses of Meritz in connection with any sale or other realization to enforce its security interest, are collectively referred to as the “Secured Amount”) are secured by (a) a fixed charge over a restricted securities account, or the Restricted Securities Account, of LTC holding certain U.S. treasury bonds and/or U.S. treasury bills granted in favor of Meritz, and (b) a fixed charge over a restricted cash account of LTC granted in favor of Meritz, subject to the requirement for LTC to deposit cash into and/or the right of LTC to have certain cash be released from such cash account, or the Restricted Cash Account, depending on the trading price of Ordinary Shares (including in the form of ADS), as described below.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After Meritz has released U.S. treasury bonds and/or U.S. treasury bills with outstanding principal amount equal to US$175,000,000, in the event that the Closing Price drops below a certain level, LTC is obligated to, within five business days thereafter, deposit additional cash in U.S. dollars in the Restricted Cash Account such that the balance thereof would meet the applicable requirement for cash collateral (such obligation to top up being referred to as the “Cash Top Up Obligation”). If the Closing Price on any trading day exceeds US$7.00 and if no Event of Default, Credit Event or Collateral Default has occurred and is continuing or would result therefrom, LTC shall be permitted to withdraw all cash in the Restricted Cash Account on such trading day, with such withdrawal to take place on such trading day or the immediately following trading day. Subject to the satisfaction of the Registration Condition, LTC’s Cash Top Up Obligations shall terminate from and after the earlier of (a) the first date on which the Closing Price exceeds US$14.00, and (b) the full payment of the Put Option Price to Meritz.</w:t>
      </w:r>
    </w:p>
    <w:p>
      <w:pPr>
        <w:spacing w:after="0" w:line="1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later of (i) May 22, 2024 and (ii) satisfaction of the Registration Condition, if no Event of Default, Credit Event or Collateral Default has occurred and is continuing or would result therefrom, LTC shall be permitted to withdraw U.S. treasury bonds and/or U.S. treasury bills with outstanding principal amount equal to US$175,000,000 from the Restricted Securities Account.</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Meritz shall have the right to Rehypothecate all collateralized U.S. treasury bonds and/or U.S. treasury bills during the applicable security period without any further consent of LTC, subject to the applicable terms and conditions of the Security Documents. Subject to the terms and conditions of the Security Documents, (a) Meritz shall pay any coupon payments received in respect of the Rehypothecated U.S. treasury bonds and/or U.S. treasury bills to an account designated by LTC promptly following the date of actual payment thereof, (b) in the event that LTC is permitted under the Meritz Subscription Agreement to withdraw any Rehypothecated U.S. treasury bonds and/or U.S. treasury bills and provides Meritz with written notice of such requested withdrawal, Meritz shall return (or cause to be returned) to the Restricted Securities Account U.S. treasury bonds and/or U.S. treasury bills of the same (i) class and issue (as shall be evidenced by such returned U.S. treasury bonds and/or U.S. treasury bills having the same CUSIP/ISIN number) and (ii) outstanding principal amount as the U.S. treasury bonds and/or U.S. treasury bills subject to withdrawal, and (c) Meritz shall be obligated, upon the earlier of (i) the expiry of the applicable security period or (ii) the occurrence of any insolvency event, bankruptcy, liquidation, dissolution or winding up or similar event, whether voluntary of involuntary, or a filing for bankruptcy or similar proceedings in respect of Meritz, return all Rehypothecated U.S. treasury bonds and/or U.S. treasury bills to the Restricted Securities Ac-count.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“Events of Default” means any of the following: (a) if LTC fails to fulfil its obligations with respect to the Put Option, (b) if LTC fails to deliver a written notice of the occurrence of a Put Option Trigger Event to Meritz with-in five business days of such occurrence (February 22, 2027), (c) if LTC exercises any of the Call Options but fails to fulfil its obligations with respect to such Call Options, (d) if LTC exercises its right of first offer but fails to fulfil its obligations with respect to its right of first offer, or (e) any voluntary or involuntary insolvency event, bankruptcy, liquidation, dissolution or winding up or similar event, or a filing for bankruptcy or similar proceedings, of LTC.</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 Event of Default occurs, Meritz shall have the right to enforce the security interests granted to Meritz in accordance with the Security Documents to recover the Secured Amount, and to the extent there is a shortfall between the gross proceeds that Meritz has realized from enforcement of the security interests and the Secured Amount, LTC remains liable to pay such shortfall to Meritz. Immediately after and solely to the extent that Meritz has actually received the Secured Amount, Meritz shall surrender the applicable Meritz Subscription Shares (which are the subject of the event or occurrence giving rise to the applicable Event of Default) to LTC at nil consideration.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 Registration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Ordinary Shares were issued to Meritz pursuant to the Meritz Investment in an offshore transaction under the ex-emption from registration requirements of the Securities Act provided by Regulation S promulgated thereunder. The Meritz Subscription Agreement provides that LTC will file with the SEC (at LTC’s sole cost and expense) a registration statement registering the resale of the Ordinary Shares subscribed by Meritz and will use its commercially reasonable efforts to have such registration statement declared effective as soon as practicable after the filing thereof but no later than August 22, 2024. Meritz will also have piggyback registration rights for the Meritz Subscription Shares in connection with certain registrations of securities that LTC undertakes.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Compensation—Share Incentive Plans.”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sold sports cars, BEV lifestyle models, auto parts and peripheral products and provided R&amp;D services and other consulting services to a number of related parties. We provided services to related parties amounting to US$12.6 million, US$8.3 million and US$3.3 million for the years ended December 31, 2023, 2022 and 2021, respectively. We sold sports cars, BEV lifestyle models, auto parts and peripheral products to related parties amounting to US$3.4 million, US$23 thousand and nil for the years end December 31, 2023, 2022 and 2021, respectively. Accounts receivable due from related parties arising from sales of goods and provision of services were US$22.4 million and US$8.5 million as of December 31, 2023 and 2022, respectively. As of December 31, 2023 and 2022, receipts in advance of US$1 thousand and US$8 thousand were included in contract liabilities – related parties, respectively.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Prepayments and other current assets – related parties and other non-current assets – related parties of us are arising from transactions related to purchase of products and services, loans to related parties, and cash receipts on behalf of us as follows.</w:t>
      </w:r>
    </w:p>
    <w:p>
      <w:pPr>
        <w:spacing w:after="0" w:line="162" w:lineRule="exact"/>
        <w:rPr>
          <w:sz w:val="20"/>
          <w:szCs w:val="20"/>
          <w:color w:val="auto"/>
        </w:rPr>
      </w:pPr>
    </w:p>
    <w:p>
      <w:pPr>
        <w:jc w:val="both"/>
        <w:ind w:left="1300" w:hanging="644"/>
        <w:spacing w:after="0" w:line="254"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payments of US$4.0 million, US$244 thousand and nil on behalf of related parties for the years ended December 31, 2023, 2022 and 2021, respectively. Related parties collected cash receipts of US$3.7 million, nil and nil on behalf of us for the years ended December 31, 2023, 2022 and 2021, respectively. As of December 31, 2023 and 2022, receivables of US$4.3 million and US$244 thousand were included in prepayments and other current assets – related parties, respectively.</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2023, 2022 and 2021, we provided unsecured short-term loans of US$1.2 million, US$2.3 million and nil, respectively, to related parties with interest rates of 3.65%-4.5% per annum. We recognized interest income of US$122 thousand, US$24 thousand and nil for the years ended December 31, 2023, 2022 and 2021, respectively. As of December 31, 2023 and 2022, US$3.0 million and US$2.4 million receivable as principal amount of the loans and as interest were included in prepayments and other current assets – related parties, respectively.</w:t>
      </w:r>
    </w:p>
    <w:p>
      <w:pPr>
        <w:spacing w:after="0" w:line="189" w:lineRule="exact"/>
        <w:rPr>
          <w:rFonts w:ascii="Times New Roman" w:cs="Times New Roman" w:eastAsia="Times New Roman" w:hAnsi="Times New Roman"/>
          <w:sz w:val="18"/>
          <w:szCs w:val="18"/>
          <w:color w:val="auto"/>
        </w:rPr>
      </w:pPr>
    </w:p>
    <w:p>
      <w:pPr>
        <w:jc w:val="both"/>
        <w:ind w:left="1300" w:right="20" w:hanging="644"/>
        <w:spacing w:after="0" w:line="261"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prepayments to related parties for purchase of vehicles, auto parts and peripheral products of US$21.4 million and US$6.1 million were included in prepayments and other current assets – related parties as of December 31, 2023 and 2022, respectively. The amounts of prepayments to relate party for purchase of equipment of US$2.7 million and nil were included in other non-current assets-related parties as of December 31, 2023 and 2022, respectively.</w:t>
      </w:r>
    </w:p>
    <w:p>
      <w:pPr>
        <w:spacing w:after="0" w:line="16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prepayments to related parties for short-term lease agreements of US$82 thousand and nil were included in prepayments and other current assets – related parties as of December 31, 2023 and 2022, respectively.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1, 2023, upon the adoption of ASC 326, the expected credit loss provision for prepayments and other current assets – related parties not under common control was US$12 thousand. For the year ended December 31, 2023, we recorded US$11 thousand in expected credit losses for prepayments and other current assets – related parties not under common control in general and administrative expenses. As of December 31, 2023, the expected credit loss provision recorded in prepayments and other current assets – related parties not under common control was US$23 thousand.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Accounts payable – related parties, accrued expenses and other current liabilities – related parties and other non-current liabilities– related parties are arising from transactions related to purchase of products and services, purchase of equipment and software, and payments by related parties on behalf of us as follows.</w:t>
      </w:r>
    </w:p>
    <w:p>
      <w:pPr>
        <w:spacing w:after="0" w:line="183" w:lineRule="exact"/>
        <w:rPr>
          <w:sz w:val="20"/>
          <w:szCs w:val="20"/>
          <w:color w:val="auto"/>
        </w:rPr>
      </w:pPr>
    </w:p>
    <w:p>
      <w:pPr>
        <w:jc w:val="both"/>
        <w:ind w:left="1300" w:hanging="644"/>
        <w:spacing w:after="0" w:line="253"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sports cars, BEV lifestyle models, auto parts, peripheral products, commercial services relating to sales of sports cars and BEV lifestyle models and other consulting services from related parties. During the years ended December 31, 2023, 2022 and 2021, these purchases amounted to US$852.6 million, US$44.3 million and US$14.3 million, among which, US$549.9 million, US$839 thousand and US$331 thousand were recognized as cost of goods sold for the years ended December 31, 2023, 2022 and 2021, respectively. As of December 31, 2023 and 2022, purchases including sports cars, BEV lifestyle models, auto parts and peripheral products of US$248.3 million and US$21.9 million were recorded as inventories, respectively.</w:t>
      </w:r>
    </w:p>
    <w:p>
      <w:pPr>
        <w:spacing w:after="0" w:line="187"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and 2022, the amounts due to related parties for purchase of office materials, commercial services relating to sales of sports cars and BEV lifestyle models and other consulting services of US$27.7 million and US$8.7 million were included in accrued expenses and other current liabilities – related parties, respectively.</w:t>
      </w:r>
    </w:p>
    <w:p>
      <w:pPr>
        <w:spacing w:after="0" w:line="17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and 2022, the amounts due to related parties for purchase of sports cars, BEV lifestyle models, auto parts and peripheral products of US$340.4 million and US$5.8 million were included in accounts payable-related parties, respectively.</w:t>
      </w:r>
    </w:p>
    <w:p>
      <w:pPr>
        <w:spacing w:after="0" w:line="162"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products and services from related parties for R&amp;D activities. We recoded R&amp;D expenses of US$134.7 million, US$167.0 million and US$47.4 million during the years ended December 31, 2023, 2022 and 2021, respectively. As of December 31, 2023 and 2022, the amounts due to related partis for purchase of products and services for R&amp;D activities of US$217.3 million and US$162.9 million were included in accrued expenses and other current liabilities – related parties, respectively.</w:t>
      </w:r>
    </w:p>
    <w:p>
      <w:pPr>
        <w:spacing w:after="0" w:line="16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equipment and software of US$11.2 million, US$42.8 million and US$6.3 million from related parties for the years ended December 31, 2023, 2022 and 2021, respectively. As of December 31, 2023 and 2022, the amounts due to related parties for purchase of equipment and software of US$19.8 million and US$8.4 million were included in accrued expenses and other current liabilities – related parties, respectively.</w:t>
      </w:r>
    </w:p>
    <w:p>
      <w:pPr>
        <w:spacing w:after="0" w:line="166"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parties paid US$14.5 million and US$3.0 million on behalf of us in association with travelling expenses, staff salary and social welfare, and other miscellaneous expenses, of which US$1.6 million and US$3.0 million were included in accrued expenses and other current liabilities – related parties as of December 31, 2023 and 2022, respectively.</w:t>
      </w:r>
    </w:p>
    <w:p>
      <w:pPr>
        <w:spacing w:after="0" w:line="166"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short-term lease agreements with related parties to rent office spaces. During the years ended December 31, 2023, 2022 and 2021, we incurred short-term lease costs of US$765 thousand, US$347 thousand and US$243 thousand, respectively. As of December 31, 2023 and 2022, payables for short-term leases of US$323 thousand and US$272 thousand were included in accrued expenses and other current liabilities – related parties, respectively.</w:t>
      </w:r>
    </w:p>
    <w:p>
      <w:pPr>
        <w:spacing w:after="0" w:line="169" w:lineRule="exact"/>
        <w:rPr>
          <w:rFonts w:ascii="Times New Roman" w:cs="Times New Roman" w:eastAsia="Times New Roman" w:hAnsi="Times New Roman"/>
          <w:sz w:val="18"/>
          <w:szCs w:val="18"/>
          <w:color w:val="auto"/>
        </w:rPr>
      </w:pPr>
    </w:p>
    <w:p>
      <w:pPr>
        <w:jc w:val="both"/>
        <w:ind w:left="1300" w:right="20" w:hanging="644"/>
        <w:spacing w:after="0" w:line="261"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deposits of US$251 thousand, US$1.6 million and nil from related parties for the years ended December 31, 2023, 2022 and 2021, respectively. As of December 31, 2023 and 2022, US$168 thousand and nil were included in accrued expenses and other current liabilities – related parties, and US$1.6 million and US$1.6 million were included in other non-current liabilities-related parties, respectively.</w:t>
      </w:r>
    </w:p>
    <w:p>
      <w:pPr>
        <w:spacing w:after="0" w:line="166"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31, 2023, we entered into a distribution agreement with Lotus Cars Limited, a wholly owned subsidiary of LGIL and ultimately controlled by our controlling shareholder, pursuant to which we were appointed as the exclusive global distributor to distribute certain models of vehicles and to provide after-sale services and brand, marketing and public relations for such vehicles distributed by it since January 31, 2023, for a cash consideration of GBP18.1 million (equivalent to US$22.3 million). As of December 31, 2023, payable for the distribution right of US$23.0 million was included in accrued expenses and other current liabilities – related parties.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2019, the Company’s subsidiary, Lotus Tech UK, borrowed a one-year unsecured loan from a related party with the principal amount of US$10.2 million, bearing an interest rate of 2% per annum, the maturity date of which was August 31, 2022. The borrowing was repaid in August 2022. During the years ended December 31, 2022 and 2021, we incurred interest expenses of US$90 thousand and US$220 thousand, respectively.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entered into lease agreements with related parties to rent office spaces and parking spaces. During the years ended December 31, 2023, 2022 and 2021, we recognized right-of-use assets of US$12.2 million, US$214 thousand and US$1.3 million from related parties, respectively. We paid lease liabilities of US$269 thousand, US$98 thousand and US$545 thousand during the years ended December 31, 2023, 2022 and 2021, respectively. As of December 31, 2023 and 2022, current operating lease liabilities were US$840 thousand and US$13 thousand, espectively, and non-current operating lease liabilities were US$12.1 million and US$170 thousand, respectively.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12, 2021, we entered into a license agreement with Zhejiang Liankong Technologies Co., Ltd, a subsidiary of Geely Holding. Under the terms of the agreement, we received a non-exclusive, perpetual, irrevocable and non-sublicensable license for the electric automotive chassis and autonomous driving technology platform, or the “Geely License,” with a consideration of US$288.9 million.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Geely License is contractually restricted to be used in certain of our R&amp;D projects. We conclude that the Geely License has no alternative future use, therefore the cost of the license has been expensed as research and development expenses in the consolidated and combined statement of comprehensive loss for the year ended December 31, 2021.</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November 2021, we obtained the trademark licenses from Group Lotus Limited, a related party controlled by Geely Holding, by issuing 47,995,443 ordinary shares to LGIL, a related party controlled by Geely Holding.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 2021, we, through our subsidiary, Lotus Technology Innovative Limited, entered into an equity transfer agreement, pursuant to which, Lotus Technology Innovative Limited agreed to acquire 100% equity interest in Lotus Tech Innovation Centre GmbH from a related party, Geely UK Limited, at a consideration of US$15.5 million, which was settled in June 2022. The transaction was accounted for as common control transaction and completed in June 2022.</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13, 2022, we purchased a one-year convertible note with a principal amount of US$10.0 million issued by ECARX Holding Inc. Upon the listing of ECARX Holding Inc. on December 21, 2022, the note was automatically converted into Class A ordinary shares of ECARX Holding Inc. at a conversion price of US$9.50 per share. As of December 31, 2023 and 2022, the fair value of such shares was US$3.3 million and US$8.4 million, respectively.</w:t>
      </w:r>
    </w:p>
    <w:p>
      <w:pPr>
        <w:spacing w:after="0" w:line="176" w:lineRule="exact"/>
        <w:rPr>
          <w:sz w:val="20"/>
          <w:szCs w:val="20"/>
          <w:color w:val="auto"/>
        </w:rPr>
      </w:pPr>
    </w:p>
    <w:p>
      <w:pPr>
        <w:ind w:left="660" w:right="6760" w:hanging="652"/>
        <w:spacing w:after="0" w:line="500" w:lineRule="auto"/>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12"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appended consolidated and combined financial statements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from time to time be subject to various legal or administrative claims and proceedings arising in the ordinary course of our business. We are currently not a party to any material legal or administrative proceedings.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Litigation or any other legal or administrative proceeding, regardless of the outcome, is likely to result in substantial costs and diversion of our resources, including our management’s time and attention.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not declared or paid cash dividends or made any distributions as of the date of this annual report. We do not intend to declare dividends or make distributions in the near future. Any determination to pay dividends on our ordinary shares would be at the discretion of our board of directors, subject to applicable laws, and would depend on our financial condition, results of operations, capital requirements, general business conditions, and other factors that our board of directors may deem relevant.</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a holding company, we may rely on dividends from our subsidiaries for cash requirements, including any payment of dividends to its shareholders. The ability of our subsidiaries to pay dividends or make distributions to us may be restricted by laws and regulations applicable to them or the debt they incur on their own behalf or the instruments governing their debt. Restrictions on the ability of our mainland China subsidiaries to pay dividends to an offshore entity primarily include: (i) the mainland China subsidiaries may pay dividends only out of their accumulated after-tax profits upon satisfaction of statutory conditions and procedures, if any, determined in accordance with accounting standards and regulations in mainland China; (ii) each of the mainland China subsidiaries is required to set aside at least 10% of its after-tax profits each year, if any, to fund certain reserve funds until the total amount set aside reaches 50% of its registered capital; (iii) the mainland China subsidiaries are required to complete certain procedural requirements related to foreign exchange control in order to make dividend payments in foreign currencies; and (iv) a withholding tax, at the rate of 10% or lower, is payable by the mainland China subsidiary upon dividend remittance. Under Cayman Islands Law, while there are no exchange control regulations or currency restrictions, we are also subject to certain restrictions under Cayman Islands law on dividend distribution to its shareholders, namely that it may only pay dividends out of profits or share premium account, and provided always that in no circumstances may a dividend be paid if this would result in us being unable to pay our debts as they fall due in the ordinary course of business immediately following the date on which the dividend is paid.</w:t>
      </w:r>
    </w:p>
    <w:p>
      <w:pPr>
        <w:spacing w:after="0" w:line="190"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and combined financial statements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12"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and Listing Details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ADSs and Warrants have been listed on The Nasdaq Global Market since February 23, 2024 under the symbols “LOT” and “LOTWW,” respectively.</w:t>
      </w:r>
    </w:p>
    <w:p>
      <w:pPr>
        <w:spacing w:after="0" w:line="158" w:lineRule="exact"/>
        <w:rPr>
          <w:sz w:val="20"/>
          <w:szCs w:val="20"/>
          <w:color w:val="auto"/>
        </w:rPr>
      </w:pPr>
    </w:p>
    <w:p>
      <w:pPr>
        <w:ind w:left="660" w:right="7740" w:hanging="652"/>
        <w:spacing w:after="0" w:line="530" w:lineRule="auto"/>
        <w:tabs>
          <w:tab w:leader="none" w:pos="660"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ADSs and Warrants are listed on Nasdaq under the symbols “LOT” and “LOTWW,” respectively.</w:t>
      </w:r>
    </w:p>
    <w:p>
      <w:pPr>
        <w:spacing w:after="0" w:line="207" w:lineRule="exact"/>
        <w:rPr>
          <w:rFonts w:ascii="Times New Roman" w:cs="Times New Roman" w:eastAsia="Times New Roman" w:hAnsi="Times New Roman"/>
          <w:sz w:val="18"/>
          <w:szCs w:val="18"/>
          <w:b w:val="1"/>
          <w:bCs w:val="1"/>
          <w:color w:val="auto"/>
        </w:rPr>
      </w:pPr>
    </w:p>
    <w:p>
      <w:pPr>
        <w:ind w:left="660" w:right="7680" w:hanging="652"/>
        <w:spacing w:after="0" w:line="530" w:lineRule="auto"/>
        <w:tabs>
          <w:tab w:leader="none" w:pos="660"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660" w:right="7640" w:hanging="652"/>
        <w:spacing w:after="0" w:line="537" w:lineRule="auto"/>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10.Additional Information</w:t>
      </w:r>
    </w:p>
    <w:p>
      <w:pPr>
        <w:spacing w:after="0" w:line="225" w:lineRule="exact"/>
        <w:rPr>
          <w:sz w:val="20"/>
          <w:szCs w:val="20"/>
          <w:color w:val="auto"/>
        </w:rPr>
      </w:pPr>
    </w:p>
    <w:p>
      <w:pPr>
        <w:jc w:val="both"/>
        <w:ind w:left="660" w:right="8160" w:hanging="652"/>
        <w:spacing w:after="0" w:line="522" w:lineRule="auto"/>
        <w:tabs>
          <w:tab w:leader="none" w:pos="660"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seventh amended and restated memorandum and articles of association, as well as the Companies Act (As Revised) insofar as they relate to the material terms of our ordinary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description of the Warrants is also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registered office of our company is at Maples Corporate Services Limited, PO Box 309, Ugland House, Grand Cayman, KY1-1104, Cayman Islands. The objects for which our company is established are unrestricted and we have full power and authority to carry out any object not prohibited by the Companies Act (As Revised) or any other law of the Cayman Islands.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Employees—C. Board Practices—Board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our issued and outstanding ordinary shares are fully paid and non-assessable.</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shareholders who are non-residents of the Cayman Islands may freely hold and vote their ordinary shares. The Amended Articles prohibit us from issuing bearer or negotiable shares. We may not issue share to bearer and Ordinary Shares are issued in registered form, which will be issued when registered in our register of members.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maintain a register of shareholders and a shareholder will only be entitled to a share certificate if our board of directors resolves that share certificates be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holders of the Ordinary Shares are entitled to receive such dividends as may be declared by our board of directors subject to the Amended Articles and the Cayman Islands Companies Act. In addition, our shareholders may by ordinary resolution declare a dividend, but no dividend may exceed the amount recommended by the board of directors. Under Cayman Islands law, dividends may be paid only out of profits (including retained earnings), or out of the share premium account (subject to a solvency test being met immediately following the payment of the dividend). No dividend may be declared and paid unless our directors determine that we have funds lawfully available for such purpose and that, immediately after the payment, we will be able to pay our debts as they fall due in the ordinary course of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Voting at any meeting of shareholders will be decided by poll and not by way of a show of hands. A poll shall be taken in such manner as the chairperson of the meeting directs, and the result of the poll shall be deemed to be the resolution of the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Every shareholder present at a meeting of shareholders shall have one vote for each ordinary share of which he is the holder.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questions submitted to a meeting shall be decided by an ordinary resolution except where a greater majority is required by the Amended Articles or by the Cayman Islands Companies Act. In the case of an equality of votes, the chairperson of the meeting shall be entitled to a second or casting vote.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ordinary resolution to be passed by the shareholders will require a simple majority of votes cast, while a special resolution will require not less than two-thirds of votes cast, by such shareholders as, being entitled to do so, vote in person or, where proxies are allowed, by proxy or, in the case of corporations, by their duly authorized representatives, at a general meeting held in accordance with the Amended Articles.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restrictions contained in the Amended Articles and the rules or regulations of Nasdaq or any securities laws, any shareholders may transfer all or any of their Ordinary Shares by an instrument of transfer in any usual or common form or in a form prescribed by the Designated Stock Exchange or in any other form approved by our board of directors.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rules of Nasdaq and to any rights and restrictions for the time being attached to any share, our directors may decline to register any transfer of any share which is not fully paid up or on which we have a lien. Our directors may also decline to register any transfer of a share if such transfer would breach or cause a breach of: (i) the rules of Nasdaq; or (ii) applicable law or regulation. Our directors may also decline to register any transfer of any share unless:</w:t>
      </w:r>
    </w:p>
    <w:p>
      <w:pPr>
        <w:spacing w:after="0" w:line="180" w:lineRule="exact"/>
        <w:rPr>
          <w:sz w:val="20"/>
          <w:szCs w:val="20"/>
          <w:color w:val="auto"/>
        </w:rPr>
      </w:pPr>
    </w:p>
    <w:p>
      <w:pPr>
        <w:jc w:val="both"/>
        <w:ind w:left="1000" w:hanging="317"/>
        <w:spacing w:after="0" w:line="258"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or the designated transfer agent or share registrar, accompanied by the certificate for the shares to which it relates (if any) and such other evidence as our board of directors may reasonably require to show the right of the transferor to make the transfer;</w:t>
      </w:r>
    </w:p>
    <w:p>
      <w:pPr>
        <w:spacing w:after="0" w:line="19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or</w:t>
      </w:r>
    </w:p>
    <w:p>
      <w:pPr>
        <w:spacing w:after="0" w:line="189"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Nasdaq may determine to be payable, or such lesser sum as our board of directors may from time to time require, is paid to us in respect thereof.</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our board of directors refuses to register a transfer they shall, within three calendar months after the date on which the instrument of transfer was lodged, send to each of the transferor and the transferee notice of such refusal, including the reason for such refusal.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our winding up, if the assets available for distribution amongst the shareholders shall be more than sufficient to repay the whole of the share capital at the commencement of the winding up, the surplus shall be distributed amongst the shareholders pro rata in proportion to the par value of the shares held by them at the commencement of the winding up, subject to a deduction from those shares in respect of which there are monies due, of all monies payable to us for unpaid calls or otherwise. If the assets available for distribution are insufficient to repay the whole of the share capital, such assets will be distributed so that, as nearly as may be, the losses are borne by the shareholders in proportion to the par value of the shares held by them. We are a Cayman Islands exempted company incorporated with limited liability, and under the Cayman Islands Companies Act, the liability of our members is limited to the amount, if any, unpaid on the shares respectively held by them. The Amended Articles contains a declaration that the liability of our members is so limited.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on Ordinary Shares and Forfeiture of Ordinary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Ordinary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that have been called upon and remain unpaid are, after a notice period, subject to forfeiture.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Ordinary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Cayman Islands Companies Act, we may issue shares that are to be redeemed or are liable to be redeemed at the option of the shareholder or us. The redemption of such shares will be effected in such manner and upon such other terms as we may, by either our board of directors or by the shareholders by ordinary resolution, determine before the issue of the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at any time our share capital is divided into different classes of shares, all or any of the rights attached to any class (unless otherwise provided by the terms of issue of the shares of that class) may only be materially and adversely varied with the consent in writing of the holders of at least two-thirds (2/3) of the issued shares of that class, or with the approval of a special resolution passed by a majority of not less than two-thirds of the votes cast at a separate meeting of the holders of the shares of that class where at least one-third (1/3) of the issued shares of that class are present (provided that if at any adjourned meeting of such holders a quorum as above defined is not present, those shareholders who are present shall form a quorum).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(but shall not be obliged to) in each calendar year hold an annual general meeting. The annual general meeting shall be held at such time and place as our board of directors may determine. At least seven calendar days’ notice shall be given for any general meeting. The chairperson of our board of directors or our board of directors may call extraordinary general meetings. Our board of directors must convene an extraordinary general meeting upon the requisition of shareholders holding at least one-third (1/3) of all votes attaching to all issued and outstanding shares of us that as at the date of the deposit of the requisition shares carry the right to vote at general meetings. One or more persons holding or representing by proxy shares which carry in aggregate not less than one-third (1/3) of all votes attaching to all shares in issue and entitled to vote at such general meeting present shall be a quorum for all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will determine whether, to what extent, at what times and places and under what conditions or regulations our accounts and books will be open to the inspection by shareholders, and no shareholder will otherwise have any right of inspecting any account or book or document of us except as required by law or authorized by our board of directors or our shareholders by special resolution.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from time to time by ordinary resolution:</w:t>
      </w:r>
    </w:p>
    <w:p>
      <w:pPr>
        <w:spacing w:after="0" w:line="225" w:lineRule="exact"/>
        <w:rPr>
          <w:sz w:val="20"/>
          <w:szCs w:val="20"/>
          <w:color w:val="auto"/>
        </w:rPr>
      </w:pPr>
    </w:p>
    <w:p>
      <w:pPr>
        <w:ind w:left="1000" w:right="20" w:hanging="317"/>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share capital by such sum, to be divided into shares of such classes and amount, as the resolution will prescribe;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share capital into shares of a larger amount than existing shares;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by special resolution reduce our share capital or any capital redemption reserve fund in any manner permitted by the Cayman Islands Companies 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17"/>
          <w:szCs w:val="17"/>
          <w:color w:val="auto"/>
        </w:rPr>
        <w:t>Each LCAA Warrant outstanding on February 22, 2024, was assumed by us and converted into a Warrant. Each Warrant has and is subject to substantially the same terms and conditions as were applicable to such LCAA Warrant immediately prior to the conversion.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Ordinary Share in the form of ADSs at a price of US$11.50 per share, subject to adjustment as discussed below, except as discussed in the immediately succeeding paragraph. Pursuant to the Warrant Agreement, a Warrant holder may exercise its Warrants only for a whole number of Ordinary Shares in the form of ADSs. This means only a whole Warrant may be exercised at a given time by a Warrant holder. The Warrants will expire on February 22, 2029, at 5:00 p.m., New York City time, or earlier upon redemption or liquidation.</w:t>
      </w:r>
    </w:p>
    <w:p>
      <w:pPr>
        <w:spacing w:after="0" w:line="17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not obligated to issue any Ordinary Shares or ADSs pursuant to the exercise of a Warrant and have no obligation to settle such exercise unless a registration statement under the Securities Act with respect to the Ordinary Shares underlying the Warrants is then effective and an annual report relating thereto is current, subject to us satisfying our obligations described below with respect to registration, or a valid exemption from registration is available. No Warrant is exercisable for cash or on a cashless basis, and we are not obligated to issue Ordinary Shares or ADSs upon exercise of a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9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filed the registration statement on January 11, 2024, within the timeframe set forth in the Warrant Agreement, and it was declared effective on January 12, 2024. We have agreed to use our commercially reasonable efforts to maintain the effectiveness of the registration statement and a current annual report relating to those Ordinary Shares until the Warrants expire or are redeemed, as specified in the Warrant Agreement. If the ADSs are at the time of any exercise of a Warrant are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During any period when we will have failed to maintain an effective registration statement, Warrant holders may exercise Warrants on a “cashless basis” in accordance with Section 3(a)(9) of the Securities Act or another exemption; provided that if the exemption under Section 3(a)(9) of the Securities Act, or another exemption, is not available, holders will not be able to exercise their Warrants on a cashless basis.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the case of a cashless exercise, each holder would pay the exercise price by surrendering the Warrants for that number of Ordinary Shares (and in the form of ADSs) equal to the lesser of (A) quotient obtained by dividing (x) the product of the number of Ordinary Shares underlying the Warrants, multiplied by the excess of the “fair market value” less the exercise price of the Warrants by</w:t>
      </w:r>
    </w:p>
    <w:p>
      <w:pPr>
        <w:spacing w:after="0" w:line="1" w:lineRule="exact"/>
        <w:rPr>
          <w:sz w:val="20"/>
          <w:szCs w:val="20"/>
          <w:color w:val="auto"/>
        </w:rPr>
      </w:pPr>
    </w:p>
    <w:p>
      <w:pPr>
        <w:jc w:val="both"/>
        <w:ind w:firstLine="8"/>
        <w:spacing w:after="0" w:line="255" w:lineRule="auto"/>
        <w:tabs>
          <w:tab w:leader="none" w:pos="26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and (B) 0.361. The “fair market value” as used in this paragraph means the volume-weighted average price of the Ordinary Shares traded in the form of ADSs as reported during the 10-trading day period ending on the trading day prior to the date on which the notice of exercise is received by the Warrant agent.</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we elect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Ordinary Shares issued and outstanding immediately after giving effect to such exercise.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when the price per Ordinary Share traded in the form of ADS equals or exceeds US$18.00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redeem the outstanding Warrants (except as described herein with respect to the Sponsor Warrants):</w:t>
      </w:r>
    </w:p>
    <w:p>
      <w:pPr>
        <w:spacing w:after="0" w:line="225" w:lineRule="exact"/>
        <w:rPr>
          <w:sz w:val="20"/>
          <w:szCs w:val="20"/>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US$0.01 per Warrant;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Ordinary Shares traded in the form of ADSs equals or exceeds US$18.00 per share (as adjusted for adjustments to the number of shares issuable upon exercise or the exercise price of a Warrant as described under the heading “—Warrants—Public Warrants—Anti-Dilution Adjustments”) for any 20 trading days within a 30-trading day period ending three trading days before we send the notice of redemption to the Warrant holders.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traded in the form of ADSs may fall below the US$18.00 redemption trigger price (as adjusted for adjustments to the number of shares issuable upon exercise or the exercise price of a Warrant as described below under the heading “—Warrants—Public Warrants—Anti-dilution Adjustments”) as well as the US$11.50 (for whole shares) Warrant exercise price after the redemption notice is issued.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when the price per Ordinary Share traded in the form of ADS equals or exceeds US$10.00.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redeem the outstanding warrants:</w:t>
      </w:r>
    </w:p>
    <w:p>
      <w:pPr>
        <w:spacing w:after="0" w:line="212" w:lineRule="exact"/>
        <w:rPr>
          <w:sz w:val="20"/>
          <w:szCs w:val="20"/>
          <w:color w:val="auto"/>
        </w:rPr>
      </w:pPr>
    </w:p>
    <w:p>
      <w:pPr>
        <w:ind w:left="1000" w:hanging="317"/>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US$0.10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the Ordinary Shares (as defined below) except as otherwise described below;</w:t>
      </w:r>
    </w:p>
    <w:p>
      <w:pPr>
        <w:spacing w:after="0" w:line="166"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Ordinary Shares traded in the form of ADSs equals or exceeds US$10.00 per share (as adjusted for adjustments to the number of shares issuable upon exercise or the exercise price of a warrant as described under the heading “—Warrants—Public Warrants—Anti-Dilution Adjustments”) for any 20 trading days within the 30-trading day period ending three trading days before we send the notice of redemption to the warrant holders; and</w:t>
      </w:r>
    </w:p>
    <w:p>
      <w:pPr>
        <w:spacing w:after="0" w:line="166"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Ordinary Shares traded in the form of ADSs for any 20 trading days within a 30-trading day period ending on the third trading day prior to the date on which we send the notice of redemption to the warrant holders is less than US$18.00 per share (as adjusted for adjustments to the number of shares issuable upon exercise or the exercise price of a warrant as described under the heading “—Warrants—Public Warrants—Anti-Dilution Adjustments”), the Sponsor Warrants must also be concurrently called for redemption on the same terms as the outstanding Public Warrants, as described above.</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Beginning on the date the notice of redemption is given until the Warrants are redeemed or exercised, holders may elect to exercise their Warrants on a cashless basis. The number of Ordinary Shares in the form of ADSs that a warrant holder will receive upon such cashless exercise in connection with a redemption by us pursuant to this redemption feature is determined based on the terms of the Warrant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the number of issued and outstanding Ordinary Shares is increased by a capitalization or share dividend payable in Ordinary Shares, or by a subdivision of ordinary shares or other similar event, then, on the effective date of such capitalization or share dividend, subdivision or similar event, the number of Ordinary Shares (in the form of ADSs) issuable on exercise of each Warrant will be increased in proportion to such increase in the outstanding ordinary shares. A rights offering made to all or substantially all holders of ordinary shares entitling holders to purchase Ordinary Shares at a price less than the “historical fair market value” (as defined below) will be deemed a share dividend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Class A Ordinary Share paid in such rights offering and (y) the historical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“historical fair market value” means the volume weighted average price of Ordinary Shares traded in the form of ADSs as reported during the 10-trading day period ending on the trading day prior to the first date on which the Ordinary Shares trade in the form of ADS on the applicable exchange or in the applicable market, regular way, without the right to receive such rights.</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of the holders of the Ordinary Shares on account of such Ordinary Shares (or other securities into which the Warrants are convertible), other than (a) as described above, or (b) any cash dividends or cash distributions which, when combined on a per share basis with all other cash dividends and cash distributions paid on the Ordinary Shares during the 365-day period ending on the date of declaration of such dividend or distribution does not exceed US$0.50 (as adjusted to appropriately reflect any other adjustments and excluding cash dividends or cash distributions that resulted in an adjustment to the exercise price or to the number of Ordinary Shares issuable on exercise of each Warrant) but only with respect to the amount of the aggregate cash dividends or cash distributions equal to or less than US$0.50 per share, then the Warrant exercise price will be decreased, effective immediately after the effective date of such event, by the amount of cash and/or the fair market value of any securities or other assets paid on each Ordinary Share in respect of such event.</w:t>
      </w:r>
    </w:p>
    <w:p>
      <w:pPr>
        <w:spacing w:after="0" w:line="19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the number of issued and outstanding Ordinary Shares is decreased by a consolidation or reclassification of Ordinary Shares or other similar event, then, on the effective date of such consolidation, reclassification or similar event, the number of Ordinary Shares issuable on exercise of each Warrant will be decreased in proportion to such decrease in issued and outstanding Ordinary Shares.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w:t>
      </w:r>
    </w:p>
    <w:p>
      <w:pPr>
        <w:jc w:val="both"/>
        <w:ind w:firstLine="8"/>
        <w:spacing w:after="0" w:line="254" w:lineRule="auto"/>
        <w:tabs>
          <w:tab w:leader="none" w:pos="26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will be the number of Ordinary Shares purchasable in the form of ADSs upon the exercise of the Warrants immediately prior to such adjustment and (y) the denominator of which will be the number of Ordinary Shares so purchasable in the form of ADSs immediately thereafter.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8"/>
          <w:szCs w:val="18"/>
          <w:color w:val="auto"/>
        </w:rPr>
        <w:t>In case of any reclassification or reorganization of the issued and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the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in the form of ADSs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is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65%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Ordinary Shares in such a transaction is payable in the form of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21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annual report, or defective provision (ii) amending the provisions relating to cash dividends on ordinary shares as contemplated by and in accordance with the Warrant Agreement or</w:t>
      </w:r>
    </w:p>
    <w:p>
      <w:pPr>
        <w:spacing w:after="0" w:line="1" w:lineRule="exact"/>
        <w:rPr>
          <w:sz w:val="20"/>
          <w:szCs w:val="20"/>
          <w:color w:val="auto"/>
        </w:rPr>
      </w:pPr>
    </w:p>
    <w:p>
      <w:pPr>
        <w:jc w:val="both"/>
        <w:ind w:firstLine="8"/>
        <w:spacing w:after="0" w:line="253" w:lineRule="auto"/>
        <w:tabs>
          <w:tab w:leader="none" w:pos="33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65% of the then-outstanding Public Warrants is required to make any change that adversely affects the interests of the registered holders.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ordinary shares and any voting rights until they exercise their Warrants and receive Ordinary Shares in the form of ADSs.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it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suits brought to enforce any liability or duty created by the Exchange Act or any claim for which the federal district courts of the U.S. are the sole and exclusive forum.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described below, the Sponsor Warrants have terms and provisions that are identical to those of the Public Warrants.</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Sponsor Warrants will not be redeemable by us so long as they are held by the Sponsor or its permitted transferees (except as otherwise set forth herein) except as discussed in “—Warrants—Public Warrants—Redemption of Warrants when the price per Ordinary Share traded in the form of ADS equals or exceeds US$10.00”. If the Sponsor Warrants are held by holders other than the Sponsor or its permitted transferees, the Sponsor Warrants will be redeemable by us in all redemption scenarios and exercisable by the holders on the same basis as the Warrants.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Sponsor, or its permitted transferees, has the option to exercise the Sponsor Warrants on a cashless basis. If holders of the Sponsor Warrants elect to exercise them on a cashless basis, they would pay the exercise price by surrendering his, her or its Sponsor Warrants for that number of Ordinary Shares in the form of ADSs equal to the quotient obtained by dividing (x) the product of the number of Ordinary Shares underlying the Sponsor Warrants, multiplied by the excess of the “Sponsor fair market value” (defined below) over the exercise price of the Sponsor Warrants by (y) the Sponsor fair market value. For these purposes, the “Sponsor fair market value” shall mean the average reported closing price of the Ordinary Shares traded in the form of ADSs for the 10 trading days ending on the third trading day prior to the date on which the notice of Sponsor Warrant exercise is sent to the Warrant agent.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amendment to the terms of the Sponsor Warrants or any provision of the Warrant Agreement with respect to the Sponsor Warrants will require a vote of holders of at least 65% of the number of the then outstanding Sponsor Warrants.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Cayman Islands Companies Act is derived, to a large extent, from the older Companies Acts of England but does not follow recent United Kingdom statutory enactments, and accordingly there are significant differences between the Cayman Islands Companies Act and the current Companies Act of England.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Cayman Islands Companies Act differs from laws applicable to United States corporations and their shareholders. Set forth below is a summary of certain significant differences between the provisions of the Cayman Islands Companies Act applicable to us and the laws applicable to United States corporations and companies incorporated in the State of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Companies Act (As Revised)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in the consolidated company.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to effect such a merger or consolidation, the directors of each constituent company must approve a written plan of merger or consolidation, which must then be authorized by (1) a special resolution of the shareholders of each constituent company, and</w:t>
      </w:r>
    </w:p>
    <w:p>
      <w:pPr>
        <w:jc w:val="both"/>
        <w:ind w:firstLine="8"/>
        <w:spacing w:after="0" w:line="249" w:lineRule="auto"/>
        <w:tabs>
          <w:tab w:leader="none" w:pos="25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4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(As Revised)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178" w:lineRule="exact"/>
        <w:rPr>
          <w:sz w:val="20"/>
          <w:szCs w:val="20"/>
          <w:color w:val="auto"/>
        </w:rPr>
      </w:pPr>
    </w:p>
    <w:p>
      <w:pPr>
        <w:ind w:left="1000" w:hanging="317"/>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Act (As Revised)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our company to challenge actions where:</w:t>
      </w:r>
    </w:p>
    <w:p>
      <w:pPr>
        <w:spacing w:after="0" w:line="187" w:lineRule="exact"/>
        <w:rPr>
          <w:sz w:val="20"/>
          <w:szCs w:val="20"/>
          <w:color w:val="auto"/>
        </w:rPr>
      </w:pPr>
    </w:p>
    <w:p>
      <w:pPr>
        <w:ind w:left="1000" w:hanging="31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is ultra vires or illegal and is therefore incapable of ratification by the shareholders;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 a fraud against the minority where the wrongdoer are themselves in control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Amended Articles provide that every director (including alternate director), secretary, assistant secretary, or other officer for the time being and from time to time of our company (but not including its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or she owes the following duties to the company:</w:t>
      </w:r>
    </w:p>
    <w:p>
      <w:pPr>
        <w:spacing w:after="0" w:line="162" w:lineRule="exact"/>
        <w:rPr>
          <w:sz w:val="20"/>
          <w:szCs w:val="20"/>
          <w:color w:val="auto"/>
        </w:rPr>
      </w:pPr>
    </w:p>
    <w:p>
      <w:pPr>
        <w:ind w:left="1000" w:hanging="317"/>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act in good faith in the best interests of the company,</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make a personal profit based on his or her position as director (unless the company permits him or her to do so),</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put himself or herself in a position where the interests of the company conflict with his or her personal interest or his or her duty to a third party,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exercise powers for the purpose for which such powers were intended.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director of a Cayman Islands company owes to the company a duty of care, diligence and skill.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Cayman Islands law and our currently effective memorandum and articles of association provide that our shareholders may approve corporate matters by way of a unanimous written resolution signed by or on behalf of all shareholders who would have been entitled to vote on such matter at a general meeting without a meeting being held, and any such resolution in writing shall be as valid and effective as if the same had been passed at a general meeting of our company duly convened and held.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6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Companies Act (As Revised) does not provide shareholders with an express right to put forth any proposal before a general meeting of the shareholders. However, these rights may be provided in a company’s articles of association.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Amended Articles allow any one or more of our shareholders who together hold shares which carry in aggregate not less than one-third of all votes attaching to all issued and outstanding shares of our company that as at the date of the deposit of the requisition carry the right to vote at general meetings of our company to requisition an extraordinary general meeting of our shareholders, in which case our board is obliged to convene an extraordinary general meeting and to put the resolutions so requisitioned to a vote at such meeting. Other than this right to requisition a shareholders’ meeting, the Amended Articles do not provide our shareholders with any other right to put proposals before annual general meetings or extraordinary general meetings.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spacing w:after="0" w:line="18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There are no prohibitions relating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A director will also cease to be a director if he (a) becomes prohibited by applicable law from being a director, (b) becomes bankrupt or makes any arrangement or composition with his or her creditors, (c) dies or is found to be or becomes of unsound mind, (d) resigns his or her office by notice in writing to us, (e) without special leave of absence from the board, is absent from meetings of the board for three consecutive meetings, and the board resolves that his or her office be vacated; or (f) is removed from office pursuant to any other provision of the Amended Articles.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statute has the effect of limiting the ability of a potential acquirer to make a two-tiered bid for the target in which all shareholders would not be treated equally. The statute does not apply if,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 grounds that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is or is likely to become unable to pay its debts; and</w:t>
      </w:r>
    </w:p>
    <w:p>
      <w:pPr>
        <w:spacing w:after="0" w:line="225" w:lineRule="exact"/>
        <w:rPr>
          <w:sz w:val="20"/>
          <w:szCs w:val="20"/>
          <w:color w:val="auto"/>
        </w:rPr>
      </w:pPr>
    </w:p>
    <w:p>
      <w:pPr>
        <w:ind w:left="980" w:hanging="323"/>
        <w:spacing w:after="0" w:line="282" w:lineRule="auto"/>
        <w:rPr>
          <w:sz w:val="20"/>
          <w:szCs w:val="20"/>
          <w:color w:val="auto"/>
        </w:rPr>
      </w:pPr>
      <w:r>
        <w:rPr>
          <w:rFonts w:ascii="Times New Roman" w:cs="Times New Roman" w:eastAsia="Times New Roman" w:hAnsi="Times New Roman"/>
          <w:sz w:val="18"/>
          <w:szCs w:val="18"/>
          <w:color w:val="auto"/>
        </w:rPr>
        <w:t>(b). intends to present a compromise or arrangement to its creditors (or classes thereof) either pursuant to the Companies Act, the law of a foreign country or by way of a consensual restructuring.</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the Amended Articles, if at any time our share capital is divided into different classes of shares, all or any of the rights attached to any class (unless otherwise provided by the terms of issue of the shares of that class) may only be materially and adversely varied with the consent in writing of the holders of at least two-thirds (2/3) of the issued shares of that class, or with the approval of a special resolution passed by a majority of not less than two-thirds of the votes cast at a separate meeting of the holders of the shares of that class where at least one-third (1/3) of the issued shares of that class are present (provided that if at any adjourned meeting of such holders a quorum as above defined is not present, those shareholders who are present shall form a quorum). The rights conferred upon the holders of the shares of any class issued shall not, subject to any rights or restrictions for the time being attached to the shares of that class, be deemed to be materially and adversely varied by the creation, allotment or issue of further shares ranking pari passu with or subsequent to such existing class of shares, or the redemption or purchase of any shares of any class by our company. The rights of the holders of shares shall not be deemed to be materially or adversely varied by the creation or issue of shares with preferred or other rights including, without limitation, the creation of shares with enhanced or weighted voting rights.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Cayman Islands law, our memorandum and articles of association may only be amended with a special resolution of our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Non-resident or Foreign Shareholders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there are no provisions in our memorandum and articles of association governing the ownership threshold above which shareholder ownership must be disclosed.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 under Cayman Islands law to inspect corporate records (other than the memorandum and articles of association, the register of mortgages and charges and any special resolutions passed by our shareholders) or obtain copies of the list of shareholders of these companies. Under Cayman Islands law, the names of our current directors can be obtained from a search conducted at the Registrar of Companies. However, we intend to provide our shareholders with annual reports containing audited financial statements.</w:t>
      </w:r>
    </w:p>
    <w:p>
      <w:pPr>
        <w:spacing w:after="0" w:line="183"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the Company” or elsewhere in this annual report.</w:t>
      </w:r>
    </w:p>
    <w:p>
      <w:pPr>
        <w:spacing w:after="0" w:line="158"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4. Information on the Company—B. Business Overview—Regulations—Regulation on Foreign Exchange.”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summary of the material Cayman Islands and U.S. federal income tax consequences of an investment in our ordinary shares is based upon laws and interpretations thereof in effect as of the date of this annual report, all of which are subject to change. This summary does not deal with all possible tax consequences relating to an investment in our ordinary shares, such as the tax consequences under state, local and other tax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Securities will not be subject to taxation in the Cayman Islands and no withholding will be required on the payment of interest and principal or a dividend or capital to any holder of the Securities, as the case may be, nor will gains derived from the disposal of the Securities be subject to Cayman Islands income or corporation tax.</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stamp duty is payable in respect of the issue of Securities or on an instrument of transfer in respect of Securities, unless the instruments are executed in, or after execution brought within, the jurisdiction of the Cayman Islands.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Cayman Islands currently levy no taxes on individuals or corporations based upon profits, income, gains or appreciations and there is no taxation in the nature of inheritance tax or estate duty. There are no other taxes likely to be material to holders of our ADSs or ordinary shares levied by the Government of the Cayman Islands save certain stamp duties which may be applicable, from time to time, on certain instruments executed in or brought within the jurisdiction of the Cayman Islands.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U.S. federal income tax considerations generally applicable to the ownership and disposition of ADSs by U.S. Holders (as defined below). This summary addresses only U.S. Holders that hold ADSs as “capital assets” within the meaning of section 1221 of the Internal Revenue Code of 1986, as amended, or the Code (generally, property held for investment) and assumes that any distributions made by us on the ADSs and any consideration received by us on the sale or other taxable disposition of ADSs will be in U.S. dollars. This discussion does not address all aspects of U.S. federal income taxation that may be relevant to holders in light of their particular circumstances, or to holders subject to special treatment under the U.S. tax laws, such as:</w:t>
      </w:r>
    </w:p>
    <w:p>
      <w:pPr>
        <w:spacing w:after="0" w:line="174" w:lineRule="exact"/>
        <w:rPr>
          <w:sz w:val="20"/>
          <w:szCs w:val="20"/>
          <w:color w:val="auto"/>
        </w:rPr>
      </w:pPr>
    </w:p>
    <w:p>
      <w:pPr>
        <w:ind w:left="1000" w:hanging="317"/>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accounting rules;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S-corporations, partnerships and other pass-through entities or arrangements;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of our shares by vote or value;</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ADSs pursuant to an exercise of employee share options, in connection with employee share incentive plans or otherwise as compensation or in connection with services;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or the base erosion and anti-abuse tax;</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ADSs as part of a straddle, constructive sale, hedging, conversion or other integrated or similar transaction; or</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This discussion is based upon the Code, the Treasury regulations promulgated thereunder, administrative and judicial interpretations thereof </w:t>
      </w:r>
      <w:r>
        <w:rPr>
          <w:rFonts w:ascii="Times New Roman" w:cs="Times New Roman" w:eastAsia="Times New Roman" w:hAnsi="Times New Roman"/>
          <w:sz w:val="18"/>
          <w:szCs w:val="18"/>
          <w:color w:val="231F20"/>
        </w:rPr>
        <w:t>and the income tax treaty between the United States and the People’s Republic of China, or the Treaty</w:t>
      </w:r>
      <w:r>
        <w:rPr>
          <w:rFonts w:ascii="Times New Roman" w:cs="Times New Roman" w:eastAsia="Times New Roman" w:hAnsi="Times New Roman"/>
          <w:sz w:val="18"/>
          <w:szCs w:val="18"/>
          <w:color w:val="auto"/>
        </w:rPr>
        <w:t>, all as of the date hereof. All of the foregoing is subject to change or differing interpretations, possibly on a retroactive basis, which could affect the tax considerations described herein. Furthermore, this discussion does not address any aspect of U.S. federal non-income tax laws, such as gift, estate or Medicare contribution tax laws, or state, local or non-U.S. tax laws. There can be no assurance that the Internal Revenue Service, or the IRS, will not take, or that a court would not sustain, a position contrary to the U.S. federal income tax considerations discussed below.</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who hold ADSs through such entities. If a partnership (or other entity or arrangement classified as a partnership for U.S. federal income tax purposes) is the beneficial owner of ADSs, the U.S. federal income tax treatment of the partnership or a partner in the partnership will generally depend on the status of the partner and the activities of the partner and the partnership. Partnerships or partners of a partnership holding ADSs should consult their tax advisors regarding the U.S. federal income tax consequences of owning and disposing of ADSs in light of their particular circumstances.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SUMMARY DOES NOT PURPORT TO BE A COMPREHENSIVE ANALYSIS OR DESCRIPTION OF ALL POTENTIAL U.S. FEDERAL INCOME TAX CONSEQUENCES OF ACQUIRING, OWNING AND DISPOSING OF ADSs. HOLDERS OF ADSs SHOULD CONSULT WITH THEIR TAX ADVISORS REGARDING THE PARTICULAR TAX CONSEQUENCES TO THEM OF THE ACQUISITION, OWNERSHIP AND DISPOSITION OF ADSs, INCLUDING THE APPLICABILITY AND EFFECTS OF U.S. FEDERAL, STATE, LOCAL, AND OTHER TAX LAWS.</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used herein, the term “U.S. Holder” means a beneficial owner of ADSs that is for U.S. federal income tax purposes:</w:t>
      </w:r>
    </w:p>
    <w:p>
      <w:pPr>
        <w:spacing w:after="0" w:line="225" w:lineRule="exact"/>
        <w:rPr>
          <w:sz w:val="20"/>
          <w:szCs w:val="20"/>
          <w:color w:val="auto"/>
        </w:rPr>
      </w:pPr>
    </w:p>
    <w:p>
      <w:pPr>
        <w:ind w:left="1000" w:hanging="317"/>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that is created or organized (or treated as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U.S. persons have the authority to control all substantial decisions of the trust, or (B) the trust has validly elected to be treated as a U.S. person for U.S. federal income tax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stated under “Dividend Policy,” we do not anticipate paying any cash distributions on the ADSs in the foreseeable future. However, subject to the discussion below under “— Passive Foreign Investment Company Considerations,” a distribution of cash or other property on the ADSs will generally be includable in gross income of the U.S. Holder as a dividend to the extent the distribution is paid out of our current or accumulated earnings and profits (as determined under U.S. federal income tax principles). Such dividends will be taxable to a corporate U.S. Holder at regular rates and will not be eligible for the dividends-received deduction generally allowed to domestic corporations in respect of dividends received from other domestic corporations. Distributions in excess of such earnings and profits will generally be applied against and reduce the U.S. Holder’s basis in the ADSs (but not below zero) and, to the extent in excess of such basis, will be treated as gain from the sale or exchange of such ADSs (see “— Gain or Loss on Sale, Taxable Exchange or Other Taxable Disposition of Securities” below).</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intend to determine our earnings and profits under U.S. federal income tax principles. Accordingly, notwithstanding the discussion in the preceding paragraph, distributions on ADSs, if any, will generally be taxed to U.S. Holders as dividend distributions for U.S. federal income tax purposes.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Individual and certain other non-corporate U.S. Holders may be subject to tax at the lower capital gains rate applicable to “qualified dividend income,” provided that (i) the ADSs are readily tradable on an established securities market in the United States and</w:t>
      </w:r>
    </w:p>
    <w:p>
      <w:pPr>
        <w:jc w:val="both"/>
        <w:ind w:firstLine="8"/>
        <w:spacing w:after="0" w:line="249" w:lineRule="auto"/>
        <w:tabs>
          <w:tab w:leader="none" w:pos="28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treated as a PFIC in the taxable year the dividend is paid or in the taxable preceding year. U.S. Treasury Department guidance indicates that shares listed on Nasdaq (on which the ADSs are listed) will be considered readily tradable on an established securities market in the United States. Notwithstanding that the ADSs are listed on Nasdaq, however, there can be no assurance that the ADSs will be considered readily tradable on an established securities market in future years. U.S. Holders should consult their tax advisors regarding the availability of such lower rate for any dividends paid with respect to ADSs.</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For foreign tax credit purposes, dividends received on common shares or ADSs will generally be treated as foreign-source income and will generally constitute passive category income. As described in “Item 3. Key Information—D. Risk Factors—Risks Relating to Doing Business in China—If we are classified as a PRC resident enterprise for PRC income tax purposes, such classification could result in unfavorable tax consequences to us and our non-PRC shareholders,” </w:t>
      </w:r>
      <w:r>
        <w:rPr>
          <w:rFonts w:ascii="Times New Roman" w:cs="Times New Roman" w:eastAsia="Times New Roman" w:hAnsi="Times New Roman"/>
          <w:sz w:val="18"/>
          <w:szCs w:val="18"/>
          <w:color w:val="231F20"/>
        </w:rPr>
        <w:t>if we are deemed to be a PRC resident enterprise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PRC tax purposes, a U.S. Holder may be subject to PRC withholding taxes on such dividends. </w:t>
      </w:r>
      <w:r>
        <w:rPr>
          <w:rFonts w:ascii="Times New Roman" w:cs="Times New Roman" w:eastAsia="Times New Roman" w:hAnsi="Times New Roman"/>
          <w:sz w:val="18"/>
          <w:szCs w:val="18"/>
          <w:color w:val="000000"/>
        </w:rPr>
        <w:t>Subject to certain conditions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limitations, a Treaty-eligible U.S. Holder may be entitled to claim a foreign tax credit in respect of any such PRC withholding taxes to the extent that such taxes are nonrefundable under the Treaty. Alternatively, a U.S. Holder may elect to deduct such taxes in computing its taxable income for U.S. federal income tax purposes. A U.S. Holder’s election to deduct foreign taxes instead of claiming foreign tax credits applies to all creditable foreign income taxes paid or accrued in the relevant taxable year. The rules regarding foreign tax credits and the deductibility of foreign taxes are complex. All U.S. Holders, whether or not they are Treaty-eligible, should consult their tax advisors regarding the availability of foreign tax credits and the deductibility of foreign taxes in light of their particular circumstances.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ADSs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discussion below under “— Passive Foreign Investment Company Considerations,” a U.S. Holder will generally recognize capital gain or loss on the sale or other taxable disposition of the ADSs in an amount equal to the difference between (i) the sum of the amount of cash and the fair market value of any property received in such disposition and (ii) such U.S. Holder’s adjusted tax basis in such ADSs. Any such capital gain or loss generally will be long-term capital gain or loss if the U.S. Holder’s holding period for such ADSs exceeds one year at the time of disposition. Long-term capital gain realized by a non-corporate U.S. Holder is generally subject to U.S. federal income tax at reduced rates. The deduction of capital losses is subject to limitations.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foreign tax credit purposes, gain or loss recognized on the sale or other taxable disposition of ADSs will generally be treated as U.S.-source income and will generally constitute passive category income or loss. If, however, gains from the sale or other disposition of our ADSs are subject to tax in the PRC as described in “Item 3. Key Information—D. Risk Factors—Risks Relating to Doing Business in China—If we are classified as a PRC resident enterprise for PRC income tax purposes, such classification could result in unfavorable tax consequences to us and our non-PRC shareholders,” a Treaty-eligible U.S. Holder may apply the Treaty to treat such gains as PRC-source gains for U.S. foreign tax credit purposes. The rules regarding foreign tax credits and the deductibility of foreign taxes are complex. U.S. Holders should consult their tax advisors regarding the availability of a foreign tax credit or a deduction in lieu thereof in light of their particular circumstances, as well as with respect to their eligibility for benefits under the Treaty.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of a PFIC</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or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(generally determined based on fair market value and averaged quarterly over the year), including its pro rata share of the assets of any corporation in which it is considered to own at least 25% of the shares by value, produce, or are held for the production of, passive income. Passive income generally includes dividends, interest, rents and royalties (other than rents or royalties derived from the active conduct of a trade or business) and net gains from the disposition of passive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Status of LTC</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the current and anticipated value of the assets and the composition of the income and assets, including goodwill and other unbooked intangibles, of our company and our subsidiaries, we believe that we were not a PFIC for the taxable year ended December 31, 2023 and do not expect to be a PFIC for the current taxable year or foreseeable future taxable years. However, PFIC status is a factual determination that must be made annually at the close of each taxable year on the basis of the composition of our income and assets and our subsidiaries’ income and assets for such taxable year and, thus, is subject to change. Accordingly, there can be no assurance that we or any of our subsidiaries will not be treated as a PFIC for any taxable year.</w:t>
      </w:r>
    </w:p>
    <w:p>
      <w:pPr>
        <w:spacing w:after="0" w:line="17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a determination that we are or were a PFIC during the holding period of a U.S. Holder will continue to apply to subsequent years in which a U.S. Holder continues to hold shares in us, whether or not we are a PFIC in those subsequent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Application of PFIC Rules to ADSs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we are determined to be a PFIC for any taxable year (or portion thereof) that is included in the holding period of a U.S. Holder of ADSs and the U.S. Holder did not make a timely and effective qualified electing fund, or QEF, election for the first year in its holding period in which we are a PFIC (such taxable year as it related to a U.S. Holder being referred to as the “First PFIC Holding Year”), a QEF election along with a purging election, or a mark-to-market election, such U.S. Holder would generally be subject to special rules with respect to (i) any gain recognized by the U.S. Holder on the sale or other disposition of its ADSs and (ii) any “excess distribution” made to the U.S. Holder (generally, any distributions to such U.S. Holder during a taxable year of the U.S. Holder that are greater than 125% of the average annual distributions received by such U.S. Holder in respect of the ADSs during the three preceding taxable years of such U.S. Holder or, if shorter, such U.S. Holder’s holding period for the ADSs).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1000" w:hanging="317"/>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ADSs;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96"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and such other information as may be required by the U.S. Treasury Department. Failure to do so, if required, will extend the statute of limitations until such required information is furnished to the IRS.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ALL U.S. HOLDERS SHOULD CONSULT THEIR TAX ADVISORS REGARDING THE EFFECTS OF THE PFIC RULES ON THE OWNERSHIP OR DISPOSITION OF ADSs, INCLUDING THE IMPACT OF ANY PROPOSED OR FINAL TREASURY REGULATIONS.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QEF Election, Mark-to-Market Election and Purging Election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general, if we are determined to be a PFIC, a U.S. Holder may avoid the adverse PFIC tax consequences described above in respect of such U.S. Holder’s ADSs by making and maintaining a timely and valid QEF election (if eligible to do so) for such holder’s First PFIC Holding Year. In order to comply with the requirements of a QEF election, a U.S. Holder must receive a PFIC Annual Information Statement from us. We have not determined whether we will provide U.S. Holders this information if we determine that we are a PFIC. U.S. Holders should consult their tax advisors with respect to any QEF election previously made with respect to ADSs.</w:t>
      </w:r>
    </w:p>
    <w:p>
      <w:pPr>
        <w:spacing w:after="0" w:line="17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If a U.S. Holder has made a QEF election with respect to its ADSs, and the special tax and interest charge rules do not apply to such shares (because of a timely QEF election for such holder’s First PFIC Holding Year or a purge of the PFIC taint pursuant to a purging election, as described above), any gain recognized on the sale or other taxable disposition of its ADSs will generally be taxable as capital gain and no interest charge will be imposed under the PFIC rules. U.S. Holders of a QEF are currently taxed on their pro rata shares of its earnings and profits, whether or not distributed. Any subsequent distribution of such earnings and profits that were previously included in income should generally not be taxable as a dividend to such U.S. Holders. The tax basis of a U.S. Holder’s shares in a QEF will be increased by amounts that are included in income, and decreased by amounts distributed but not taxed as dividends, under the rules above. Such U.S. Holder will not be subject to the QEF inclusion regime with respect to such shares for any of our taxable years that ends within or with a taxable year of the U.S. Holder and in which we are not a PFIC. On the other hand, if the QEF election is not effective for each of our taxable years in which we are a PFIC and the U.S. Holder holds (or is deemed to hold) ADSs, the PFIC rules discussed above will continue to apply to such shares unless the holder makes a purging election, as described above, and pays the tax and interest charge with respect to the gain inherent in such shares attributable to the pre-QEF election period.</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Alternatively, if a U.S. Holder, at the close of its taxable year, owns (or is deemed to own) shares in a PFIC that are treated as “marketable stock,” the U.S. Holder may make a mark-to-market election for such holder’s First PFIC Holding Year, such holder will generally not be subject to the adverse PFIC consequences described above in respect of its ADSs as long as such shares continue to be treated as marketable shares. Instead, the U.S. Holder will generally include as ordinary income for each year in its holding period that we are treated as a PFIC the excess, if any, of the fair market value of its ADSs at the end of such year over its adjusted basis in its ADSs. The U.S. Holder also will be allowed to take an ordinary loss in respect of the excess, if any, of its adjusted basis of its ADSs over the fair market value of its ADSs at the end of its taxable year (but only to the extent of the net amount of previously included income as a result of the mark-to-market election). The U.S. Holder’s basis in its ADSs will be adjusted to reflect any such income or loss amounts, and any further gain recognized on a sale or other taxable disposition of its ADSs in a taxable year in which we are treated as a PFIC will be treated as ordinary income. Special rules may also apply if a U.S. Holder makes a mark-to-market election for a taxable year after such holder’s First PFIC Holding Year.</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mark-to-market election is available only for stock that is regularly traded on a national securities exchange that is registered with the SEC, including Nasdaq (on which the ADSs are listed). U.S. Holders should consult their tax advisors regarding the availability and tax consequences of a mark-to-market election with respect to ADSs under their particular circumstances.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a PFIC and, at any time, have a non-U.S. subsidiary that is classified as a PFIC, a U.S. Holder would generally be deemed to own a portion of the shares of such lower-tier PFIC, and generally could incur liability for the deferred tax and interest charge described above if we (or our subsidiary) receive a distribution from, or disposes of all or part of its interest in, the lower-tier PFIC or the U.S. Holder was otherwise deemed to have disposed of an interest in the lower-tier PFIC. A mark-to-market election made with respect to ADSs would not apply to a U.S. Holder’s indirect interest in any lower-tier PFICs in which we own shares. U.S. Holders should consult their tax advisors regarding the U.S. federal income tax consequences of any such lower-tier PFICs.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rules dealing with PFICs are very complex and are affected by various factors in addition to those described above. Accordingly, U.S. Holders of the ADSs should consult their tax advisors concerning the application of the PFIC rules to ADSs under their particular circumstances.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Financial Asset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U.S. Holder may be required to report information relating to an interest in ADSs, generally by filing IRS Form 8938 (Statement of Specified Foreign Financial Assets) with the U.S. Holder’s federal income tax return. A U.S. Holder may also be subject to significant penalties if the U.S. Holder is required to report such information and fails to do so. U.S. Holders should consult their tax advisors regarding information reporting obligations, if any, with respect to ownership and disposition of ADSs.</w:t>
      </w:r>
    </w:p>
    <w:p>
      <w:pPr>
        <w:spacing w:after="0" w:line="176" w:lineRule="exact"/>
        <w:rPr>
          <w:sz w:val="20"/>
          <w:szCs w:val="20"/>
          <w:color w:val="auto"/>
        </w:rPr>
      </w:pPr>
    </w:p>
    <w:p>
      <w:pPr>
        <w:ind w:left="660" w:right="7000" w:hanging="652"/>
        <w:spacing w:after="0" w:line="493" w:lineRule="auto"/>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ind w:left="660" w:right="7600" w:hanging="652"/>
        <w:spacing w:after="0" w:line="530" w:lineRule="auto"/>
        <w:tabs>
          <w:tab w:leader="none" w:pos="660"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and are required to file reports and other information with the SEC. Specifically, we are required to file annually a Form 20-F within four months after the end of each fiscal year, which is December 31. All the information we file with the SEC can be obtained over the internet at the SEC’s website at www.sec.gov.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Nasdaq Stock Market Rule 5250(d), we will post this annual report on our website at www.group-lotus.com.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will provide hardcopies of our annual report free of charge to shareholders upon request.</w:t>
      </w:r>
    </w:p>
    <w:p>
      <w:pPr>
        <w:spacing w:after="0" w:line="203" w:lineRule="exact"/>
        <w:rPr>
          <w:sz w:val="20"/>
          <w:szCs w:val="20"/>
          <w:color w:val="auto"/>
        </w:rPr>
      </w:pPr>
    </w:p>
    <w:p>
      <w:pPr>
        <w:ind w:left="660" w:right="7440" w:hanging="652"/>
        <w:spacing w:after="0" w:line="500" w:lineRule="auto"/>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Subsidiary Information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6580" w:hanging="652"/>
        <w:spacing w:after="0" w:line="493" w:lineRule="auto"/>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income generated by excess cash, which is mostly held in interest-bearing bank deposits and wealth management products. Interest-earning instruments carry a degree of interest rate risk. We have not been exposed to material risks due to changes in market interest rates, and we have not used any derivative financial instruments to manage our interest risk exposure.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Investments in both fixed-rate and floating rate interest-earning instruments carry a degree of interest rate risk. Fixed-rate securities may have their fair market value adversely impacted due to a rise in interest rates, while floating-rate securities may produce less income than expected if interest rates fall.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revenue and expenses of our entities in mainland China are generally denominated in RMB and their assets and liabilities are denominated in RMB. Our international revenues are denominated in foreign currencies and expose us to the risk of fluctuations in foreign currency exchange rates against the RMB. A significant portion of our cash and restricted cash and short-term investments are denominated in U.S. dollars, and fluctuations in exchange rates between U.S. dollars and RMB may result in foreign exchange gains or losses. We selectively use financial instruments to manage market risk associated with exposure to fluctuations in foreign currency rates with foreign exchange forwards, which are not qualified for hedge accounting, and are measured at fair value and recognized as either assets or liabilities on the consolidated balance sheets. In addition, the value of your investment in our securities will be affected by the exchange rates between the U.S. dollar and RMB because the value of our business is effectively denominated in RMB, while our securities will be traded in U.S. dollars.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RMB is not freely convertible into foreign currencies. Remittances of foreign currencies into mainland China or remittances of RMB out of mainland China as well as exchange between RMB and foreign currencies require approval by foreign exchange administrative authorities with certain supporting documentation. The State Administration for Foreign Exchange, under the authority of the People’s Bank of China, controls the conversion of RMB into other currencies.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conversion of RMB into foreign currencies, including U.S. dollars, is based on rates set by the People’s Bank of China. The RMB has fluctuated against the U.S. dollar, at times significantly and unpredictably. It is difficult to predict how market forces or PRC or U.S. government policy may impact the exchange rate between RMB and the U.S. dollar in the future.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that we need to convert U.S. dollars into RMB for our operations, appreciation of the RMB against the U.S. dollar would have an adverse effect on the RMB amount we receive from the conversion. Conversely, if we decide to convert RMB into U.S. dollars for the purpose of making payments for dividends on our securities or for other business purposes, appreciation of the U.S. dollars against the RMB would have a negative effect on the U.S. dollar amounts available to us.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we had RMB-denominated cash of RMB2.7 billion. A hypothetical 10% increase or decrease in the exchange rate of the RMB against the U.S. dollar would have resulted in an increase or decrease of US$38.2 million in the RMB-denominated cash as of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expose us to concentrations of credit risk consist principally of cash, restricted cash, accounts receivable and prepayments and other current assets to related parties.</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Substantial all of our cash at bank is held by third-party financial institutions located in the PRC. The bank deposits with financial institutions in the PRC are insured by the government authority for up to RMB500 thousand. We have not experienced any losses in uninsured bank deposits and do not believe that we are exposed to any significant risks on cash held in bank accounts. To limit exposure to credit risk, we primarily place bank deposits with large financial institutions in the PRC with acceptable credit rating.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Accounts receivable are unsecured and are primarily derived from revenue earned from automotive design and development services. Accounts receivable and other receivables included in prepayments and other current assets are unsecured. The risk is mitigated by credit evaluations performed on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12.Description of Securities Other than Equity Securities</w:t>
      </w:r>
    </w:p>
    <w:p>
      <w:pPr>
        <w:spacing w:after="0" w:line="225" w:lineRule="exact"/>
        <w:rPr>
          <w:sz w:val="20"/>
          <w:szCs w:val="20"/>
          <w:color w:val="auto"/>
        </w:rPr>
      </w:pPr>
    </w:p>
    <w:p>
      <w:pPr>
        <w:jc w:val="both"/>
        <w:ind w:left="660" w:right="8100" w:hanging="652"/>
        <w:spacing w:after="0" w:line="582" w:lineRule="auto"/>
        <w:tabs>
          <w:tab w:leader="none" w:pos="660" w:val="left"/>
        </w:tabs>
        <w:numPr>
          <w:ilvl w:val="0"/>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right="7640" w:hanging="652"/>
        <w:spacing w:after="0" w:line="522" w:lineRule="auto"/>
        <w:tabs>
          <w:tab w:leader="none" w:pos="660"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ind w:left="660" w:right="8000" w:hanging="652"/>
        <w:spacing w:after="0" w:line="500" w:lineRule="auto"/>
        <w:tabs>
          <w:tab w:leader="none" w:pos="6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Securities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02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60" w:type="dxa"/>
            <w:vAlign w:val="bottom"/>
            <w:tcBorders>
              <w:bottom w:val="single" w:sz="8" w:color="CCEEFF"/>
            </w:tcBorders>
          </w:tcPr>
          <w:p>
            <w:pPr>
              <w:spacing w:after="0"/>
              <w:rPr>
                <w:sz w:val="16"/>
                <w:szCs w:val="16"/>
                <w:color w:val="auto"/>
              </w:rPr>
            </w:pPr>
          </w:p>
        </w:tc>
        <w:tc>
          <w:tcPr>
            <w:tcW w:w="37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Fees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To any person to which ADSs are issued or to any person to which a</w:t>
            </w:r>
          </w:p>
        </w:tc>
        <w:tc>
          <w:tcPr>
            <w:tcW w:w="16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Up to US$0.05 per ADS issued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distribution is made in respect of ADS distributions pursuant to stock</w:t>
            </w:r>
          </w:p>
        </w:tc>
        <w:tc>
          <w:tcPr>
            <w:tcW w:w="1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dividends or other free distributions of stock, bonus distributions, stock splits</w:t>
            </w:r>
          </w:p>
        </w:tc>
        <w:tc>
          <w:tcPr>
            <w:tcW w:w="1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or other distributions (except where converted to cash)</w:t>
            </w:r>
          </w:p>
        </w:tc>
        <w:tc>
          <w:tcPr>
            <w:tcW w:w="16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60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Cancellation of ADSs, including in the case of termination of the deposit</w:t>
            </w:r>
          </w:p>
        </w:tc>
        <w:tc>
          <w:tcPr>
            <w:tcW w:w="388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Up to US$0.05 per ADS cancelled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agreement</w:t>
            </w:r>
          </w:p>
        </w:tc>
        <w:tc>
          <w:tcPr>
            <w:tcW w:w="1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Up to US$0.05 per ADS held</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60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Distribution of cash entitlements (other than cash dividends) and/or cash</w:t>
            </w:r>
          </w:p>
        </w:tc>
        <w:tc>
          <w:tcPr>
            <w:tcW w:w="388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Up to US$0.05 per ADS held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the sale of rights, securities and other entitlements</w:t>
            </w:r>
          </w:p>
        </w:tc>
        <w:tc>
          <w:tcPr>
            <w:tcW w:w="1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Distribution of ADSs pursuant to exercise of rights.</w:t>
            </w:r>
          </w:p>
        </w:tc>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Up to US$0.05 per ADS held</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60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Distribution of securities other than ADSs or rights to purchase additional</w:t>
            </w:r>
          </w:p>
        </w:tc>
        <w:tc>
          <w:tcPr>
            <w:tcW w:w="388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Up to US$0.05 per ADS held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ADSs</w:t>
            </w:r>
          </w:p>
        </w:tc>
        <w:tc>
          <w:tcPr>
            <w:tcW w:w="1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Depositary services</w:t>
            </w:r>
          </w:p>
        </w:tc>
        <w:tc>
          <w:tcPr>
            <w:tcW w:w="388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Up to US$0.05 per ADS held on the applicable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shd w:val="clear" w:color="auto" w:fill="CCEEFF"/>
          </w:tcPr>
          <w:p>
            <w:pPr>
              <w:spacing w:after="0"/>
              <w:rPr>
                <w:sz w:val="20"/>
                <w:szCs w:val="20"/>
                <w:color w:val="auto"/>
              </w:rPr>
            </w:pPr>
          </w:p>
        </w:tc>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record date(s) established by the depositary bank</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76" w:lineRule="exact"/>
        <w:rPr>
          <w:sz w:val="20"/>
          <w:szCs w:val="20"/>
          <w:color w:val="auto"/>
        </w:rPr>
      </w:pPr>
    </w:p>
    <w:p>
      <w:pPr>
        <w:ind w:left="1000" w:hanging="317"/>
        <w:spacing w:after="0" w:line="282"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ordinary shares on deposit.</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ordinary shares, deposited securities, ADSs and ADRs.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 Responsibility for payment of such fees, charges and reimbursements may from time to time be changed by agreement between us and the depositary. For the year ended December 31, 2023, we did not receive any payment from the depositary for our expenses incurred in connection with the establishment and maintenance of the ADR program.</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Based upon that evaluation, our management, with the participation of our chief executive officer and chief financial officer, has concluded that, as of December 31, 2023, material weaknesses in the UK subsidiary exist. Notwithstanding thereof, we believe that our consolidated and combined financial statements included in this annual report fairly present our financial position, results of operations and cash flows for the fiscal years covered thereby in all material respects. We have also started implementing a number of measures to address and remediate the material weakness identified and improve the effectiveness of our disclosure controls and procedures. See “— Internal Control over Financial Reporting.”</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 and Attestation Report of the Registered Public Accounting Firm</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Securities Exchange Act of 1934, as amended. A material weakness is a deficiency, or a combination of deficiencies, in internal control over financial reporting, such that there is a reasonable possibility that a material misstatement of financial statements will not be prevented or detected on a timely basis.</w:t>
      </w:r>
    </w:p>
    <w:p>
      <w:pPr>
        <w:spacing w:after="0" w:line="16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our audited consolidated financial statements for the year ended December 31, 2023, we identified two material weaknesses in the UK subsidiary: (i) the UK subsidiary did not appropriately design, implement and maintain effective controls to recognize revenue, relating to the proper application of Accounting Standards Codification Topic 606, and (ii) the UK subsidiary did not appropriately design, implement and maintain effective controls over the completeness and accuracy of accounting for inventory and inventory related transactions, including (a) controls to ensure that all inventory is appropriately tracked and recorded on a timely basis, and (b) controls to ensure the differences identified during the year-end physical inventory count procedures are properly addressed.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we nor our independent registered public accounting firm undertook a comprehensive assessment of our internal control under the Sarbanes-Oxley Act for purposes of identifying and reporting any weakness in our internal control over financial reporting.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committed to remediating the material weaknesses and we are in the process of implementing a number of measures to address the material weaknesses identified, including:</w:t>
      </w:r>
    </w:p>
    <w:p>
      <w:pPr>
        <w:spacing w:after="0" w:line="148" w:lineRule="exact"/>
        <w:rPr>
          <w:sz w:val="20"/>
          <w:szCs w:val="20"/>
          <w:color w:val="auto"/>
        </w:rPr>
      </w:pPr>
    </w:p>
    <w:p>
      <w:pPr>
        <w:jc w:val="both"/>
        <w:ind w:left="1000" w:right="20" w:hanging="317"/>
        <w:spacing w:after="0" w:line="266"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to evaluate information system capabilities, implement planned information system enhancements and expansion of current information system capabilities in order to reduce the manual reconciliations within the business process and result in more reliance on automated controls;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design of key control activities and enhance the implementation of key controls to ensure completeness and accuracy recording for revenue recognition and inventory related transactions; and</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additional preventive controls, enhance review controls, and provide additional training to control owners charged with the responsibility of safeguarding inventory.</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management, with oversight from the audit committee, is in the process of developing and implementing remediation plans in response to the identified material weaknesses described above. The material weaknesses will not be considered remediated until the applicable remedial controls have operated for a sufficient period of time and management has concluded through testing that these controls are operating effectively. The process of designing and implementing an effective financial reporting system is a continuous effort that requires us to anticipate and react to changes in our business and the economic and regulatory environments and to devote significant resources to maintain a financial reporting system that is adequate to satisfy our reporting obligation. However, we cannot assure you that all of these measures will be sufficient to remediate our material weaknesses in time, or at all. See “Item 3. Key Information—D. Risk Factors—Risks Relating to Our Business and Industry—If we fail to maintain an effective system of internal control over financial reporting, we may be unable to accurately report our financial results or prevent fraud, and investor confidence in our company and the market price of our securities may be adversely affected.”</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company with less than US$1.235 billion in revenues for fiscal year of 2023,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Material weaknesses were identified during the audits for the years ended December 31, 2022 and 2021. These material weaknesses related to (i) a lack of sufficient competent financial reporting and accounting personnel with appropriate understanding of U.S. GAAP and financial reporting requirements set forth by the Securities and Exchange Commission to formalize, design, implement and operate key controls over financial reporting process to properly address complex U.S. GAAP accounting issues and related disclosures in accordance with U.S. GAAP and financial reporting requirements set forth by the Securities and Exchange Commission, and (ii) a lack of period end financial closing policies and procedures to formalize, design, implement and operate key controls over period end financial closing process for the preparation of consolidated and combined financial statements, including disclosures, in accordance with U.S. GAAP and financial reporting requirements of the Securities and Exchange Commission.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Through a series of remedial measure which we have implemented, including the hiring of additional accounting and financial reporting personnel and the expansion of the capabilities of existing accounting and financial reporting personnel, we have effectively mitigated the material weaknesses in relation to internal controls over financial reporting that were identified during the audits for the years ended December 31, 2022 and 2021.</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our audited consolidated financial statements for the year ended December 31, 2023, we identified two material weaknesses in the UK subsidiary. We are in the process of implementing a number of measures to address the material weaknesses identified. See “—Internal Control Over Financial Reporting.”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measures to improve our internal control over financial reporting as descried above, there were no changes in our internal controls over financial reporting that occurred during the period covered by this annual report that have materially affected, or are reasonably likely to materially affect, our internal control over financial reporting.</w:t>
      </w:r>
    </w:p>
    <w:p>
      <w:pPr>
        <w:spacing w:after="0" w:line="18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8"/>
          <w:szCs w:val="18"/>
          <w:b w:val="1"/>
          <w:bCs w:val="1"/>
          <w:color w:val="auto"/>
        </w:rPr>
        <w:t>Audit Committee Financial Expert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Ms. Ada Yunfeng Yan, an independent director (under the standards set forth in Nasdaq Stock Market Rule 5605(a)(2) and Rule 10A-3 under the Exchange Act) and chairman of our audit committee, is an audit committee financial expert.</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adopted a code of business conduct and ethics that applies to our directors, officers, employees and advisors. We have posted a copy of our code of business conduct and ethics on our website at https://ir.group-lotus.com/governance/documents-charters.</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KPMG Huazhen LLP and KPMG member firms, our principal external auditors, for the years indicated.</w:t>
      </w:r>
    </w:p>
    <w:p>
      <w:pPr>
        <w:spacing w:after="0" w:line="18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60" w:type="dxa"/>
            <w:vAlign w:val="bottom"/>
            <w:gridSpan w:val="2"/>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9"/>
        </w:trPr>
        <w:tc>
          <w:tcPr>
            <w:tcW w:w="24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820" w:type="dxa"/>
            <w:vAlign w:val="bottom"/>
          </w:tcPr>
          <w:p>
            <w:pPr>
              <w:spacing w:after="0"/>
              <w:rPr>
                <w:sz w:val="14"/>
                <w:szCs w:val="14"/>
                <w:color w:val="auto"/>
              </w:rPr>
            </w:pPr>
          </w:p>
        </w:tc>
      </w:tr>
      <w:tr>
        <w:trPr>
          <w:trHeight w:val="229"/>
        </w:trPr>
        <w:tc>
          <w:tcPr>
            <w:tcW w:w="78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6"/>
                <w:szCs w:val="26"/>
                <w:color w:val="auto"/>
                <w:vertAlign w:val="superscript"/>
              </w:rPr>
              <w:t>(1)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786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6"/>
                <w:szCs w:val="26"/>
                <w:color w:val="auto"/>
                <w:vertAlign w:val="superscript"/>
              </w:rPr>
              <w:t>(2)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78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6"/>
                <w:szCs w:val="26"/>
                <w:color w:val="auto"/>
                <w:vertAlign w:val="superscript"/>
              </w:rPr>
              <w:t>(3)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08"/>
        </w:trPr>
        <w:tc>
          <w:tcPr>
            <w:tcW w:w="2480" w:type="dxa"/>
            <w:vAlign w:val="bottom"/>
            <w:tcBorders>
              <w:bottom w:val="single" w:sz="8" w:color="auto"/>
            </w:tcBorders>
          </w:tcPr>
          <w:p>
            <w:pPr>
              <w:spacing w:after="0"/>
              <w:rPr>
                <w:sz w:val="9"/>
                <w:szCs w:val="9"/>
                <w:color w:val="auto"/>
              </w:rPr>
            </w:pPr>
          </w:p>
        </w:tc>
        <w:tc>
          <w:tcPr>
            <w:tcW w:w="4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r>
    </w:tbl>
    <w:p>
      <w:pPr>
        <w:spacing w:after="0" w:line="72" w:lineRule="exact"/>
        <w:rPr>
          <w:sz w:val="20"/>
          <w:szCs w:val="20"/>
          <w:color w:val="auto"/>
        </w:rPr>
      </w:pPr>
    </w:p>
    <w:p>
      <w:pPr>
        <w:jc w:val="both"/>
        <w:ind w:left="340" w:hanging="332"/>
        <w:spacing w:after="0" w:line="271" w:lineRule="auto"/>
        <w:tabs>
          <w:tab w:leader="none" w:pos="3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represent the aggregate fees billed or to be billed for the audit of our annual consolidated and combined financial statements and the statutory financial statements of certain subsidiaries. This includes interim review services of interim condensed consolidated and combined financial statements, and the audit fees relating to the Business Combination in 2023.</w:t>
      </w:r>
    </w:p>
    <w:p>
      <w:pPr>
        <w:spacing w:after="0" w:line="18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represent the aggregate fees billed for professional services rendered by our principal external auditors for tax compliance.</w:t>
      </w:r>
    </w:p>
    <w:p>
      <w:pPr>
        <w:spacing w:after="0" w:line="230"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are the aggregate fees billed for other professional services that are not related to the above categories.</w:t>
      </w:r>
    </w:p>
    <w:p>
      <w:pPr>
        <w:spacing w:after="0" w:line="2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other service provided by KPMG Huazhen LLP and KPMG member firms as described above, other than those for de minimis services which are approved by the audit committee prior to the completion of the audit.</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relying on the exemption under Rule 10A-3(b)(1)(iv)(A)(2) of the Exchange Act, which provides that a minority of the members of the listed issuer’s audit committee may be exempt from the independence requirements of paragraph (b)(1)(ii) of Rule 10A-3 for one year from the date of effectiveness of the applicable registration statement. Our audit committee currently comprises three directors of whom two are independent directors.</w:t>
      </w:r>
    </w:p>
    <w:p>
      <w:pPr>
        <w:spacing w:after="0" w:line="1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our reliance on the temporary exemption permitted by Rule 10A-3(b)(1)(iv)(A)(2) materially adversely affects the ability of our audit committee to act independently or to satisfy the requirements of Rule 10A-3 under the Exchange Act. Our audit committee will consist solely of independent directors prior to the expiry of this transition period on January 12, 2025.</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a Cayman Islands company listed on Nasdaq, we are subject to the Nasdaq corporate governance listing standards. However, the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rely on the home country practice exemption available to foreign private issuers for the requirement under (i) Nasdaq Rule 5605(c)(2)(A) that each of the members of our audit committee must be an independent director as defined under Nasdaq Rule 5605(a)(2) and (ii) Nasdaq Rule 5620 that each issuer must hold an annual meeting of shareholders no later than one year after the end of the issuer’s fiscal year-end. We will, however, hold annual shareholders meetings in the future if there are matters that require shareholders’ approval. We may choose to follow additional home country practices in the future. As a result, our shareholders may be afforded less protection than they would otherwise enjoy under the Nasdaq Stock Market’s corporate governance listing standards applicable to U.S. domestic issuers.</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“controlled company” as defined under the Nasdaq rules because Mr. Shufu Li owns more than 50% of our total voting power. For so long as we remain a controlled company under that definition, we are permitted to elect to rely, and may continue to rely, on certain exemptions from Nasdaq corporate governance rules, including (i) an exemption from the rule that a majority of our board of directors must be independent directors; (ii) an exemption from the rule that director nominees must be selected or recommended solely by independent directors; and (iii) an exemption from the rule that the compensation committee must be comprised solely of independent directors. Current, we rely on all of the foregoing exemptions available to a controlled company.</w:t>
      </w:r>
    </w:p>
    <w:p>
      <w:pPr>
        <w:spacing w:after="0" w:line="1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result, you may not be provided with the benefits of certain corporate governance requirements of Nasdaq applicable to companies that are subject to these corporate governance requirements. See “Item 3. Key Information — D. Risk Factors —Risks Relating to Our ADSs — As a company incorporated in the Cayman Islands and a “controlled company” within the meaning of the Nasdaq corporate governance rules, we are permitted to adopt certain home country practices in relation to corporate governance matters that differ significantly from Nasdaq corporate governance listing standards applicable to domestic U.S. companies or rely on exemptions that are available to a “controlled company”; these practices may afford less protection to shareholders than they would enjoy if we complied fully with Nasdaq corporate governance listing standards.”</w:t>
      </w:r>
    </w:p>
    <w:p>
      <w:pPr>
        <w:spacing w:after="0" w:line="1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8"/>
          <w:szCs w:val="18"/>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7"/>
          <w:szCs w:val="17"/>
          <w:b w:val="1"/>
          <w:bCs w:val="1"/>
          <w:color w:val="auto"/>
        </w:rPr>
        <w:t>Insider Trading Policies</w:t>
      </w:r>
    </w:p>
    <w:p>
      <w:pPr>
        <w:spacing w:after="0" w:line="229" w:lineRule="exact"/>
        <w:rPr>
          <w:sz w:val="20"/>
          <w:szCs w:val="20"/>
          <w:color w:val="auto"/>
        </w:rPr>
      </w:pPr>
    </w:p>
    <w:p>
      <w:pPr>
        <w:jc w:val="center"/>
        <w:ind w:right="7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8"/>
          <w:szCs w:val="18"/>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implemented comprehensive procedures to ensure effectiveness in cybersecurity management, strategy and governance and reporting cybersecurity risks. We have also integrated cybersecurity risk management into our overall enterprise risk management system.</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developed a comprehensive cybersecurity threat defense system to address both internal and external threats. This system encompasses various levels, including network, host and application security and incorporates systematic security capabilities for threat defense, monitoring, analysis, response, deception and countermeasures. We strive to manage cybersecurity risks and protect sensitive information through various means, such as technical safeguards, procedural requirements, a robust program that monitors our corporate network and corporate app, continuous testing of aspects of our security posture internally and with outside vendors, a robust incident response program, and regular training for employees. Our cyber security team regularly monitors the performance of our apps, platforms and infrastructure to enable us to respond quickly to potential problems, including potential cybersecurity threats.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is responsible for overseeing risks related to cybersecurity. Our board of directors shall (i) maintain oversight of the disclosure related to cybersecurity matters in current reports or periodic reports of our company, (ii) review updates to the status of any material cybersecurity incidents or material risks from cybersecurity threats to our company, and the disclosure issues, if any, presented by our management on a quarterly basis, and (iii) review disclosure concerning cybersecurity matters in our annual report on Form 20-F presented by our management.</w:t>
      </w:r>
    </w:p>
    <w:p>
      <w:pPr>
        <w:spacing w:after="0" w:line="17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At the management level, our cyber security team is responsible for monitoring and mitigating cybersecurity risks, including those associated with third-party service providers. The team investigates and responds to any suspicious activities within our data environment. Upon detecting any material cybersecurity threat or cybersecurity incident, our cyber security team will report the threat or incident to our head of information technology and cybersecurity functions, who will assume the responsibility for managing the risks from such material cybersecurity threat or cybersecurity incident and monitoring the prevention, mitigation and remediation measures. Our head of information technology and cybersecurity functions is required to update our board of directors regarding the status of any material cybersecurity threats, material cybersecurity incidents or other associated risks, and they are also required to discuss with our board of directors with respect to disclosure of any material cybersecurity threat or incident, if any. Our head of information technology and cybersecurity functions has extensive experience working in the field of cybersecurity, with pertinent background and expertise in cybersecurity risk management and compliance.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cybersecurity incident occurs, our cyber security team will promptly organize personnel for internal assessment. If it is further determined that the incident could potentially be a material cybersecurity event, our cyber security team will promptly report the incident and assessment results to our head of information technology and cybersecurity functions, and, to the extent appropriate, involve external legal counsels to provide advice. Our management shall prepare disclosure material on the cybersecurity incident for review and approval by our board of directors before it is disseminated to the public.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18.Financial Statements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and combined financial statements of Lotus Technology Inc., its subsidiaries and the variable interest entity are included at the end of this annual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4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7"/>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4"/>
                <w:szCs w:val="14"/>
                <w:color w:val="auto"/>
              </w:rPr>
            </w:pPr>
          </w:p>
        </w:tc>
        <w:tc>
          <w:tcPr>
            <w:tcW w:w="8400" w:type="dxa"/>
            <w:vAlign w:val="bottom"/>
            <w:tcBorders>
              <w:top w:val="single" w:sz="8" w:color="auto"/>
              <w:bottom w:val="single" w:sz="8" w:color="0000EE"/>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EE"/>
              </w:rPr>
              <w:t>Sixth Amended and Restated Memorandum and Articles of Association of Lotus Technology Inc., as currently in</w:t>
            </w:r>
          </w:p>
        </w:tc>
        <w:tc>
          <w:tcPr>
            <w:tcW w:w="0" w:type="dxa"/>
            <w:vAlign w:val="bottom"/>
          </w:tcPr>
          <w:p>
            <w:pPr>
              <w:spacing w:after="0"/>
              <w:rPr>
                <w:sz w:val="1"/>
                <w:szCs w:val="1"/>
                <w:color w:val="auto"/>
              </w:rPr>
            </w:pPr>
          </w:p>
        </w:tc>
      </w:tr>
      <w:tr>
        <w:trPr>
          <w:trHeight w:val="196"/>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2"/>
              </w:rPr>
              <w:t>effect</w:t>
            </w:r>
          </w:p>
        </w:tc>
        <w:tc>
          <w:tcPr>
            <w:tcW w:w="80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Specimen American Depositary Receipt (included as Exhibit A to Exhibit 2.2)</w:t>
            </w:r>
          </w:p>
        </w:tc>
        <w:tc>
          <w:tcPr>
            <w:tcW w:w="27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7"/>
                <w:szCs w:val="17"/>
                <w:color w:val="auto"/>
              </w:rPr>
            </w:pPr>
          </w:p>
        </w:tc>
        <w:tc>
          <w:tcPr>
            <w:tcW w:w="84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Deposit Agreement, dated as of January 29, 2024, by and among Lotus Technology Inc., the depositary named</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therein, and holders and beneficial owners of the American Depositary Shares</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5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7"/>
                <w:szCs w:val="17"/>
                <w:color w:val="auto"/>
              </w:rPr>
            </w:pPr>
          </w:p>
        </w:tc>
        <w:tc>
          <w:tcPr>
            <w:tcW w:w="8400" w:type="dxa"/>
            <w:vAlign w:val="bottom"/>
            <w:gridSpan w:val="7"/>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Warrant Agreement, dated as of March 10, 2021, between L Catterton Asia Acquisition Corp and Continental Stock</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580" w:type="dxa"/>
            <w:vAlign w:val="bottom"/>
            <w:gridSpan w:val="2"/>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Transfer &amp; Trust Company (incorporated by reference to Exhibit 4.6 to the Registration Statement on Form F-4</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(File No. 333-275001) filed with the SEC on October 16, 2023)</w:t>
              </w:r>
            </w:hyperlink>
          </w:p>
        </w:tc>
        <w:tc>
          <w:tcPr>
            <w:tcW w:w="38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7"/>
                <w:szCs w:val="17"/>
                <w:color w:val="auto"/>
              </w:rPr>
            </w:pPr>
          </w:p>
        </w:tc>
        <w:tc>
          <w:tcPr>
            <w:tcW w:w="8400" w:type="dxa"/>
            <w:vAlign w:val="bottom"/>
            <w:gridSpan w:val="7"/>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Specimen Ordinary Share Certificate of Lotus Technology Inc. (incorporated by reference to Exhibit 4.7 to the</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Registration Statement on Form F-4 (File No. 333-275001) filed with the SEC on October 16,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tcBorders>
              <w:top w:val="single" w:sz="8" w:color="0000EE"/>
            </w:tcBorders>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186</w:t>
            </w:r>
          </w:p>
        </w:tc>
        <w:tc>
          <w:tcPr>
            <w:tcW w:w="10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58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89" w:name="page190"/>
    <w:bookmarkEnd w:id="1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4"/>
                <w:szCs w:val="24"/>
                <w:color w:val="auto"/>
              </w:rPr>
            </w:pPr>
          </w:p>
        </w:tc>
        <w:tc>
          <w:tcPr>
            <w:tcW w:w="85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Specimen Warrant Certificate of Lotus Technology Inc. (incorporated by reference to Exhibit 4.8 to the Registration</w:t>
              </w:r>
            </w:hyperlink>
          </w:p>
        </w:tc>
        <w:tc>
          <w:tcPr>
            <w:tcW w:w="1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Statement on Form F-4 (File No. 333-275001) filed with the SEC on October 16, 2023)</w:t>
              </w:r>
            </w:hyperlink>
          </w:p>
        </w:tc>
        <w:tc>
          <w:tcPr>
            <w:tcW w:w="23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7"/>
                <w:szCs w:val="17"/>
                <w:color w:val="auto"/>
              </w:rPr>
            </w:pPr>
          </w:p>
        </w:tc>
        <w:tc>
          <w:tcPr>
            <w:tcW w:w="85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Assignment, Assumption and Amendment Agreement, dated as of February 22, 2024, by and among L Catterton</w:t>
            </w:r>
          </w:p>
        </w:tc>
        <w:tc>
          <w:tcPr>
            <w:tcW w:w="1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Asia Acquisition Corp, Lotus Technology Inc., Continental Stock Transfer &amp; Trust Company and Equiniti Trust</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20" w:type="dxa"/>
            <w:vAlign w:val="bottom"/>
            <w:tcBorders>
              <w:top w:val="single" w:sz="8" w:color="0000EE"/>
            </w:tcBorders>
            <w:gridSpan w:val="28"/>
          </w:tcPr>
          <w:p>
            <w:pPr>
              <w:spacing w:after="0" w:line="182" w:lineRule="exact"/>
              <w:rPr>
                <w:sz w:val="20"/>
                <w:szCs w:val="20"/>
                <w:color w:val="auto"/>
              </w:rPr>
            </w:pPr>
            <w:r>
              <w:rPr>
                <w:rFonts w:ascii="Times New Roman" w:cs="Times New Roman" w:eastAsia="Times New Roman" w:hAnsi="Times New Roman"/>
                <w:sz w:val="18"/>
                <w:szCs w:val="18"/>
                <w:color w:val="0000EE"/>
              </w:rPr>
              <w:t>Company, LLC</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864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Registration and Shareholder Rights Agreement, dated as of March 10, 2021, by and among L Catterton Asia</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60" w:type="dxa"/>
            <w:vAlign w:val="bottom"/>
            <w:gridSpan w:val="30"/>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Acquisition Corp, LCA Acquisition Sponsor, LP and certain shareholders of L Catterton Asia Acquisition Corp</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40" w:type="dxa"/>
            <w:vAlign w:val="bottom"/>
            <w:tcBorders>
              <w:top w:val="single" w:sz="8" w:color="0000EE"/>
              <w:bottom w:val="single" w:sz="8" w:color="0000EE"/>
            </w:tcBorders>
            <w:gridSpan w:val="24"/>
          </w:tcPr>
          <w:p>
            <w:pPr>
              <w:spacing w:after="0" w:line="182"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(incorporated by reference to Exhibit 4.10 to the Registration Statement on Form F-4 (File No. 333-275001) filed</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with the SEC on October 16, 2023)</w:t>
              </w:r>
            </w:hyperlink>
          </w:p>
        </w:tc>
        <w:tc>
          <w:tcPr>
            <w:tcW w:w="61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7"/>
                <w:szCs w:val="17"/>
                <w:color w:val="auto"/>
              </w:rPr>
            </w:pPr>
          </w:p>
        </w:tc>
        <w:tc>
          <w:tcPr>
            <w:tcW w:w="85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Registration Rights Agreement, dated as of February 22, 2024, by and among Lotus Technology Inc., LCA</w:t>
            </w:r>
          </w:p>
        </w:tc>
        <w:tc>
          <w:tcPr>
            <w:tcW w:w="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7"/>
                <w:szCs w:val="17"/>
                <w:color w:val="auto"/>
              </w:rPr>
            </w:pPr>
          </w:p>
        </w:tc>
        <w:tc>
          <w:tcPr>
            <w:tcW w:w="86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Acquisition Sponsor, LP and other parties named therein</w:t>
            </w:r>
          </w:p>
        </w:tc>
        <w:tc>
          <w:tcPr>
            <w:tcW w:w="0" w:type="dxa"/>
            <w:vAlign w:val="bottom"/>
          </w:tcPr>
          <w:p>
            <w:pPr>
              <w:spacing w:after="0"/>
              <w:rPr>
                <w:sz w:val="1"/>
                <w:szCs w:val="1"/>
                <w:color w:val="auto"/>
              </w:rPr>
            </w:pPr>
          </w:p>
        </w:tc>
      </w:tr>
      <w:tr>
        <w:trPr>
          <w:trHeight w:val="210"/>
        </w:trPr>
        <w:tc>
          <w:tcPr>
            <w:tcW w:w="1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Description of Securities</w:t>
            </w:r>
          </w:p>
        </w:tc>
        <w:tc>
          <w:tcPr>
            <w:tcW w:w="2280" w:type="dxa"/>
            <w:vAlign w:val="bottom"/>
            <w:tcBorders>
              <w:top w:val="single" w:sz="8" w:color="0000EE"/>
            </w:tcBorders>
            <w:gridSpan w:val="4"/>
          </w:tcPr>
          <w:p>
            <w:pPr>
              <w:spacing w:after="0"/>
              <w:rPr>
                <w:sz w:val="18"/>
                <w:szCs w:val="18"/>
                <w:color w:val="auto"/>
              </w:rPr>
            </w:pPr>
          </w:p>
        </w:tc>
        <w:tc>
          <w:tcPr>
            <w:tcW w:w="458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84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Investment Management Trust Agreement, dated as of March 10, 2021, by and between Continental Stock &amp; Trust</w:t>
              </w:r>
            </w:hyperlink>
          </w:p>
        </w:tc>
        <w:tc>
          <w:tcPr>
            <w:tcW w:w="2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60" w:type="dxa"/>
            <w:vAlign w:val="bottom"/>
            <w:gridSpan w:val="30"/>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Company and L Catterton Asia Acquisition Corp (incorporated by reference to Exhibit 10.1 to the Registration</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20" w:type="dxa"/>
            <w:vAlign w:val="bottom"/>
            <w:tcBorders>
              <w:top w:val="single" w:sz="8" w:color="0000EE"/>
              <w:bottom w:val="single" w:sz="8" w:color="0000EE"/>
            </w:tcBorders>
            <w:gridSpan w:val="12"/>
          </w:tcPr>
          <w:p>
            <w:pPr>
              <w:spacing w:after="0" w:line="182"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Statement on Form F-4 (File No. 333-275001) filed with the SEC on October 16, 2023)</w:t>
              </w:r>
            </w:hyperlink>
          </w:p>
        </w:tc>
        <w:tc>
          <w:tcPr>
            <w:tcW w:w="216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85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Administrative Support Agreement, dated as of March 10, 2021, by and between LCA Acquisition Sponsor, LP and</w:t>
              </w:r>
            </w:hyperlink>
          </w:p>
        </w:tc>
        <w:tc>
          <w:tcPr>
            <w:tcW w:w="1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60" w:type="dxa"/>
            <w:vAlign w:val="bottom"/>
            <w:gridSpan w:val="30"/>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L Catterton Asia Acquisition Corp (incorporated by reference to Exhibit 10.2 to the Registration Statement on Form</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20" w:type="dxa"/>
            <w:vAlign w:val="bottom"/>
            <w:tcBorders>
              <w:top w:val="single" w:sz="8" w:color="0000EE"/>
            </w:tcBorders>
            <w:gridSpan w:val="18"/>
          </w:tcPr>
          <w:p>
            <w:pPr>
              <w:spacing w:after="0" w:line="182"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F-4 (File No. 333-275001) filed with the SEC on October 16,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85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Letter Agreement, dated as of March 10, 2021, among LCA Acquisition Sponsor, LP, L Catterton Asia Acquisition</w:t>
              </w:r>
            </w:hyperlink>
          </w:p>
        </w:tc>
        <w:tc>
          <w:tcPr>
            <w:tcW w:w="1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60" w:type="dxa"/>
            <w:vAlign w:val="bottom"/>
            <w:gridSpan w:val="30"/>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Corp and officers and directors of L Catterton Asia Acquisition Corp (incorporated by reference to Exhibit 10.3 to</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40" w:type="dxa"/>
            <w:vAlign w:val="bottom"/>
            <w:tcBorders>
              <w:top w:val="single" w:sz="8" w:color="0000EE"/>
            </w:tcBorders>
            <w:gridSpan w:val="29"/>
          </w:tcPr>
          <w:p>
            <w:pPr>
              <w:spacing w:after="0" w:line="182"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the Registration Statement on Form F-4 (File No. 333-275001) filed with the SEC on October 16, 2023)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8"/>
                <w:szCs w:val="18"/>
                <w:color w:val="auto"/>
              </w:rPr>
            </w:pPr>
          </w:p>
        </w:tc>
        <w:tc>
          <w:tcPr>
            <w:tcW w:w="84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Sponsor Support Agreement, dated as of January 31, 2023, by and among Lotus Technology Inc., L Catterton Asia</w:t>
              </w:r>
            </w:hyperlink>
          </w:p>
        </w:tc>
        <w:tc>
          <w:tcPr>
            <w:tcW w:w="2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60" w:type="dxa"/>
            <w:vAlign w:val="bottom"/>
            <w:gridSpan w:val="30"/>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Acquisition Corp, LCA Acquisition Sponsor, LP and other parties named therein (incorporated by reference to</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60" w:type="dxa"/>
            <w:vAlign w:val="bottom"/>
            <w:tcBorders>
              <w:top w:val="single" w:sz="8" w:color="0000EE"/>
              <w:bottom w:val="single" w:sz="8" w:color="0000EE"/>
            </w:tcBorders>
            <w:gridSpan w:val="20"/>
          </w:tcPr>
          <w:p>
            <w:pPr>
              <w:spacing w:after="0" w:line="182"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Exhibit 10.4 to the Registration Statement on Form F-4 (File No. 333-275001) filed with the SEC on October 16,</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17">
              <w:r>
                <w:rPr>
                  <w:rFonts w:ascii="Times New Roman" w:cs="Times New Roman" w:eastAsia="Times New Roman" w:hAnsi="Times New Roman"/>
                  <w:sz w:val="18"/>
                  <w:szCs w:val="18"/>
                  <w:color w:val="0000EE"/>
                  <w:w w:val="95"/>
                </w:rPr>
                <w:t>2023)</w:t>
              </w:r>
            </w:hyperlink>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7"/>
                <w:szCs w:val="17"/>
                <w:color w:val="auto"/>
              </w:rPr>
            </w:pPr>
          </w:p>
        </w:tc>
        <w:tc>
          <w:tcPr>
            <w:tcW w:w="85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Amendment to Sponsor Support Agreement, dated as of November 13, 2023, by and among Lotus Technology Inc.,</w:t>
              </w:r>
            </w:hyperlink>
          </w:p>
        </w:tc>
        <w:tc>
          <w:tcPr>
            <w:tcW w:w="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60" w:type="dxa"/>
            <w:vAlign w:val="bottom"/>
            <w:gridSpan w:val="30"/>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L Catterton Asia Acquisition Corp, LCA Acquisition Sponsor, LP and other parties named therein (incorporated by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0" w:type="dxa"/>
            <w:vAlign w:val="bottom"/>
            <w:tcBorders>
              <w:top w:val="single" w:sz="8" w:color="0000EE"/>
              <w:bottom w:val="single" w:sz="8" w:color="0000EE"/>
            </w:tcBorders>
            <w:gridSpan w:val="17"/>
          </w:tcPr>
          <w:p>
            <w:pPr>
              <w:spacing w:after="0" w:line="182"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reference to Exhibit 10.5 to the Registration Statement on Amendment No. 1 to Form F-4 (File No. 333-275001)</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60" w:type="dxa"/>
            <w:vAlign w:val="bottom"/>
            <w:gridSpan w:val="30"/>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filed with the SEC on November 15, 2023)</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7"/>
                <w:szCs w:val="17"/>
                <w:color w:val="auto"/>
              </w:rPr>
            </w:pPr>
          </w:p>
        </w:tc>
        <w:tc>
          <w:tcPr>
            <w:tcW w:w="86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Shareholder Support Agreement, dated as of January 31, 2023, by and among Lotus Technology Inc., L Catterton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60" w:type="dxa"/>
            <w:vAlign w:val="bottom"/>
            <w:gridSpan w:val="30"/>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Asia Acquisition Corp, and other parties named therein (incorporated by reference to Exhibit 10.5 to the</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40" w:type="dxa"/>
            <w:vAlign w:val="bottom"/>
            <w:tcBorders>
              <w:top w:val="single" w:sz="8" w:color="0000EE"/>
              <w:bottom w:val="single" w:sz="8" w:color="0000EE"/>
            </w:tcBorders>
            <w:gridSpan w:val="14"/>
          </w:tcPr>
          <w:p>
            <w:pPr>
              <w:spacing w:after="0" w:line="182"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Registration Statement on Form F-4 (File No. 333-275001) filed with the SEC on October 16, 2023)</w:t>
              </w:r>
            </w:hyperlink>
          </w:p>
        </w:tc>
        <w:tc>
          <w:tcPr>
            <w:tcW w:w="1260" w:type="dxa"/>
            <w:vAlign w:val="bottom"/>
            <w:tcBorders>
              <w:top w:val="single" w:sz="8" w:color="0000EE"/>
            </w:tcBorders>
            <w:gridSpan w:val="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84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Distribution Agreement dated January 31, 2023 between Lotus Cars Limited and Lotus Technology Innovative</w:t>
              </w:r>
            </w:hyperlink>
          </w:p>
        </w:tc>
        <w:tc>
          <w:tcPr>
            <w:tcW w:w="2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60" w:type="dxa"/>
            <w:vAlign w:val="bottom"/>
            <w:gridSpan w:val="30"/>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Limited (incorporated by reference to Exhibit 10.7 to the Registration Statement on Amendment No. 1 to Form F-4</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80" w:type="dxa"/>
            <w:vAlign w:val="bottom"/>
            <w:tcBorders>
              <w:top w:val="single" w:sz="8" w:color="0000EE"/>
              <w:bottom w:val="single" w:sz="8" w:color="0000EE"/>
            </w:tcBorders>
            <w:gridSpan w:val="9"/>
          </w:tcPr>
          <w:p>
            <w:pPr>
              <w:spacing w:after="0" w:line="182"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(File No. 333-275001) filed with the SEC on November 15, 2023)</w:t>
              </w:r>
            </w:hyperlink>
          </w:p>
        </w:tc>
        <w:tc>
          <w:tcPr>
            <w:tcW w:w="3800" w:type="dxa"/>
            <w:vAlign w:val="bottom"/>
            <w:tcBorders>
              <w:top w:val="single" w:sz="8" w:color="0000EE"/>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8"/>
                <w:szCs w:val="18"/>
                <w:color w:val="auto"/>
              </w:rPr>
            </w:pPr>
          </w:p>
        </w:tc>
        <w:tc>
          <w:tcPr>
            <w:tcW w:w="84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Put Option Agreement dated January 31, 2023 among Lotus Technology Inc., Geely International (Hong Kong)</w:t>
              </w:r>
            </w:hyperlink>
          </w:p>
        </w:tc>
        <w:tc>
          <w:tcPr>
            <w:tcW w:w="2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60" w:type="dxa"/>
            <w:vAlign w:val="bottom"/>
            <w:gridSpan w:val="30"/>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Limited, Lotus Advance Technologies Sdn Bhd and Lotus Group International Limited (incorporated by reference to</w:t>
              </w:r>
            </w:hyperlink>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60" w:type="dxa"/>
            <w:vAlign w:val="bottom"/>
            <w:tcBorders>
              <w:top w:val="single" w:sz="8" w:color="0000EE"/>
              <w:bottom w:val="single" w:sz="8" w:color="0000EE"/>
            </w:tcBorders>
            <w:gridSpan w:val="25"/>
          </w:tcPr>
          <w:p>
            <w:pPr>
              <w:spacing w:after="0" w:line="182"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Exhibit 10.7 to the Registration Statement on Form F-4 (File No. 333-275001) filed with the SEC on October 16,</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21">
              <w:r>
                <w:rPr>
                  <w:rFonts w:ascii="Times New Roman" w:cs="Times New Roman" w:eastAsia="Times New Roman" w:hAnsi="Times New Roman"/>
                  <w:sz w:val="18"/>
                  <w:szCs w:val="18"/>
                  <w:color w:val="0000EE"/>
                  <w:w w:val="95"/>
                </w:rPr>
                <w:t>2023)</w:t>
              </w:r>
            </w:hyperlink>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4.9 </w:t>
            </w:r>
          </w:p>
        </w:tc>
        <w:tc>
          <w:tcPr>
            <w:tcW w:w="220" w:type="dxa"/>
            <w:vAlign w:val="bottom"/>
          </w:tcPr>
          <w:p>
            <w:pPr>
              <w:spacing w:after="0"/>
              <w:rPr>
                <w:sz w:val="17"/>
                <w:szCs w:val="17"/>
                <w:color w:val="auto"/>
              </w:rPr>
            </w:pPr>
          </w:p>
        </w:tc>
        <w:tc>
          <w:tcPr>
            <w:tcW w:w="84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Put Option Agreement dated January 31, 2023 among Lotus Technology Inc., Etika Automotive Sdn Bhd, Lotus</w:t>
              </w:r>
            </w:hyperlink>
          </w:p>
        </w:tc>
        <w:tc>
          <w:tcPr>
            <w:tcW w:w="2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60" w:type="dxa"/>
            <w:vAlign w:val="bottom"/>
            <w:gridSpan w:val="30"/>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Advance Technologies Sdn Bhd and Lotus Group International Limited (incorporated by reference to Exhibit 10.8</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40" w:type="dxa"/>
            <w:vAlign w:val="bottom"/>
            <w:tcBorders>
              <w:top w:val="single" w:sz="8" w:color="0000EE"/>
            </w:tcBorders>
            <w:gridSpan w:val="19"/>
          </w:tcPr>
          <w:p>
            <w:pPr>
              <w:spacing w:after="0" w:line="182"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to the Registration Statement on Form F-4 (File No. 333-275001) filed with the SEC on October 16, 2023)</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2620" w:type="dxa"/>
            <w:vAlign w:val="bottom"/>
            <w:gridSpan w:val="5"/>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tcPr>
          <w:p>
            <w:pPr>
              <w:spacing w:after="0"/>
              <w:rPr>
                <w:sz w:val="18"/>
                <w:szCs w:val="18"/>
                <w:color w:val="auto"/>
              </w:rPr>
            </w:pPr>
          </w:p>
        </w:tc>
        <w:tc>
          <w:tcPr>
            <w:tcW w:w="85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Lotus Technology Inc. 2022 Stock Incentive Plan (incorporated by reference to Exhibit 10.9 to the Registration</w:t>
              </w:r>
            </w:hyperlink>
          </w:p>
        </w:tc>
        <w:tc>
          <w:tcPr>
            <w:tcW w:w="1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Statement on Form F-4 (File No. 333-275001) filed with the SEC on October 16, 2023)</w:t>
              </w:r>
            </w:hyperlink>
          </w:p>
        </w:tc>
        <w:tc>
          <w:tcPr>
            <w:tcW w:w="23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220" w:type="dxa"/>
            <w:vAlign w:val="bottom"/>
          </w:tcPr>
          <w:p>
            <w:pPr>
              <w:spacing w:after="0"/>
              <w:rPr>
                <w:sz w:val="17"/>
                <w:szCs w:val="17"/>
                <w:color w:val="auto"/>
              </w:rPr>
            </w:pPr>
          </w:p>
        </w:tc>
        <w:tc>
          <w:tcPr>
            <w:tcW w:w="86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Form of Indemnification Agreement between Lotus Technology Inc. and each executive officer of Lotus Technology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60" w:type="dxa"/>
            <w:vAlign w:val="bottom"/>
            <w:gridSpan w:val="30"/>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Inc. (incorporated by reference to Exhibit 10.10 to the Registration Statement on Form F-4 (File No. 333-275001)</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40" w:type="dxa"/>
            <w:vAlign w:val="bottom"/>
            <w:tcBorders>
              <w:top w:val="single" w:sz="8" w:color="0000EE"/>
            </w:tcBorders>
            <w:gridSpan w:val="19"/>
          </w:tcPr>
          <w:p>
            <w:pPr>
              <w:spacing w:after="0" w:line="182"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filed with the SEC on October 16, 2023)</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tcPr>
          <w:p>
            <w:pPr>
              <w:spacing w:after="0"/>
              <w:rPr>
                <w:sz w:val="18"/>
                <w:szCs w:val="18"/>
                <w:color w:val="auto"/>
              </w:rPr>
            </w:pPr>
          </w:p>
        </w:tc>
        <w:tc>
          <w:tcPr>
            <w:tcW w:w="86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English translation of form of Employment Agreement between Wuhan Lotus Technology Limited Company Ltd.</w:t>
              </w:r>
            </w:hyperlink>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60" w:type="dxa"/>
            <w:vAlign w:val="bottom"/>
            <w:gridSpan w:val="30"/>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and each executive officer of Lotus Tech. (incorporated by reference to Exhibit 10.11 to the Registration Statement</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20" w:type="dxa"/>
            <w:vAlign w:val="bottom"/>
            <w:tcBorders>
              <w:top w:val="single" w:sz="8" w:color="0000EE"/>
            </w:tcBorders>
            <w:gridSpan w:val="23"/>
          </w:tcPr>
          <w:p>
            <w:pPr>
              <w:spacing w:after="0" w:line="182"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on Form F-4 (File No. 333-275001) filed with the SEC on October 16, 2023)</w:t>
              </w:r>
            </w:hyperlink>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40" w:type="dxa"/>
            <w:vAlign w:val="bottom"/>
            <w:gridSpan w:val="9"/>
            <w:shd w:val="clear" w:color="auto" w:fill="0000EE"/>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Pr>
          <w:p>
            <w:pPr>
              <w:spacing w:after="0"/>
              <w:rPr>
                <w:sz w:val="18"/>
                <w:szCs w:val="18"/>
                <w:color w:val="auto"/>
              </w:rPr>
            </w:pPr>
          </w:p>
        </w:tc>
        <w:tc>
          <w:tcPr>
            <w:tcW w:w="86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English Translation of EPA/LAMBDA/ALPHA Development Agreement dated March 24, 2021 between Wuhan</w:t>
              </w:r>
            </w:hyperlink>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60" w:type="dxa"/>
            <w:vAlign w:val="bottom"/>
            <w:gridSpan w:val="30"/>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Lotus Cars Co., Ltd and Ningbo Geely Automobile Research and Development Co., Ltd. (incorporated by reference</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20" w:type="dxa"/>
            <w:vAlign w:val="bottom"/>
            <w:tcBorders>
              <w:top w:val="single" w:sz="8" w:color="0000EE"/>
              <w:bottom w:val="single" w:sz="8" w:color="0000EE"/>
            </w:tcBorders>
            <w:gridSpan w:val="18"/>
          </w:tcPr>
          <w:p>
            <w:pPr>
              <w:spacing w:after="0" w:line="182"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to Exhibit 10.12 to the Registration Statement on Form F-4 (File No. 333-275001) filed with the SEC on October</w:t>
              </w:r>
            </w:hyperlink>
          </w:p>
        </w:tc>
        <w:tc>
          <w:tcPr>
            <w:tcW w:w="180" w:type="dxa"/>
            <w:vAlign w:val="bottom"/>
            <w:tcBorders>
              <w:top w:val="single" w:sz="8" w:color="0000EE"/>
            </w:tcBorders>
            <w:gridSpan w:val="9"/>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26">
              <w:r>
                <w:rPr>
                  <w:rFonts w:ascii="Times New Roman" w:cs="Times New Roman" w:eastAsia="Times New Roman" w:hAnsi="Times New Roman"/>
                  <w:sz w:val="18"/>
                  <w:szCs w:val="18"/>
                  <w:color w:val="0000EE"/>
                  <w:w w:val="98"/>
                </w:rPr>
                <w:t>16, 2023)</w:t>
              </w:r>
            </w:hyperlink>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00" w:right="99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190" w:name="page191"/>
    <w:bookmarkEnd w:id="19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tcPr>
          <w:p>
            <w:pPr>
              <w:spacing w:after="0"/>
              <w:rPr>
                <w:sz w:val="24"/>
                <w:szCs w:val="24"/>
                <w:color w:val="auto"/>
              </w:rPr>
            </w:pPr>
          </w:p>
        </w:tc>
        <w:tc>
          <w:tcPr>
            <w:tcW w:w="85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English Translation of Technology License Agreement dated December 20, 2021 between Wuhan Lotus Cars Co.,</w:t>
              </w:r>
            </w:hyperlink>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22"/>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Ltd and Zhejiang Liankong Technology Co., Ltd (incorporated by reference to Exhibit 10.13 to the Registration</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20" w:type="dxa"/>
            <w:vAlign w:val="bottom"/>
            <w:tcBorders>
              <w:top w:val="single" w:sz="8" w:color="0000EE"/>
              <w:bottom w:val="single" w:sz="8" w:color="0000EE"/>
            </w:tcBorders>
            <w:gridSpan w:val="9"/>
          </w:tcPr>
          <w:p>
            <w:pPr>
              <w:spacing w:after="0" w:line="182"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Statement on Form F-4 (File No. 333-275001) filed with the SEC on October 16, 2023)</w:t>
              </w:r>
            </w:hyperlink>
          </w:p>
        </w:tc>
        <w:tc>
          <w:tcPr>
            <w:tcW w:w="224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Pr>
          <w:p>
            <w:pPr>
              <w:spacing w:after="0"/>
              <w:rPr>
                <w:sz w:val="18"/>
                <w:szCs w:val="18"/>
                <w:color w:val="auto"/>
              </w:rPr>
            </w:pPr>
          </w:p>
        </w:tc>
        <w:tc>
          <w:tcPr>
            <w:tcW w:w="86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Trademarks License Agreement dated November 4, 2021 between Lotus Advanced Technology Limited and Group</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22"/>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Lotus Limited (incorporated by reference to Exhibit 10.14 to the Registration Statement on Form F-4 (File No. 333-</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40" w:type="dxa"/>
            <w:vAlign w:val="bottom"/>
            <w:tcBorders>
              <w:top w:val="single" w:sz="8" w:color="0000EE"/>
            </w:tcBorders>
            <w:gridSpan w:val="18"/>
          </w:tcPr>
          <w:p>
            <w:pPr>
              <w:spacing w:after="0" w:line="182"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275001) filed with the SEC on October 16,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Pr>
          <w:p>
            <w:pPr>
              <w:spacing w:after="0"/>
              <w:rPr>
                <w:sz w:val="18"/>
                <w:szCs w:val="18"/>
                <w:color w:val="auto"/>
              </w:rPr>
            </w:pPr>
          </w:p>
        </w:tc>
        <w:tc>
          <w:tcPr>
            <w:tcW w:w="85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Trademarks License Agreement dated November 4, 2021 between Lotus Technology International Limited and</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22"/>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Group Lotus Limited (incorporated by reference to Exhibit 10.15 to the Registration Statement on Form F-4 (File</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40" w:type="dxa"/>
            <w:vAlign w:val="bottom"/>
            <w:tcBorders>
              <w:top w:val="single" w:sz="8" w:color="0000EE"/>
            </w:tcBorders>
            <w:gridSpan w:val="13"/>
          </w:tcPr>
          <w:p>
            <w:pPr>
              <w:spacing w:after="0" w:line="182"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No. 333-275001) filed with the SEC on October 16,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Pr>
          <w:p>
            <w:pPr>
              <w:spacing w:after="0"/>
              <w:rPr>
                <w:sz w:val="18"/>
                <w:szCs w:val="18"/>
                <w:color w:val="auto"/>
              </w:rPr>
            </w:pPr>
          </w:p>
        </w:tc>
        <w:tc>
          <w:tcPr>
            <w:tcW w:w="85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English Translation of Manufacture Cooperation Agreement dated June 21, 2022 among Wuhan Lotus Cars Co.,</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22"/>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Ltd, Wuhan Lotus Cars Sales Limited, Wuhan Branch of Zhejiang Geely Automobile Co., Ltd. and Wuhan Geely</w:t>
              </w:r>
            </w:hyperlink>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20" w:type="dxa"/>
            <w:vAlign w:val="bottom"/>
            <w:tcBorders>
              <w:top w:val="single" w:sz="8" w:color="0000EE"/>
              <w:bottom w:val="single" w:sz="8" w:color="0000EE"/>
            </w:tcBorders>
            <w:gridSpan w:val="12"/>
          </w:tcPr>
          <w:p>
            <w:pPr>
              <w:spacing w:after="0" w:line="182"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Auto Parts Co., Ltd (incorporated by reference to Exhibit 10.16 to the Registration Statement on Form F-4 (File No.</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333-275001) filed with the SEC on October 16, 2023)</w:t>
              </w:r>
            </w:hyperlink>
          </w:p>
        </w:tc>
        <w:tc>
          <w:tcPr>
            <w:tcW w:w="46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220" w:type="dxa"/>
            <w:vAlign w:val="bottom"/>
          </w:tcPr>
          <w:p>
            <w:pPr>
              <w:spacing w:after="0"/>
              <w:rPr>
                <w:sz w:val="17"/>
                <w:szCs w:val="17"/>
                <w:color w:val="auto"/>
              </w:rPr>
            </w:pPr>
          </w:p>
        </w:tc>
        <w:tc>
          <w:tcPr>
            <w:tcW w:w="8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English Translation of Convertible Note Investment Agreement dated September 23, 2021 among Hubei Changjiang</w:t>
              </w:r>
            </w:hyperlink>
          </w:p>
        </w:tc>
        <w:tc>
          <w:tcPr>
            <w:tcW w:w="1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22"/>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Jingkai Automobile Industry Investment Fund Partnership (Limited Partnership), Wuhan Lotus Technology Co.,</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80" w:type="dxa"/>
            <w:vAlign w:val="bottom"/>
            <w:tcBorders>
              <w:top w:val="single" w:sz="8" w:color="0000EE"/>
              <w:bottom w:val="single" w:sz="8" w:color="0000EE"/>
            </w:tcBorders>
            <w:gridSpan w:val="20"/>
          </w:tcPr>
          <w:p>
            <w:pPr>
              <w:spacing w:after="0" w:line="182"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Ltd., Zhejiang Geely Holding Group, and Ningbo Juhe Yinqing Enterprise Management Consulting Partnership</w:t>
              </w:r>
            </w:hyperlink>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22"/>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(Limited Partnership) (incorporated by reference to Exhibit 10.17 to the Registration Statement on Form F-4 (File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No. 333-275001) filed with the SEC on October 16, 2023)</w:t>
              </w:r>
            </w:hyperlink>
          </w:p>
        </w:tc>
        <w:tc>
          <w:tcPr>
            <w:tcW w:w="2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220" w:type="dxa"/>
            <w:vAlign w:val="bottom"/>
          </w:tcPr>
          <w:p>
            <w:pPr>
              <w:spacing w:after="0"/>
              <w:rPr>
                <w:sz w:val="17"/>
                <w:szCs w:val="17"/>
                <w:color w:val="auto"/>
              </w:rPr>
            </w:pPr>
          </w:p>
        </w:tc>
        <w:tc>
          <w:tcPr>
            <w:tcW w:w="84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English Translation of Investment Agreement of Ningbo Lotus Robotics Co., Ltd dated June 1, 2022 among</w:t>
              </w:r>
            </w:hyperlink>
          </w:p>
        </w:tc>
        <w:tc>
          <w:tcPr>
            <w:tcW w:w="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22"/>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Hangzhou Bay Capital, Ningbo Lotus Robotics Co., Ltd and others (incorporated by reference to Exhibit 10.18 to</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80" w:type="dxa"/>
            <w:vAlign w:val="bottom"/>
            <w:tcBorders>
              <w:top w:val="single" w:sz="8" w:color="0000EE"/>
            </w:tcBorders>
            <w:gridSpan w:val="15"/>
          </w:tcPr>
          <w:p>
            <w:pPr>
              <w:spacing w:after="0" w:line="182"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the Registration Statement on Form F-4 (File No. 333-275001) filed with the SEC on October 16,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18"/>
                <w:szCs w:val="18"/>
                <w:color w:val="auto"/>
              </w:rPr>
            </w:pPr>
          </w:p>
        </w:tc>
        <w:tc>
          <w:tcPr>
            <w:tcW w:w="85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English Translation of Convertible Note Investment Agreement dated November 8, 2022 among Hangzhou Fuyang</w:t>
              </w:r>
            </w:hyperlink>
          </w:p>
        </w:tc>
        <w:tc>
          <w:tcPr>
            <w:tcW w:w="1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22"/>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Development Zone Industrial Investment Co., Ltd., Sanya Lotus Venture Capital Co., Ltd. and Wuhan Lotus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0" w:type="dxa"/>
            <w:vAlign w:val="bottom"/>
            <w:tcBorders>
              <w:top w:val="single" w:sz="8" w:color="0000EE"/>
              <w:bottom w:val="single" w:sz="8" w:color="0000EE"/>
            </w:tcBorders>
            <w:gridSpan w:val="11"/>
          </w:tcPr>
          <w:p>
            <w:pPr>
              <w:spacing w:after="0" w:line="182"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Technology Co., Ltd. (incorporated by reference to Exhibit 10.19 to the Registration Statement on Form F-4 (File</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22"/>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No. 333-275001) filed with the SEC on October 16, 2023)</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4.21#</w:t>
            </w:r>
          </w:p>
        </w:tc>
        <w:tc>
          <w:tcPr>
            <w:tcW w:w="220" w:type="dxa"/>
            <w:vAlign w:val="bottom"/>
          </w:tcPr>
          <w:p>
            <w:pPr>
              <w:spacing w:after="0"/>
              <w:rPr>
                <w:sz w:val="17"/>
                <w:szCs w:val="17"/>
                <w:color w:val="auto"/>
              </w:rPr>
            </w:pPr>
          </w:p>
        </w:tc>
        <w:tc>
          <w:tcPr>
            <w:tcW w:w="86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English Translation of Restructuring Agreement, dated June 30, 2023, among Wuhan Lotus Technology Limited</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22"/>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Company Ltd., Wuhan Lotus E-commerce Co., Ltd. and its nominee shareholders, and Lotus Technology Inc.</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60" w:type="dxa"/>
            <w:vAlign w:val="bottom"/>
            <w:tcBorders>
              <w:top w:val="single" w:sz="8" w:color="0000EE"/>
              <w:bottom w:val="single" w:sz="8" w:color="0000EE"/>
            </w:tcBorders>
            <w:gridSpan w:val="14"/>
          </w:tcPr>
          <w:p>
            <w:pPr>
              <w:spacing w:after="0" w:line="182"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(incorporated by reference to Exhibit 10.26 to the Registration Statement on Form F-4 (File No. 333-275001) filed</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with the SEC on October 16, 2023)</w:t>
              </w:r>
            </w:hyperlink>
          </w:p>
        </w:tc>
        <w:tc>
          <w:tcPr>
            <w:tcW w:w="60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4.22</w:t>
            </w:r>
          </w:p>
        </w:tc>
        <w:tc>
          <w:tcPr>
            <w:tcW w:w="220" w:type="dxa"/>
            <w:vAlign w:val="bottom"/>
          </w:tcPr>
          <w:p>
            <w:pPr>
              <w:spacing w:after="0"/>
              <w:rPr>
                <w:sz w:val="17"/>
                <w:szCs w:val="17"/>
                <w:color w:val="auto"/>
              </w:rPr>
            </w:pPr>
          </w:p>
        </w:tc>
        <w:tc>
          <w:tcPr>
            <w:tcW w:w="86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English Translation of Termination Agreement dated June 30, 2023, among Wuhan Lotus Technology Limited</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22"/>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Company Ltd. and Wuhan Lotus E-commerce Co., Ltd. and its nominee shareholders. (incorporated by reference to</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00" w:type="dxa"/>
            <w:vAlign w:val="bottom"/>
            <w:tcBorders>
              <w:top w:val="single" w:sz="8" w:color="0000EE"/>
              <w:bottom w:val="single" w:sz="8" w:color="0000EE"/>
            </w:tcBorders>
            <w:gridSpan w:val="16"/>
          </w:tcPr>
          <w:p>
            <w:pPr>
              <w:spacing w:after="0" w:line="182"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Exhibit 10.27 to the Registration Statement on Form F-4 (File No. 333-275001) filed with the SEC on October 16,</w:t>
              </w:r>
            </w:hyperlink>
          </w:p>
        </w:tc>
        <w:tc>
          <w:tcPr>
            <w:tcW w:w="80" w:type="dxa"/>
            <w:vAlign w:val="bottom"/>
            <w:tcBorders>
              <w:top w:val="single" w:sz="8" w:color="0000EE"/>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36">
              <w:r>
                <w:rPr>
                  <w:rFonts w:ascii="Times New Roman" w:cs="Times New Roman" w:eastAsia="Times New Roman" w:hAnsi="Times New Roman"/>
                  <w:sz w:val="18"/>
                  <w:szCs w:val="18"/>
                  <w:color w:val="0000EE"/>
                  <w:w w:val="95"/>
                </w:rPr>
                <w:t>2023)</w:t>
              </w:r>
            </w:hyperlink>
          </w:p>
        </w:tc>
        <w:tc>
          <w:tcPr>
            <w:tcW w:w="2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4.23#</w:t>
            </w:r>
          </w:p>
        </w:tc>
        <w:tc>
          <w:tcPr>
            <w:tcW w:w="220" w:type="dxa"/>
            <w:vAlign w:val="bottom"/>
          </w:tcPr>
          <w:p>
            <w:pPr>
              <w:spacing w:after="0"/>
              <w:rPr>
                <w:sz w:val="17"/>
                <w:szCs w:val="17"/>
                <w:color w:val="auto"/>
              </w:rPr>
            </w:pPr>
          </w:p>
        </w:tc>
        <w:tc>
          <w:tcPr>
            <w:tcW w:w="86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Form of Convertible Note Purchase Agreement (incorporated by reference to Exhibit 10.28 to the Registration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Statement on Form F-4 (File No. 333-275001) filed with the SEC on October 16, 2023)</w:t>
              </w:r>
            </w:hyperlink>
          </w:p>
        </w:tc>
        <w:tc>
          <w:tcPr>
            <w:tcW w:w="23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4.24</w:t>
            </w:r>
          </w:p>
        </w:tc>
        <w:tc>
          <w:tcPr>
            <w:tcW w:w="220" w:type="dxa"/>
            <w:vAlign w:val="bottom"/>
          </w:tcPr>
          <w:p>
            <w:pPr>
              <w:spacing w:after="0"/>
              <w:rPr>
                <w:sz w:val="17"/>
                <w:szCs w:val="17"/>
                <w:color w:val="auto"/>
              </w:rPr>
            </w:pPr>
          </w:p>
        </w:tc>
        <w:tc>
          <w:tcPr>
            <w:tcW w:w="85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Form of Subscription Agreement (incorporated by reference to Exhibit 10.29 to the Registration Statement on Form</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22"/>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F-4 (File No. 333-275001) filed with the SEC on October 16, 2023)</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4.25</w:t>
            </w:r>
          </w:p>
        </w:tc>
        <w:tc>
          <w:tcPr>
            <w:tcW w:w="220" w:type="dxa"/>
            <w:vAlign w:val="bottom"/>
          </w:tcPr>
          <w:p>
            <w:pPr>
              <w:spacing w:after="0"/>
              <w:rPr>
                <w:sz w:val="17"/>
                <w:szCs w:val="17"/>
                <w:color w:val="auto"/>
              </w:rPr>
            </w:pPr>
          </w:p>
        </w:tc>
        <w:tc>
          <w:tcPr>
            <w:tcW w:w="85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Form of Subscription Agreement (for PIPE Investments using a deposit structure) (incorporated by reference to</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22"/>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Exhibit 10.30 to the Registration Statement on Form F-4 (File No. 333-275001) filed with the SEC on October 16,</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5"/>
              </w:rPr>
            </w:pPr>
            <w:hyperlink r:id="rId239">
              <w:r>
                <w:rPr>
                  <w:rFonts w:ascii="Times New Roman" w:cs="Times New Roman" w:eastAsia="Times New Roman" w:hAnsi="Times New Roman"/>
                  <w:sz w:val="18"/>
                  <w:szCs w:val="18"/>
                  <w:color w:val="0000EE"/>
                  <w:w w:val="95"/>
                </w:rPr>
                <w:t>2023)</w:t>
              </w:r>
            </w:hyperlink>
          </w:p>
        </w:tc>
        <w:tc>
          <w:tcPr>
            <w:tcW w:w="214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118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tcPr>
          <w:p>
            <w:pPr>
              <w:spacing w:after="0"/>
              <w:rPr>
                <w:sz w:val="18"/>
                <w:szCs w:val="18"/>
                <w:color w:val="auto"/>
              </w:rPr>
            </w:pPr>
          </w:p>
        </w:tc>
        <w:tc>
          <w:tcPr>
            <w:tcW w:w="85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Convertible Note Purchase Agreement dated April 28, 2023 by and between Lotus Technology Inc. and Momenta</w:t>
              </w:r>
            </w:hyperlink>
          </w:p>
        </w:tc>
        <w:tc>
          <w:tcPr>
            <w:tcW w:w="1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22"/>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(incorporated by reference to Exhibit 10.31 to the Registration Statement on Form F-4 (File No. 333-275001) filed</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9"/>
              </w:rPr>
            </w:pPr>
            <w:hyperlink r:id="rId240">
              <w:r>
                <w:rPr>
                  <w:rFonts w:ascii="Times New Roman" w:cs="Times New Roman" w:eastAsia="Times New Roman" w:hAnsi="Times New Roman"/>
                  <w:sz w:val="18"/>
                  <w:szCs w:val="18"/>
                  <w:color w:val="0000EE"/>
                  <w:w w:val="99"/>
                </w:rPr>
                <w:t>with the SEC on October 16, 2023)</w:t>
              </w:r>
            </w:hyperlink>
          </w:p>
        </w:tc>
        <w:tc>
          <w:tcPr>
            <w:tcW w:w="5960" w:type="dxa"/>
            <w:vAlign w:val="bottom"/>
            <w:tcBorders>
              <w:top w:val="single" w:sz="8" w:color="0000EE"/>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tcPr>
          <w:p>
            <w:pPr>
              <w:spacing w:after="0"/>
              <w:rPr>
                <w:sz w:val="18"/>
                <w:szCs w:val="18"/>
                <w:color w:val="auto"/>
              </w:rPr>
            </w:pPr>
          </w:p>
        </w:tc>
        <w:tc>
          <w:tcPr>
            <w:tcW w:w="85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Subscription Agreement dated April 27, 2023 by and between Lotus Technology Inc. and Jingkai Fund</w:t>
              </w:r>
            </w:hyperlink>
          </w:p>
        </w:tc>
        <w:tc>
          <w:tcPr>
            <w:tcW w:w="1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22"/>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(incorporated by reference to Exhibit 10.32 to the Registration Statement on Form F-4 (File No. 333-275001) filed</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9"/>
              </w:rPr>
            </w:pPr>
            <w:hyperlink r:id="rId241">
              <w:r>
                <w:rPr>
                  <w:rFonts w:ascii="Times New Roman" w:cs="Times New Roman" w:eastAsia="Times New Roman" w:hAnsi="Times New Roman"/>
                  <w:sz w:val="18"/>
                  <w:szCs w:val="18"/>
                  <w:color w:val="0000EE"/>
                  <w:w w:val="99"/>
                </w:rPr>
                <w:t>with the SEC on October 16, 2023)</w:t>
              </w:r>
            </w:hyperlink>
          </w:p>
        </w:tc>
        <w:tc>
          <w:tcPr>
            <w:tcW w:w="5960" w:type="dxa"/>
            <w:vAlign w:val="bottom"/>
            <w:tcBorders>
              <w:top w:val="single" w:sz="8" w:color="0000EE"/>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Pr>
          <w:p>
            <w:pPr>
              <w:spacing w:after="0"/>
              <w:rPr>
                <w:sz w:val="18"/>
                <w:szCs w:val="18"/>
                <w:color w:val="auto"/>
              </w:rPr>
            </w:pPr>
          </w:p>
        </w:tc>
        <w:tc>
          <w:tcPr>
            <w:tcW w:w="86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Form of Shareholder Lock-Up Letter (incorporated by reference to Exhibit 10.33 to the Registration Statement on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22"/>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Form F-4 (File No. 333-275001) filed with the SEC on October 16, 2023)</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4.29†#</w:t>
            </w:r>
          </w:p>
        </w:tc>
        <w:tc>
          <w:tcPr>
            <w:tcW w:w="220" w:type="dxa"/>
            <w:vAlign w:val="bottom"/>
          </w:tcPr>
          <w:p>
            <w:pPr>
              <w:spacing w:after="0"/>
              <w:rPr>
                <w:sz w:val="17"/>
                <w:szCs w:val="17"/>
                <w:color w:val="auto"/>
              </w:rPr>
            </w:pPr>
          </w:p>
        </w:tc>
        <w:tc>
          <w:tcPr>
            <w:tcW w:w="86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Share Subscription Agreement in relation to the shares of Lotus Technology Inc. dated as of November 15, 2023</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22"/>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between Lotus Technology Inc. and Meritz Securities Co., Ltd. (incorporated by reference to Exhibit 10.35 to the</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80" w:type="dxa"/>
            <w:vAlign w:val="bottom"/>
            <w:tcBorders>
              <w:top w:val="single" w:sz="8" w:color="0000EE"/>
              <w:bottom w:val="single" w:sz="8" w:color="0000EE"/>
            </w:tcBorders>
            <w:gridSpan w:val="15"/>
          </w:tcPr>
          <w:p>
            <w:pPr>
              <w:spacing w:after="0" w:line="182"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Registration Statement on Amendment No. 2 to Form F-4 (File No. 333-275001) filed with the SEC on December 5,</w:t>
              </w:r>
            </w:hyperlink>
          </w:p>
        </w:tc>
        <w:tc>
          <w:tcPr>
            <w:tcW w:w="20" w:type="dxa"/>
            <w:vAlign w:val="bottom"/>
            <w:tcBorders>
              <w:top w:val="single" w:sz="8" w:color="0000EE"/>
            </w:tcBorders>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43">
              <w:r>
                <w:rPr>
                  <w:rFonts w:ascii="Times New Roman" w:cs="Times New Roman" w:eastAsia="Times New Roman" w:hAnsi="Times New Roman"/>
                  <w:sz w:val="18"/>
                  <w:szCs w:val="18"/>
                  <w:color w:val="0000EE"/>
                  <w:w w:val="95"/>
                </w:rPr>
                <w:t>2023)</w:t>
              </w:r>
            </w:hyperlink>
          </w:p>
        </w:tc>
        <w:tc>
          <w:tcPr>
            <w:tcW w:w="2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List of subsidiaries of Lotus Technology Inc.</w:t>
            </w:r>
          </w:p>
        </w:tc>
        <w:tc>
          <w:tcPr>
            <w:tcW w:w="538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86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Code of Business Conduct and Ethics of the Registrant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00" w:right="99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12.1*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12.2*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13.1**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13.2**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15.1*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15.2*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97.1*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91440</wp:posOffset>
            </wp:positionV>
            <wp:extent cx="15684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780"/>
        <w:spacing w:after="0" w:line="267" w:lineRule="auto"/>
        <w:rPr>
          <w:sz w:val="20"/>
          <w:szCs w:val="20"/>
          <w:color w:val="auto"/>
        </w:rPr>
      </w:pPr>
      <w:r>
        <w:rPr>
          <w:rFonts w:ascii="Times New Roman" w:cs="Times New Roman" w:eastAsia="Times New Roman" w:hAnsi="Times New Roman"/>
          <w:sz w:val="18"/>
          <w:szCs w:val="18"/>
          <w:u w:val="single" w:color="auto"/>
          <w:color w:val="0000EE"/>
        </w:rPr>
        <w:t>CEO Certification Pursuant to Section 302 of the Sarbanes-Oxley Act of 2002 CFO Certification Pursuant to Section 302 of the Sarbanes-Oxley Act of 2002 CEO Certification Pursuant to Section 906 of the Sarbanes-Oxley Act of 2002 CFO Certification Pursuant to Section 906 of the Sarbanes-Oxley Act of 2002 Consent of Maples and Calder (Hong Kong) LLP Consent of Han Kun Law Offices</w:t>
      </w:r>
    </w:p>
    <w:p>
      <w:pPr>
        <w:spacing w:after="0"/>
        <w:rPr>
          <w:sz w:val="20"/>
          <w:szCs w:val="20"/>
          <w:color w:val="auto"/>
        </w:rPr>
      </w:pPr>
      <w:r>
        <w:rPr>
          <w:rFonts w:ascii="Times New Roman" w:cs="Times New Roman" w:eastAsia="Times New Roman" w:hAnsi="Times New Roman"/>
          <w:sz w:val="18"/>
          <w:szCs w:val="18"/>
          <w:u w:val="single" w:color="auto"/>
          <w:color w:val="0000EE"/>
        </w:rPr>
        <w:t>Clawback Policy of the Company</w:t>
      </w:r>
    </w:p>
    <w:p>
      <w:pPr>
        <w:spacing w:after="0" w:line="2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Inline XBRL Instance Document - this instance document does not appear on the Interactive Data File because its XBRL tags are not embedded within the Inline XBRL document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Scheme Document</w:t>
      </w:r>
    </w:p>
    <w:p>
      <w:pPr>
        <w:spacing w:after="0" w:line="23" w:lineRule="exact"/>
        <w:rPr>
          <w:sz w:val="20"/>
          <w:szCs w:val="20"/>
          <w:color w:val="auto"/>
        </w:rPr>
      </w:pPr>
    </w:p>
    <w:p>
      <w:pPr>
        <w:ind w:right="3460"/>
        <w:spacing w:after="0" w:line="266" w:lineRule="auto"/>
        <w:rPr>
          <w:sz w:val="20"/>
          <w:szCs w:val="20"/>
          <w:color w:val="auto"/>
        </w:rPr>
      </w:pPr>
      <w:r>
        <w:rPr>
          <w:rFonts w:ascii="Times New Roman" w:cs="Times New Roman" w:eastAsia="Times New Roman" w:hAnsi="Times New Roman"/>
          <w:sz w:val="18"/>
          <w:szCs w:val="18"/>
          <w:color w:val="auto"/>
        </w:rPr>
        <w:t>Inline XBRL Taxonomy Extension Calculation Linkbase Document Inline XBRL Taxonomy Extension Definition Linkbase Document Inline XBRL Taxonomy Extension Label Linkbase Document Inline XBRL Taxonomy Extension Presentation Linkbase Document</w:t>
      </w: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1280" w:space="220"/>
            <w:col w:w="8420"/>
          </w:cols>
          <w:pgMar w:left="980" w:top="513" w:right="999" w:bottom="1440" w:gutter="0" w:footer="0" w:header="0"/>
        </w:sectPr>
      </w:pPr>
    </w:p>
    <w:p>
      <w:pPr>
        <w:spacing w:after="0" w:line="20"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with this annual report.</w:t>
      </w:r>
    </w:p>
    <w:p>
      <w:pPr>
        <w:spacing w:after="0" w:line="225" w:lineRule="exact"/>
        <w:rPr>
          <w:sz w:val="20"/>
          <w:szCs w:val="20"/>
          <w:color w:val="auto"/>
        </w:rPr>
      </w:pPr>
    </w:p>
    <w:p>
      <w:pPr>
        <w:ind w:left="340" w:hanging="332"/>
        <w:spacing w:after="0" w:line="266"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certain portions of the exhibits omitted pursuant to Item 601(a)(5) of Regulation S-K. The Company agrees to furnish supplementally a copy of such schedules, or any section thereof, to the SEC upon request.</w:t>
      </w:r>
    </w:p>
    <w:p>
      <w:pPr>
        <w:spacing w:after="0" w:line="189" w:lineRule="exact"/>
        <w:rPr>
          <w:sz w:val="20"/>
          <w:szCs w:val="20"/>
          <w:color w:val="auto"/>
        </w:rPr>
      </w:pPr>
    </w:p>
    <w:p>
      <w:pPr>
        <w:ind w:left="340" w:hanging="332"/>
        <w:spacing w:after="0" w:line="266"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601(b)(10)(iv) of Regulation S-K. The Company agrees to furnish supplementally an unredacted copy of the exhibit to the SEC upon its request.</w:t>
      </w:r>
    </w:p>
    <w:p>
      <w:pPr>
        <w:spacing w:after="0" w:line="18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Lotus Technology Inc.</w:t>
      </w:r>
    </w:p>
    <w:p>
      <w:pPr>
        <w:spacing w:after="0" w:line="25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 /s/ Qingfeng Feng</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Qingfeng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-127635</wp:posOffset>
            </wp:positionV>
            <wp:extent cx="27260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07"/>
        </w:trPr>
        <w:tc>
          <w:tcPr>
            <w:tcW w:w="91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54"/>
        </w:trPr>
        <w:tc>
          <w:tcPr>
            <w:tcW w:w="1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7500" w:type="dxa"/>
            <w:vAlign w:val="bottom"/>
            <w:gridSpan w:val="7"/>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Lotus Technology Inc.</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00" w:type="dxa"/>
            <w:vAlign w:val="bottom"/>
            <w:gridSpan w:val="7"/>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Index to the Consolidated and Combined Financial Statements</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CONTENTS</w:t>
            </w:r>
          </w:p>
        </w:tc>
        <w:tc>
          <w:tcPr>
            <w:tcW w:w="8160" w:type="dxa"/>
            <w:vAlign w:val="bottom"/>
            <w:gridSpan w:val="9"/>
          </w:tcPr>
          <w:p>
            <w:pPr>
              <w:spacing w:after="0"/>
              <w:rPr>
                <w:sz w:val="24"/>
                <w:szCs w:val="24"/>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PAGE(S)</w:t>
            </w:r>
          </w:p>
        </w:tc>
      </w:tr>
      <w:tr>
        <w:trPr>
          <w:trHeight w:val="20"/>
        </w:trPr>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1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(KPMG Huazhen LLP, Hangzhou, China, PCAOB ID: 1186)</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F-2</w:t>
            </w:r>
          </w:p>
        </w:tc>
      </w:tr>
      <w:tr>
        <w:trPr>
          <w:trHeight w:val="245"/>
        </w:trPr>
        <w:tc>
          <w:tcPr>
            <w:tcW w:w="42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Consolidated and Combined Financial Statements:</w:t>
            </w:r>
          </w:p>
        </w:tc>
        <w:tc>
          <w:tcPr>
            <w:tcW w:w="4940" w:type="dxa"/>
            <w:vAlign w:val="bottom"/>
            <w:gridSpan w:val="6"/>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4"/>
        </w:trPr>
        <w:tc>
          <w:tcPr>
            <w:tcW w:w="4660" w:type="dxa"/>
            <w:vAlign w:val="bottom"/>
            <w:tcBorders>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2023 and 2022</w:t>
            </w:r>
          </w:p>
        </w:tc>
        <w:tc>
          <w:tcPr>
            <w:tcW w:w="4500" w:type="dxa"/>
            <w:vAlign w:val="bottom"/>
            <w:gridSpan w:val="4"/>
          </w:tcPr>
          <w:p>
            <w:pPr>
              <w:spacing w:after="0"/>
              <w:rPr>
                <w:sz w:val="16"/>
                <w:szCs w:val="16"/>
                <w:color w:val="auto"/>
              </w:rPr>
            </w:pPr>
          </w:p>
        </w:tc>
        <w:tc>
          <w:tcPr>
            <w:tcW w:w="760" w:type="dxa"/>
            <w:vAlign w:val="bottom"/>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color w:val="auto"/>
              </w:rPr>
              <w:t>F-3</w:t>
            </w:r>
          </w:p>
        </w:tc>
      </w:tr>
      <w:tr>
        <w:trPr>
          <w:trHeight w:val="209"/>
        </w:trPr>
        <w:tc>
          <w:tcPr>
            <w:tcW w:w="91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Consolidated and Combined Statements of Comprehensive Loss for the years ended December 31, 2023, 2022 and 2021</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F-5</w:t>
            </w:r>
          </w:p>
        </w:tc>
      </w:tr>
      <w:tr>
        <w:trPr>
          <w:trHeight w:val="196"/>
        </w:trPr>
        <w:tc>
          <w:tcPr>
            <w:tcW w:w="86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Consolidated and Combined Statements of Changes in Shareholders’ Equity (Deficit) for the years ended December 31,</w:t>
            </w: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40" w:type="dxa"/>
            <w:vAlign w:val="bottom"/>
            <w:tcBorders>
              <w:top w:val="single" w:sz="8" w:color="0000EE"/>
            </w:tcBorders>
          </w:tcPr>
          <w:p>
            <w:pPr>
              <w:spacing w:after="0"/>
              <w:rPr>
                <w:sz w:val="17"/>
                <w:szCs w:val="17"/>
                <w:color w:val="auto"/>
              </w:rPr>
            </w:pPr>
          </w:p>
        </w:tc>
        <w:tc>
          <w:tcPr>
            <w:tcW w:w="15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2023, 2022 and 2021</w:t>
            </w:r>
          </w:p>
        </w:tc>
        <w:tc>
          <w:tcPr>
            <w:tcW w:w="6980" w:type="dxa"/>
            <w:vAlign w:val="bottom"/>
            <w:tcBorders>
              <w:top w:val="single" w:sz="8" w:color="0000EE"/>
            </w:tcBorders>
            <w:gridSpan w:val="5"/>
          </w:tcPr>
          <w:p>
            <w:pPr>
              <w:spacing w:after="0"/>
              <w:rPr>
                <w:sz w:val="17"/>
                <w:szCs w:val="17"/>
                <w:color w:val="auto"/>
              </w:rPr>
            </w:pPr>
          </w:p>
        </w:tc>
        <w:tc>
          <w:tcPr>
            <w:tcW w:w="520" w:type="dxa"/>
            <w:vAlign w:val="bottom"/>
            <w:gridSpan w:val="2"/>
          </w:tcPr>
          <w:p>
            <w:pPr>
              <w:spacing w:after="0"/>
              <w:rPr>
                <w:sz w:val="17"/>
                <w:szCs w:val="17"/>
                <w:color w:val="auto"/>
              </w:rPr>
            </w:pPr>
          </w:p>
        </w:tc>
        <w:tc>
          <w:tcPr>
            <w:tcW w:w="76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9"/>
        </w:trPr>
        <w:tc>
          <w:tcPr>
            <w:tcW w:w="8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Consolidated and Combined Statements of Cash Flows for the years ended December 31, 2023, 2022 and 2021</w:t>
            </w:r>
          </w:p>
        </w:tc>
        <w:tc>
          <w:tcPr>
            <w:tcW w:w="1140" w:type="dxa"/>
            <w:vAlign w:val="bottom"/>
            <w:gridSpan w:val="3"/>
          </w:tcPr>
          <w:p>
            <w:pPr>
              <w:spacing w:after="0"/>
              <w:rPr>
                <w:sz w:val="18"/>
                <w:szCs w:val="18"/>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F-9</w:t>
            </w:r>
          </w:p>
        </w:tc>
      </w:tr>
      <w:tr>
        <w:trPr>
          <w:trHeight w:val="209"/>
        </w:trPr>
        <w:tc>
          <w:tcPr>
            <w:tcW w:w="91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Notes to the Consolidated and Combined Financial Statements</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F-11</w:t>
            </w:r>
          </w:p>
        </w:tc>
      </w:tr>
      <w:tr>
        <w:trPr>
          <w:trHeight w:val="939"/>
        </w:trPr>
        <w:tc>
          <w:tcPr>
            <w:tcW w:w="1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5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gridSpan w:val="4"/>
          </w:tcPr>
          <w:p>
            <w:pPr>
              <w:jc w:val="center"/>
              <w:ind w:right="3900"/>
              <w:spacing w:after="0"/>
              <w:rPr>
                <w:sz w:val="20"/>
                <w:szCs w:val="20"/>
                <w:color w:val="auto"/>
              </w:rPr>
            </w:pPr>
            <w:r>
              <w:rPr>
                <w:rFonts w:ascii="Times New Roman" w:cs="Times New Roman" w:eastAsia="Times New Roman" w:hAnsi="Times New Roman"/>
                <w:sz w:val="18"/>
                <w:szCs w:val="18"/>
                <w:color w:val="auto"/>
                <w:w w:val="95"/>
              </w:rPr>
              <w:t>F-1</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0"/>
        </w:trPr>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Lotus Technology Inc.:</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and Combined Financial Statements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Lotus Technology Inc. and subsidiaries (the Company) as of December 31, 2023 and 2022, the related consolidated and combined statements of comprehensive loss, changes in shareholders’ equity (deficit), and cash flows for each of the years in the three-year period ended December 31, 2023, and the related notes (collectively, the consolidated and combined financial statements). In our opinion, the consolidated and combined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and combined financial statements have been prepared assuming that the Company will continue as a going concern. As discussed in Note 2(a) to the consolidated and combined financial statements, the Company has incurred losses since its inception and has an accumulated deficit, net current liabilities, and net cash used in operating activities that raise substantial doubt about its ability to continue as a going concern. Management’s plans in regard to these matters are also described in Note 2(a). The consolidated and combined financial statements do not include any adjustments that might result from the outcome of this uncertainty.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consolidated and combined financial statements are the responsibility of the Company’s management. Our responsibility is to express an opinion on these consolidated and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and combined financial statements are free of material misstatement, whether due to error or fraud. Our audits included performing procedures to assess the risks of material misstatement of the consolidated and combined financial statements, whether due to error or fraud, and performing procedures that respond to those risks. Such procedures included examining, on a test basis, evidence regarding the amounts and disclosures in the consolidated and combined financial statements. Our audits also included evaluating the accounting principles used and significant estimates made by management, as well as evaluating the overall presentation of the consolidated and combined financial statements. We believe that our audits provide a reasonable basis for our opinion.</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Hangzhou,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 Note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w:t>
            </w:r>
          </w:p>
        </w:tc>
        <w:tc>
          <w:tcPr>
            <w:tcW w:w="1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7"/>
              </w:rPr>
              <w:t>2(e)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418,941</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736,605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2(f)</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7,873</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 third parties, net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76,664</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 – related parties, net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22,430</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265,190</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Prepayments and other current assets – third parties, net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63,870</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44,375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Prepayments and other current assets – related parties, net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28,744</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8,732</w:t>
            </w:r>
          </w:p>
        </w:tc>
        <w:tc>
          <w:tcPr>
            <w:tcW w:w="0" w:type="dxa"/>
            <w:vAlign w:val="bottom"/>
          </w:tcPr>
          <w:p>
            <w:pPr>
              <w:spacing w:after="0"/>
              <w:rPr>
                <w:sz w:val="1"/>
                <w:szCs w:val="1"/>
                <w:color w:val="auto"/>
              </w:rPr>
            </w:pPr>
          </w:p>
        </w:tc>
      </w:tr>
      <w:tr>
        <w:trPr>
          <w:trHeight w:val="189"/>
        </w:trPr>
        <w:tc>
          <w:tcPr>
            <w:tcW w:w="698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8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883,712</w:t>
            </w: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823,463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2(f)</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securities – related parties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3,326</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354,617</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253,471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116,360</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116,364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173,103</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158,724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 – third parties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50,533</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non-current assets – related parties</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2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2,706</w:t>
            </w:r>
          </w:p>
        </w:tc>
        <w:tc>
          <w:tcPr>
            <w:tcW w:w="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8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700,966</w:t>
            </w:r>
          </w:p>
        </w:tc>
        <w:tc>
          <w:tcPr>
            <w:tcW w:w="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548,489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1,584,678</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1,371,952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9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LIABILITIES, MEZZANINE EQUITY AND SHAREHOLDERS' EQUITY (DEFICIT)</w:t>
            </w:r>
          </w:p>
        </w:tc>
        <w:tc>
          <w:tcPr>
            <w:tcW w:w="8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borrowings – third parties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226,772</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 – third parties</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20,123</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 – related parties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340,419</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 – third parties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44,184</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liabilities – third parties (including operating lease liabilities – third parties of VIEs without recourse</w:t>
            </w: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16,760</w:t>
            </w: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 the Company of nil and US$716 as of December 31, 2023 and 2022, respectively)</w:t>
            </w:r>
          </w:p>
        </w:tc>
        <w:tc>
          <w:tcPr>
            <w:tcW w:w="8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 – third parties (including accrued expenses and other current liabilities</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third parties of VIEs without recourse to the Company of nil and US$35,254 as of December 31, 2023 and 2022,</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419,422</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323,299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 – related parties (including accrued expenses and other current</w:t>
            </w: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liabilities – related parties of VIEs without recourse to the Company of nil and US$801 as of December 31, 2023</w:t>
            </w: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2022, respectively)</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290,686</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183,237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Exchangeable notes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378,638</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notes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20,277</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Mandatorily redeemable noncontrolling interest (including mandatorily redeemable noncontrolling interest of VIEs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200" w:type="dxa"/>
            <w:vAlign w:val="bottom"/>
          </w:tcPr>
          <w:p>
            <w:pPr>
              <w:spacing w:after="0"/>
              <w:rPr>
                <w:sz w:val="15"/>
                <w:szCs w:val="15"/>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11,381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without recourse to the Company of nil and US$11,381 as of December 31, 2023 and 2022, respectively)</w:t>
            </w:r>
          </w:p>
        </w:tc>
        <w:tc>
          <w:tcPr>
            <w:tcW w:w="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1,757,281</w:t>
            </w:r>
          </w:p>
        </w:tc>
        <w:tc>
          <w:tcPr>
            <w:tcW w:w="2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932,879</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41"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9" w:lineRule="exact"/>
        <w:rPr>
          <w:sz w:val="20"/>
          <w:szCs w:val="20"/>
          <w:color w:val="auto"/>
        </w:rPr>
      </w:pPr>
    </w:p>
    <w:tbl>
      <w:tblPr>
        <w:tblLayout w:type="fixed"/>
        <w:tblInd w:w="6980" w:type="dxa"/>
        <w:tblCellMar>
          <w:top w:w="0" w:type="dxa"/>
          <w:left w:w="0" w:type="dxa"/>
          <w:bottom w:w="0" w:type="dxa"/>
          <w:right w:w="0" w:type="dxa"/>
        </w:tblCellMar>
      </w:tblPr>
      <w:tr>
        <w:trPr>
          <w:trHeight w:val="192"/>
        </w:trPr>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 Note</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2"/>
        </w:trPr>
        <w:tc>
          <w:tcPr>
            <w:tcW w:w="8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bl>
    <w:p>
      <w:pPr>
        <w:spacing w:after="0" w:line="161" w:lineRule="exact"/>
        <w:rPr>
          <w:sz w:val="20"/>
          <w:szCs w:val="20"/>
          <w:color w:val="auto"/>
        </w:rPr>
      </w:pP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6292215" cy="1200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1">
                      <a:extLst>
                        <a:ext uri="{28A0092B-C50C-407E-A947-70E740481C1C}"/>
                      </a:extLst>
                    </a:blip>
                    <a:srcRect/>
                    <a:stretch>
                      <a:fillRect/>
                    </a:stretch>
                  </pic:blipFill>
                  <pic:spPr bwMode="auto">
                    <a:xfrm>
                      <a:off x="0" y="0"/>
                      <a:ext cx="6292215" cy="12001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Contract liabilities – third parties</w:t>
      </w:r>
    </w:p>
    <w:p>
      <w:pPr>
        <w:spacing w:after="0" w:line="19" w:lineRule="exact"/>
        <w:rPr>
          <w:sz w:val="20"/>
          <w:szCs w:val="20"/>
          <w:color w:val="auto"/>
        </w:rPr>
      </w:pPr>
    </w:p>
    <w:p>
      <w:pPr>
        <w:ind w:left="140" w:hanging="129"/>
        <w:spacing w:after="0" w:line="281" w:lineRule="auto"/>
        <w:rPr>
          <w:sz w:val="20"/>
          <w:szCs w:val="20"/>
          <w:color w:val="auto"/>
        </w:rPr>
      </w:pPr>
      <w:r>
        <w:rPr>
          <w:rFonts w:ascii="Times New Roman" w:cs="Times New Roman" w:eastAsia="Times New Roman" w:hAnsi="Times New Roman"/>
          <w:sz w:val="14"/>
          <w:szCs w:val="14"/>
          <w:color w:val="auto"/>
        </w:rPr>
        <w:t>Operating lease liabilities – third parties (including operating lease liabilities – third parties of VIEs without recourse to the Company of nil and US$1,662 as of December 31,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-233045</wp:posOffset>
            </wp:positionV>
            <wp:extent cx="6292215" cy="2311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2">
                      <a:extLst>
                        <a:ext uri="{28A0092B-C50C-407E-A947-70E740481C1C}"/>
                      </a:extLst>
                    </a:blip>
                    <a:srcRect/>
                    <a:stretch>
                      <a:fillRect/>
                    </a:stretch>
                  </pic:blipFill>
                  <pic:spPr bwMode="auto">
                    <a:xfrm>
                      <a:off x="0" y="0"/>
                      <a:ext cx="6292215" cy="2311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Operating lease liabilities – related parties (including operating lease liabilities – third parties of VIEs without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85"/>
              </w:rPr>
              <w:t>25</w:t>
            </w:r>
          </w:p>
        </w:tc>
        <w:tc>
          <w:tcPr>
            <w:tcW w:w="12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6,245</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5"/>
        </w:trPr>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8</w:t>
            </w:r>
          </w:p>
        </w:tc>
        <w:tc>
          <w:tcPr>
            <w:tcW w:w="12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91,929</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98,963</w:t>
            </w:r>
          </w:p>
        </w:tc>
      </w:tr>
    </w:tbl>
    <w:p>
      <w:pPr>
        <w:spacing w:after="0" w:line="189" w:lineRule="exact"/>
        <w:rPr>
          <w:sz w:val="20"/>
          <w:szCs w:val="20"/>
          <w:color w:val="auto"/>
        </w:rPr>
      </w:pPr>
    </w:p>
    <w:p>
      <w:pPr>
        <w:sectPr>
          <w:pgSz w:w="11900" w:h="16838" w:orient="portrait"/>
          <w:cols w:equalWidth="0" w:num="2">
            <w:col w:w="6740" w:space="600"/>
            <w:col w:w="2580"/>
          </w:cols>
          <w:pgMar w:left="980" w:top="513" w:right="99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6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recourse to the Company of nil and nil as of December 31, 2023 and 2022, respectively)</w:t>
            </w:r>
          </w:p>
        </w:tc>
        <w:tc>
          <w:tcPr>
            <w:tcW w:w="174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w w:val="85"/>
              </w:rPr>
              <w:t>8</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12,064</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8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Put option liabilities</w:t>
            </w:r>
          </w:p>
        </w:tc>
        <w:tc>
          <w:tcPr>
            <w:tcW w:w="1740" w:type="dxa"/>
            <w:vAlign w:val="bottom"/>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w w:val="99"/>
              </w:rPr>
              <w:t>12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11,884</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6280" w:type="dxa"/>
            <w:vAlign w:val="bottom"/>
          </w:tcPr>
          <w:p>
            <w:pPr>
              <w:spacing w:after="0"/>
              <w:rPr>
                <w:sz w:val="20"/>
                <w:szCs w:val="20"/>
                <w:color w:val="auto"/>
              </w:rPr>
            </w:pPr>
            <w:r>
              <w:rPr>
                <w:rFonts w:ascii="Times New Roman" w:cs="Times New Roman" w:eastAsia="Times New Roman" w:hAnsi="Times New Roman"/>
                <w:sz w:val="14"/>
                <w:szCs w:val="14"/>
                <w:color w:val="auto"/>
              </w:rPr>
              <w:t>Exchangeable notes</w:t>
            </w:r>
          </w:p>
        </w:tc>
        <w:tc>
          <w:tcPr>
            <w:tcW w:w="174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w w:val="99"/>
              </w:rPr>
              <w:t>14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75,678</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71,792</w:t>
            </w:r>
          </w:p>
        </w:tc>
      </w:tr>
      <w:tr>
        <w:trPr>
          <w:trHeight w:val="19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notes</w:t>
            </w:r>
          </w:p>
        </w:tc>
        <w:tc>
          <w:tcPr>
            <w:tcW w:w="1740" w:type="dxa"/>
            <w:vAlign w:val="bottom"/>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w w:val="99"/>
              </w:rPr>
              <w:t>15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81,635</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76,770</w:t>
            </w:r>
          </w:p>
        </w:tc>
      </w:tr>
      <w:tr>
        <w:trPr>
          <w:trHeight w:val="188"/>
        </w:trPr>
        <w:tc>
          <w:tcPr>
            <w:tcW w:w="62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174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w w:val="99"/>
              </w:rPr>
              <w:t>23</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19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w:t>
            </w:r>
          </w:p>
        </w:tc>
        <w:tc>
          <w:tcPr>
            <w:tcW w:w="1740" w:type="dxa"/>
            <w:vAlign w:val="bottom"/>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w w:val="99"/>
              </w:rPr>
              <w:t>16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270,097</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258,450</w:t>
            </w:r>
          </w:p>
        </w:tc>
      </w:tr>
      <w:tr>
        <w:trPr>
          <w:trHeight w:val="188"/>
        </w:trPr>
        <w:tc>
          <w:tcPr>
            <w:tcW w:w="628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 – third parties</w:t>
            </w:r>
          </w:p>
        </w:tc>
        <w:tc>
          <w:tcPr>
            <w:tcW w:w="174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w w:val="99"/>
              </w:rPr>
              <w:t>19</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103,403</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15,824</w:t>
            </w:r>
          </w:p>
        </w:tc>
      </w:tr>
      <w:tr>
        <w:trPr>
          <w:trHeight w:val="19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liabilities – related parties</w:t>
            </w:r>
          </w:p>
        </w:tc>
        <w:tc>
          <w:tcPr>
            <w:tcW w:w="1740" w:type="dxa"/>
            <w:vAlign w:val="bottom"/>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w w:val="99"/>
              </w:rPr>
              <w:t>29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2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w:t>
            </w:r>
          </w:p>
        </w:tc>
      </w:tr>
      <w:tr>
        <w:trPr>
          <w:trHeight w:val="173"/>
        </w:trPr>
        <w:tc>
          <w:tcPr>
            <w:tcW w:w="62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9"/>
        </w:trPr>
        <w:tc>
          <w:tcPr>
            <w:tcW w:w="62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Total non</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current liabilities</w:t>
            </w:r>
          </w:p>
        </w:tc>
        <w:tc>
          <w:tcPr>
            <w:tcW w:w="17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654,569</w:t>
            </w:r>
          </w:p>
        </w:tc>
        <w:tc>
          <w:tcPr>
            <w:tcW w:w="2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523,679</w:t>
            </w:r>
          </w:p>
        </w:tc>
      </w:tr>
      <w:tr>
        <w:trPr>
          <w:trHeight w:val="178"/>
        </w:trPr>
        <w:tc>
          <w:tcPr>
            <w:tcW w:w="62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4"/>
        </w:trPr>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7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2,411,850</w:t>
            </w: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1,456,558</w:t>
            </w:r>
          </w:p>
        </w:tc>
      </w:tr>
      <w:tr>
        <w:trPr>
          <w:trHeight w:val="20"/>
        </w:trPr>
        <w:tc>
          <w:tcPr>
            <w:tcW w:w="6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ectPr>
          <w:pgSz w:w="11900" w:h="16838" w:orient="portrait"/>
          <w:cols w:equalWidth="0" w:num="1">
            <w:col w:w="9920"/>
          </w:cols>
          <w:pgMar w:left="980" w:top="513"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 (note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-94615</wp:posOffset>
            </wp:positionV>
            <wp:extent cx="6292215" cy="1200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3">
                      <a:extLst>
                        <a:ext uri="{28A0092B-C50C-407E-A947-70E740481C1C}"/>
                      </a:extLst>
                    </a:blip>
                    <a:srcRect/>
                    <a:stretch>
                      <a:fillRect/>
                    </a:stretch>
                  </pic:blipFill>
                  <pic:spPr bwMode="auto">
                    <a:xfrm>
                      <a:off x="0" y="0"/>
                      <a:ext cx="6292215" cy="12001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-94615</wp:posOffset>
            </wp:positionV>
            <wp:extent cx="6292215" cy="1200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4">
                      <a:extLst>
                        <a:ext uri="{28A0092B-C50C-407E-A947-70E740481C1C}"/>
                      </a:extLst>
                    </a:blip>
                    <a:srcRect/>
                    <a:stretch>
                      <a:fillRect/>
                    </a:stretch>
                  </pic:blipFill>
                  <pic:spPr bwMode="auto">
                    <a:xfrm>
                      <a:off x="0" y="0"/>
                      <a:ext cx="6292215" cy="120015"/>
                    </a:xfrm>
                    <a:prstGeom prst="rect">
                      <a:avLst/>
                    </a:prstGeom>
                    <a:noFill/>
                  </pic:spPr>
                </pic:pic>
              </a:graphicData>
            </a:graphic>
          </wp:anchor>
        </w:drawing>
      </w:r>
    </w:p>
    <w:p>
      <w:pPr>
        <w:spacing w:after="0" w:line="9" w:lineRule="exact"/>
        <w:rPr>
          <w:sz w:val="20"/>
          <w:szCs w:val="20"/>
          <w:color w:val="auto"/>
        </w:rPr>
      </w:pPr>
    </w:p>
    <w:p>
      <w:pPr>
        <w:ind w:left="140" w:right="260" w:hanging="129"/>
        <w:spacing w:after="0" w:line="197" w:lineRule="auto"/>
        <w:rPr>
          <w:sz w:val="20"/>
          <w:szCs w:val="20"/>
          <w:color w:val="auto"/>
        </w:rPr>
      </w:pPr>
      <w:r>
        <w:rPr>
          <w:rFonts w:ascii="Times New Roman" w:cs="Times New Roman" w:eastAsia="Times New Roman" w:hAnsi="Times New Roman"/>
          <w:sz w:val="14"/>
          <w:szCs w:val="14"/>
          <w:color w:val="auto"/>
        </w:rPr>
        <w:t xml:space="preserve">Series Pre-A Redeemable Convertible Preferred Shares (US$0.00001 par value per share, 40,885,006 shares authorized, issued and outstanding as of December 31, 2023 and 2022; Redemption value of US$184,509 and US$174,429 as of December 31, 2023 and 2022; Liquidation preference of US$184,509 and US$174,429 as of December 31, 2023 and 2022) </w:t>
      </w:r>
      <w:r>
        <w:rPr>
          <w:rFonts w:ascii="Times New Roman" w:cs="Times New Roman" w:eastAsia="Times New Roman" w:hAnsi="Times New Roman"/>
          <w:sz w:val="21"/>
          <w:szCs w:val="21"/>
          <w:color w:val="auto"/>
          <w:vertAlign w:val="superscript"/>
        </w:rPr>
        <w:t>1</w:t>
      </w:r>
    </w:p>
    <w:p>
      <w:pPr>
        <w:spacing w:after="0" w:line="3" w:lineRule="exact"/>
        <w:rPr>
          <w:sz w:val="20"/>
          <w:szCs w:val="20"/>
          <w:color w:val="auto"/>
        </w:rPr>
      </w:pPr>
    </w:p>
    <w:p>
      <w:pPr>
        <w:ind w:left="140" w:hanging="129"/>
        <w:spacing w:after="0" w:line="235" w:lineRule="auto"/>
        <w:rPr>
          <w:sz w:val="20"/>
          <w:szCs w:val="20"/>
          <w:color w:val="auto"/>
        </w:rPr>
      </w:pPr>
      <w:r>
        <w:rPr>
          <w:rFonts w:ascii="Times New Roman" w:cs="Times New Roman" w:eastAsia="Times New Roman" w:hAnsi="Times New Roman"/>
          <w:sz w:val="14"/>
          <w:szCs w:val="14"/>
          <w:color w:val="auto"/>
        </w:rPr>
        <w:t xml:space="preserve">Series A Redeemable Convertible Preferred Shares (US$0.00001 par value per share, 27,343,520 shares authorized, issued and outstanding as of December 31, 2023 and 2022; Redemption value of US$199,021 and US$187,441 as of December 31, 2023 and 2022; Liquidation preference of US$200,971 and US$189,424 as of December 31, 2023 and 2022)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-445770</wp:posOffset>
            </wp:positionV>
            <wp:extent cx="6292215" cy="3771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5">
                      <a:extLst>
                        <a:ext uri="{28A0092B-C50C-407E-A947-70E740481C1C}"/>
                      </a:extLst>
                    </a:blip>
                    <a:srcRect/>
                    <a:stretch>
                      <a:fillRect/>
                    </a:stretch>
                  </pic:blipFill>
                  <pic:spPr bwMode="auto">
                    <a:xfrm>
                      <a:off x="0" y="0"/>
                      <a:ext cx="6292215" cy="37719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-94615</wp:posOffset>
            </wp:positionV>
            <wp:extent cx="6292215" cy="1200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6">
                      <a:extLst>
                        <a:ext uri="{28A0092B-C50C-407E-A947-70E740481C1C}"/>
                      </a:extLst>
                    </a:blip>
                    <a:srcRect/>
                    <a:stretch>
                      <a:fillRect/>
                    </a:stretch>
                  </pic:blipFill>
                  <pic:spPr bwMode="auto">
                    <a:xfrm>
                      <a:off x="0" y="0"/>
                      <a:ext cx="629221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17</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184,509</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177,284</w:t>
            </w:r>
          </w:p>
        </w:tc>
      </w:tr>
      <w:tr>
        <w:trPr>
          <w:trHeight w:val="599"/>
        </w:trPr>
        <w:tc>
          <w:tcPr>
            <w:tcW w:w="6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17</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199,021</w:t>
            </w:r>
          </w:p>
        </w:tc>
        <w:tc>
          <w:tcPr>
            <w:tcW w:w="20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191,125</w:t>
            </w:r>
          </w:p>
        </w:tc>
      </w:tr>
      <w:tr>
        <w:trPr>
          <w:trHeight w:val="372"/>
        </w:trPr>
        <w:tc>
          <w:tcPr>
            <w:tcW w:w="6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383,530</w:t>
            </w:r>
          </w:p>
        </w:tc>
        <w:tc>
          <w:tcPr>
            <w:tcW w:w="20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368,409</w:t>
            </w:r>
          </w:p>
        </w:tc>
      </w:tr>
    </w:tbl>
    <w:p>
      <w:pPr>
        <w:spacing w:after="0" w:line="189" w:lineRule="exact"/>
        <w:rPr>
          <w:sz w:val="20"/>
          <w:szCs w:val="20"/>
          <w:color w:val="auto"/>
        </w:rPr>
      </w:pPr>
    </w:p>
    <w:p>
      <w:pPr>
        <w:sectPr>
          <w:pgSz w:w="11900" w:h="16838" w:orient="portrait"/>
          <w:cols w:equalWidth="0" w:num="2">
            <w:col w:w="6780" w:space="560"/>
            <w:col w:w="2580"/>
          </w:cols>
          <w:pgMar w:left="980" w:top="513" w:right="99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SHAREHOLDERS’ EQUITY (DEFICIT)</w:t>
            </w:r>
          </w:p>
        </w:tc>
        <w:tc>
          <w:tcPr>
            <w:tcW w:w="1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90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Ordinary shares (US$0.00001 par value per share, 5,000,000,000 shares authorized as of December 31, 2023 and</w:t>
            </w:r>
          </w:p>
        </w:tc>
        <w:tc>
          <w:tcPr>
            <w:tcW w:w="110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rPr>
              <w:t>20</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4"/>
                <w:szCs w:val="14"/>
                <w:color w:val="auto"/>
              </w:rPr>
              <w:t>2022; 474,621,603 shares issued and outstanding as of December 31, 2023 and 2022)</w:t>
            </w:r>
            <w:r>
              <w:rPr>
                <w:rFonts w:ascii="Times New Roman" w:cs="Times New Roman" w:eastAsia="Times New Roman" w:hAnsi="Times New Roman"/>
                <w:sz w:val="20"/>
                <w:szCs w:val="20"/>
                <w:color w:val="auto"/>
                <w:vertAlign w:val="superscript"/>
              </w:rPr>
              <w:t>1</w:t>
            </w:r>
          </w:p>
        </w:tc>
        <w:tc>
          <w:tcPr>
            <w:tcW w:w="11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358,187</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403,103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Receivable from shareholders</w:t>
            </w:r>
          </w:p>
        </w:tc>
        <w:tc>
          <w:tcPr>
            <w:tcW w:w="1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25,267</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10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(1,588,773)</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(846,757)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Borders>
              <w:top w:val="single" w:sz="8" w:color="CCEEFF"/>
            </w:tcBorders>
            <w:shd w:val="clear" w:color="auto" w:fill="CCEEFF"/>
          </w:tcPr>
          <w:p>
            <w:pPr>
              <w:spacing w:after="0"/>
              <w:rPr>
                <w:sz w:val="15"/>
                <w:szCs w:val="15"/>
                <w:color w:val="auto"/>
              </w:rPr>
            </w:pPr>
          </w:p>
        </w:tc>
        <w:tc>
          <w:tcPr>
            <w:tcW w:w="444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shareholders' deficit attributable to ordinary shareholders</w:t>
            </w:r>
          </w:p>
        </w:tc>
        <w:tc>
          <w:tcPr>
            <w:tcW w:w="110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(1,205,298)</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(452,373)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(5,404)</w:t>
            </w: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shareholders' deficit</w:t>
            </w:r>
          </w:p>
        </w:tc>
        <w:tc>
          <w:tcPr>
            <w:tcW w:w="1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(1,210,702)</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(453,015)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liabilities, mezzanine equity and shareholders' deficit</w:t>
            </w:r>
          </w:p>
        </w:tc>
        <w:tc>
          <w:tcPr>
            <w:tcW w:w="11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1,584,678</w:t>
            </w:r>
          </w:p>
        </w:tc>
        <w:tc>
          <w:tcPr>
            <w:tcW w:w="2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1,371,952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4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120" w:hanging="112"/>
        <w:spacing w:after="0"/>
        <w:tabs>
          <w:tab w:leader="none" w:pos="120" w:val="left"/>
        </w:tabs>
        <w:numPr>
          <w:ilvl w:val="0"/>
          <w:numId w:val="1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Shares outstanding for all periods reflect the adjustment for Recapitalization.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COMPREHENSIVE LOSS</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rPr>
              <w:t> Note</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0"/>
                <w:szCs w:val="1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i w:val="1"/>
                <w:iCs w:val="1"/>
                <w:color w:val="auto"/>
              </w:rPr>
              <w:t>US$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i w:val="1"/>
                <w:iCs w:val="1"/>
                <w:color w:val="auto"/>
              </w:rPr>
              <w:t>US$</w:t>
            </w: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i w:val="1"/>
                <w:i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Revenues:</w:t>
            </w:r>
          </w:p>
        </w:tc>
        <w:tc>
          <w:tcPr>
            <w:tcW w:w="860" w:type="dxa"/>
            <w:vAlign w:val="bottom"/>
            <w:gridSpan w:val="2"/>
            <w:shd w:val="clear" w:color="auto" w:fill="CCEEFF"/>
          </w:tcPr>
          <w:p>
            <w:pPr>
              <w:jc w:val="center"/>
              <w:ind w:left="231"/>
              <w:spacing w:after="0"/>
              <w:rPr>
                <w:sz w:val="20"/>
                <w:szCs w:val="20"/>
                <w:color w:val="auto"/>
              </w:rPr>
            </w:pPr>
            <w:r>
              <w:rPr>
                <w:rFonts w:ascii="Times New Roman" w:cs="Times New Roman" w:eastAsia="Times New Roman" w:hAnsi="Times New Roman"/>
                <w:sz w:val="10"/>
                <w:szCs w:val="10"/>
                <w:color w:val="auto"/>
                <w:w w:val="99"/>
              </w:rPr>
              <w:t>25</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Sales of goods (including related parties amounts of US$3,432, US$23 and nil for the years ended December 31, 2023, 2022 and 2021,</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respectively)</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660,158</w:t>
            </w:r>
          </w:p>
        </w:tc>
        <w:tc>
          <w:tcPr>
            <w:tcW w:w="8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1,186</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Service revenues (including related parties amounts of US$12,573, US$8,344 and US$3,280 for the years ended December 31, 2023, 2022 and</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2021, respectively)</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18,850</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8,371</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9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Total revenues</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679,008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9,557</w:t>
            </w: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3,687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460" w:type="dxa"/>
            <w:vAlign w:val="bottom"/>
            <w:tcBorders>
              <w:top w:val="single" w:sz="8" w:color="CCEEFF"/>
            </w:tcBorders>
            <w:shd w:val="clear" w:color="auto" w:fill="CCEEFF"/>
          </w:tcPr>
          <w:p>
            <w:pPr>
              <w:spacing w:after="0"/>
              <w:rPr>
                <w:sz w:val="10"/>
                <w:szCs w:val="10"/>
                <w:color w:val="auto"/>
              </w:rPr>
            </w:pPr>
          </w:p>
        </w:tc>
        <w:tc>
          <w:tcPr>
            <w:tcW w:w="34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Cost of revenues:</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Cost of goods sold (including related parties amounts of US$549,893, US$839 and US$331 for the years ended December 31, 2023, 2022 and</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2021, respectively)</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(564,741)</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(948)</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Cost of services</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(12,086)</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color w:val="auto"/>
              </w:rPr>
              <w:t>(6,302)</w:t>
            </w:r>
          </w:p>
        </w:tc>
        <w:tc>
          <w:tcPr>
            <w:tcW w:w="2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cost of revenues</w:t>
            </w: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(576,827)</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(7,250)</w:t>
            </w:r>
          </w:p>
        </w:tc>
        <w:tc>
          <w:tcPr>
            <w:tcW w:w="1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(3,130)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9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Gross profit</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102,181</w:t>
            </w: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2,307</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Operating expenses:</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Research and development expenses (including related parties amounts of US$135,334, US$167,028 and US$345,655 for the years ended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December 31, 2023, 2022 and 2021, respectively)</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(368,729)</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color w:val="auto"/>
              </w:rPr>
              <w:t>(445,844)</w:t>
            </w:r>
          </w:p>
        </w:tc>
        <w:tc>
          <w:tcPr>
            <w:tcW w:w="200" w:type="dxa"/>
            <w:vAlign w:val="bottom"/>
          </w:tcPr>
          <w:p>
            <w:pPr>
              <w:spacing w:after="0"/>
              <w:rPr>
                <w:sz w:val="11"/>
                <w:szCs w:val="1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(511,364)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 expenses (including related parties amounts of US$40,531, US$6,964 and US$763 for the years ended December 31, 2023,</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2022 and 2021, respectively)</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(328,935)</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(151,331)</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(38,066)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99"/>
              </w:rPr>
              <w:t>General and administrative expenses (including related parties amounts of US$13,085, US$12,034 and US$2,782 for the years ended December 31,</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2023, 2022 and 2021, respectively)</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(144,533)</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color w:val="auto"/>
              </w:rPr>
              <w:t>(148,369)</w:t>
            </w:r>
          </w:p>
        </w:tc>
        <w:tc>
          <w:tcPr>
            <w:tcW w:w="200" w:type="dxa"/>
            <w:vAlign w:val="bottom"/>
          </w:tcPr>
          <w:p>
            <w:pPr>
              <w:spacing w:after="0"/>
              <w:rPr>
                <w:sz w:val="11"/>
                <w:szCs w:val="1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(54,763)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Government grants</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center"/>
              <w:ind w:left="91"/>
              <w:spacing w:after="0"/>
              <w:rPr>
                <w:sz w:val="20"/>
                <w:szCs w:val="20"/>
                <w:color w:val="auto"/>
              </w:rPr>
            </w:pPr>
            <w:r>
              <w:rPr>
                <w:rFonts w:ascii="Times New Roman" w:cs="Times New Roman" w:eastAsia="Times New Roman" w:hAnsi="Times New Roman"/>
                <w:sz w:val="10"/>
                <w:szCs w:val="10"/>
                <w:color w:val="auto"/>
              </w:rPr>
              <w:t>2(z),16</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4,077</w:t>
            </w: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55,824</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490,694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9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(838,120)</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(689,720)</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(113,499)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9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Operating loss</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(735,939)</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(687,413)</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(112,942)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Interest expenses</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(10,200)</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(8,542)</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Interest income</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9,204</w:t>
            </w:r>
          </w:p>
        </w:tc>
        <w:tc>
          <w:tcPr>
            <w:tcW w:w="80" w:type="dxa"/>
            <w:vAlign w:val="bottom"/>
          </w:tcPr>
          <w:p>
            <w:pPr>
              <w:spacing w:after="0"/>
              <w:rPr>
                <w:sz w:val="10"/>
                <w:szCs w:val="1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12,188</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Investment (loss) income, net</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(1,162)</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(3,246)</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Share of results of equity method investments</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(1,048)</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color w:val="auto"/>
              </w:rPr>
              <w:t>(2,762)</w:t>
            </w:r>
          </w:p>
        </w:tc>
        <w:tc>
          <w:tcPr>
            <w:tcW w:w="2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Foreign currency exchange gains (losses), net</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w:t>
            </w:r>
          </w:p>
        </w:tc>
        <w:tc>
          <w:tcPr>
            <w:tcW w:w="80" w:type="dxa"/>
            <w:vAlign w:val="bottom"/>
            <w:shd w:val="clear" w:color="auto" w:fill="CCEEFF"/>
          </w:tcPr>
          <w:p>
            <w:pPr>
              <w:spacing w:after="0"/>
              <w:rPr>
                <w:sz w:val="10"/>
                <w:szCs w:val="10"/>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(11,505)</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Changes in fair values of mandatorily redeemable noncontrolling interest, exchangeable notes and convertible notes, excluding impact of</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instrument-specific credit risk</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(7,531)</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color w:val="auto"/>
              </w:rPr>
              <w:t>(22,991)</w:t>
            </w:r>
          </w:p>
        </w:tc>
        <w:tc>
          <w:tcPr>
            <w:tcW w:w="200" w:type="dxa"/>
            <w:vAlign w:val="bottom"/>
          </w:tcPr>
          <w:p>
            <w:pPr>
              <w:spacing w:after="0"/>
              <w:rPr>
                <w:sz w:val="11"/>
                <w:szCs w:val="1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(1,367)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Changes in fair values of put option liabilities</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(2,508)</w:t>
            </w:r>
          </w:p>
        </w:tc>
        <w:tc>
          <w:tcPr>
            <w:tcW w:w="100" w:type="dxa"/>
            <w:vAlign w:val="bottom"/>
            <w:shd w:val="clear" w:color="auto" w:fill="CCEEFF"/>
          </w:tcPr>
          <w:p>
            <w:pPr>
              <w:spacing w:after="0"/>
              <w:rPr>
                <w:sz w:val="10"/>
                <w:szCs w:val="10"/>
                <w:color w:val="auto"/>
              </w:rPr>
            </w:pPr>
          </w:p>
        </w:tc>
        <w:tc>
          <w:tcPr>
            <w:tcW w:w="1240" w:type="dxa"/>
            <w:vAlign w:val="bottom"/>
            <w:gridSpan w:val="3"/>
            <w:shd w:val="clear" w:color="auto" w:fill="CCEEFF"/>
          </w:tcPr>
          <w:p>
            <w:pPr>
              <w:jc w:val="right"/>
              <w:ind w:right="35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9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Loss before income taxes</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(749,142)</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(724,271)</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(108,678)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Income tax expense</w:t>
            </w:r>
          </w:p>
        </w:tc>
        <w:tc>
          <w:tcPr>
            <w:tcW w:w="860" w:type="dxa"/>
            <w:vAlign w:val="bottom"/>
            <w:gridSpan w:val="2"/>
          </w:tcPr>
          <w:p>
            <w:pPr>
              <w:jc w:val="center"/>
              <w:ind w:left="231"/>
              <w:spacing w:after="0"/>
              <w:rPr>
                <w:sz w:val="20"/>
                <w:szCs w:val="20"/>
                <w:color w:val="auto"/>
              </w:rPr>
            </w:pPr>
            <w:r>
              <w:rPr>
                <w:rFonts w:ascii="Times New Roman" w:cs="Times New Roman" w:eastAsia="Times New Roman" w:hAnsi="Times New Roman"/>
                <w:sz w:val="10"/>
                <w:szCs w:val="10"/>
                <w:color w:val="auto"/>
                <w:w w:val="99"/>
              </w:rPr>
              <w:t>23</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(1,113)</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color w:val="auto"/>
              </w:rPr>
              <w:t>(292)</w:t>
            </w:r>
          </w:p>
        </w:tc>
        <w:tc>
          <w:tcPr>
            <w:tcW w:w="2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9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Net loss</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(750,255)</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(724,563)</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(110,531)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Less: Net loss attributable to noncontrolling interests</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(8,254)</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(642)</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Net loss attributable to ordinary shareholders</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(742,001)</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(723,921)</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(110,531)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9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Accretion of Redeemable Convertible Preferred Shares</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(15,121)</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(910)</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9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Net loss available to ordinary shareholders</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(757,122)</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(724,831)</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(110,531)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 </w:t>
            </w: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9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Loss per ordinary share </w:t>
            </w:r>
            <w:r>
              <w:rPr>
                <w:rFonts w:ascii="Times New Roman" w:cs="Times New Roman" w:eastAsia="Times New Roman" w:hAnsi="Times New Roman"/>
                <w:sz w:val="14"/>
                <w:szCs w:val="14"/>
                <w:b w:val="1"/>
                <w:bCs w:val="1"/>
                <w:color w:val="auto"/>
                <w:vertAlign w:val="superscript"/>
              </w:rPr>
              <w:t>1</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—Basic and diluted</w:t>
            </w:r>
          </w:p>
        </w:tc>
        <w:tc>
          <w:tcPr>
            <w:tcW w:w="860" w:type="dxa"/>
            <w:vAlign w:val="bottom"/>
            <w:gridSpan w:val="2"/>
          </w:tcPr>
          <w:p>
            <w:pPr>
              <w:jc w:val="center"/>
              <w:ind w:left="231"/>
              <w:spacing w:after="0"/>
              <w:rPr>
                <w:sz w:val="20"/>
                <w:szCs w:val="20"/>
                <w:color w:val="auto"/>
              </w:rPr>
            </w:pPr>
            <w:r>
              <w:rPr>
                <w:rFonts w:ascii="Times New Roman" w:cs="Times New Roman" w:eastAsia="Times New Roman" w:hAnsi="Times New Roman"/>
                <w:sz w:val="10"/>
                <w:szCs w:val="10"/>
                <w:color w:val="auto"/>
                <w:w w:val="99"/>
              </w:rPr>
              <w:t>24</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(1.60)</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color w:val="auto"/>
              </w:rPr>
              <w:t>(1.52)</w:t>
            </w:r>
          </w:p>
        </w:tc>
        <w:tc>
          <w:tcPr>
            <w:tcW w:w="2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Weighted average number of ordinary shares outstanding used in computing net loss per ordinary share </w:t>
            </w:r>
            <w:r>
              <w:rPr>
                <w:rFonts w:ascii="Times New Roman" w:cs="Times New Roman" w:eastAsia="Times New Roman" w:hAnsi="Times New Roman"/>
                <w:sz w:val="14"/>
                <w:szCs w:val="14"/>
                <w:b w:val="1"/>
                <w:bCs w:val="1"/>
                <w:color w:val="auto"/>
                <w:vertAlign w:val="superscript"/>
              </w:rPr>
              <w:t>1</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—Basic and diluted</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474,621,603</w:t>
            </w:r>
          </w:p>
        </w:tc>
        <w:tc>
          <w:tcPr>
            <w:tcW w:w="80" w:type="dxa"/>
            <w:vAlign w:val="bottom"/>
          </w:tcPr>
          <w:p>
            <w:pPr>
              <w:spacing w:after="0"/>
              <w:rPr>
                <w:sz w:val="10"/>
                <w:szCs w:val="1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475,805,054</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334,127,181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2460" w:type="dxa"/>
            <w:vAlign w:val="bottom"/>
            <w:shd w:val="clear" w:color="auto" w:fill="CCEEFF"/>
          </w:tcPr>
          <w:p>
            <w:pPr>
              <w:spacing w:after="0"/>
              <w:rPr>
                <w:sz w:val="10"/>
                <w:szCs w:val="10"/>
                <w:color w:val="auto"/>
              </w:rPr>
            </w:pPr>
          </w:p>
        </w:tc>
        <w:tc>
          <w:tcPr>
            <w:tcW w:w="3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Net loss</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(750,255)</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(724,563)</w:t>
            </w:r>
          </w:p>
        </w:tc>
        <w:tc>
          <w:tcPr>
            <w:tcW w:w="2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(110,531)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2460" w:type="dxa"/>
            <w:vAlign w:val="bottom"/>
            <w:shd w:val="clear" w:color="auto" w:fill="CCEEFF"/>
          </w:tcPr>
          <w:p>
            <w:pPr>
              <w:spacing w:after="0"/>
              <w:rPr>
                <w:sz w:val="10"/>
                <w:szCs w:val="10"/>
                <w:color w:val="auto"/>
              </w:rPr>
            </w:pPr>
          </w:p>
        </w:tc>
        <w:tc>
          <w:tcPr>
            <w:tcW w:w="3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Other comprehensive income (loss):</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 </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Fair value changes of mandatorily redeemable noncontrolling interest, exchangeable notes and convertible notes due to instrument-specific credit</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risk, net of nil income taxes</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(8,650)</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(893)</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Foreign currency translation adjustment, net of nil income taxes</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16,210</w:t>
            </w:r>
          </w:p>
        </w:tc>
        <w:tc>
          <w:tcPr>
            <w:tcW w:w="80" w:type="dxa"/>
            <w:vAlign w:val="bottom"/>
          </w:tcPr>
          <w:p>
            <w:pPr>
              <w:spacing w:after="0"/>
              <w:rPr>
                <w:sz w:val="10"/>
                <w:szCs w:val="1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18,669</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900" w:type="dxa"/>
            <w:vAlign w:val="bottom"/>
            <w:tcBorders>
              <w:top w:val="single" w:sz="8" w:color="CCEEFF"/>
            </w:tcBorders>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 </w:t>
            </w:r>
          </w:p>
        </w:tc>
        <w:tc>
          <w:tcPr>
            <w:tcW w:w="860" w:type="dxa"/>
            <w:vAlign w:val="bottom"/>
            <w:tcBorders>
              <w:top w:val="single" w:sz="8" w:color="CCEEFF"/>
            </w:tcBorders>
            <w:gridSpan w:val="2"/>
            <w:shd w:val="clear" w:color="auto" w:fill="CCEEFF"/>
          </w:tcPr>
          <w:p>
            <w:pPr>
              <w:ind w:left="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320" w:type="dxa"/>
            <w:vAlign w:val="bottom"/>
            <w:tcBorders>
              <w:top w:val="single" w:sz="8" w:color="CCEEFF"/>
            </w:tcBorders>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other comprehensive income (loss)</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7,560</w:t>
            </w:r>
          </w:p>
        </w:tc>
        <w:tc>
          <w:tcPr>
            <w:tcW w:w="80" w:type="dxa"/>
            <w:vAlign w:val="bottom"/>
          </w:tcPr>
          <w:p>
            <w:pPr>
              <w:spacing w:after="0"/>
              <w:rPr>
                <w:sz w:val="10"/>
                <w:szCs w:val="1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17,776</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900" w:type="dxa"/>
            <w:vAlign w:val="bottom"/>
            <w:tcBorders>
              <w:top w:val="single" w:sz="8" w:color="CCEEFF"/>
            </w:tcBorders>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 </w:t>
            </w:r>
          </w:p>
        </w:tc>
        <w:tc>
          <w:tcPr>
            <w:tcW w:w="860" w:type="dxa"/>
            <w:vAlign w:val="bottom"/>
            <w:tcBorders>
              <w:top w:val="single" w:sz="8" w:color="CCEEFF"/>
            </w:tcBorders>
            <w:gridSpan w:val="2"/>
            <w:shd w:val="clear" w:color="auto" w:fill="CCEEFF"/>
          </w:tcPr>
          <w:p>
            <w:pPr>
              <w:ind w:left="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320" w:type="dxa"/>
            <w:vAlign w:val="bottom"/>
            <w:tcBorders>
              <w:top w:val="single" w:sz="8" w:color="CCEEFF"/>
            </w:tcBorders>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comprehensive loss</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 </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(742,695)</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(706,787)</w:t>
            </w:r>
          </w:p>
        </w:tc>
        <w:tc>
          <w:tcPr>
            <w:tcW w:w="2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(111,255)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900" w:type="dxa"/>
            <w:vAlign w:val="bottom"/>
            <w:tcBorders>
              <w:top w:val="single" w:sz="8" w:color="CCEEFF"/>
            </w:tcBorders>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Less: Total comprehensive loss attributable to noncontrolling interests</w:t>
            </w: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(8,254)</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(642)</w:t>
            </w:r>
          </w:p>
        </w:tc>
        <w:tc>
          <w:tcPr>
            <w:tcW w:w="1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9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Total comprehensive loss attributable to ordinary shareholders</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(734,441)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(706,145)</w:t>
            </w:r>
          </w:p>
        </w:tc>
        <w:tc>
          <w:tcPr>
            <w:tcW w:w="1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(111,255)</w:t>
            </w: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3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20" w:hanging="112"/>
        <w:spacing w:after="0" w:line="229" w:lineRule="auto"/>
        <w:tabs>
          <w:tab w:leader="none" w:pos="120" w:val="left"/>
        </w:tabs>
        <w:numPr>
          <w:ilvl w:val="0"/>
          <w:numId w:val="1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Shares outstanding for all periods reflect the adjustment for Recapitalization.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8" w:name="page199"/>
    <w:bookmarkEnd w:id="198"/>
    <w:p>
      <w:pPr>
        <w:ind w:left="1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CHANGES IN SHAREHOLDERS’ EQUITY (DEFICIT)</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5"/>
              </w:rPr>
              <w:t>equity (deficit)</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Receivable</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6"/>
              </w:rPr>
              <w:t>attributable to</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from</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Note</w:t>
            </w:r>
          </w:p>
        </w:tc>
        <w:tc>
          <w:tcPr>
            <w:tcW w:w="28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5"/>
              </w:rPr>
              <w:t>shareholders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4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equity (deficit)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top w:val="single" w:sz="8" w:color="auto"/>
            </w:tcBorders>
            <w:gridSpan w:val="3"/>
          </w:tcPr>
          <w:p>
            <w:pPr>
              <w:ind w:left="20"/>
              <w:spacing w:after="0" w:line="162" w:lineRule="exact"/>
              <w:rPr>
                <w:sz w:val="20"/>
                <w:szCs w:val="20"/>
                <w:color w:val="auto"/>
              </w:rPr>
            </w:pPr>
            <w:r>
              <w:rPr>
                <w:rFonts w:ascii="Times New Roman" w:cs="Times New Roman" w:eastAsia="Times New Roman" w:hAnsi="Times New Roman"/>
                <w:sz w:val="13"/>
                <w:szCs w:val="13"/>
                <w:b w:val="1"/>
                <w:bCs w:val="1"/>
                <w:i w:val="1"/>
                <w:iCs w:val="1"/>
                <w:color w:val="auto"/>
              </w:rPr>
              <w:t>Number of shares</w:t>
            </w:r>
            <w:r>
              <w:rPr>
                <w:rFonts w:ascii="Times New Roman" w:cs="Times New Roman" w:eastAsia="Times New Roman" w:hAnsi="Times New Roman"/>
                <w:sz w:val="18"/>
                <w:szCs w:val="18"/>
                <w:b w:val="1"/>
                <w:bCs w:val="1"/>
                <w:i w:val="1"/>
                <w:iCs w:val="1"/>
                <w:color w:val="auto"/>
                <w:vertAlign w:val="superscript"/>
              </w:rPr>
              <w:t>1</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w w:val="86"/>
              </w:rPr>
              <w:t>US$</w:t>
            </w:r>
          </w:p>
        </w:tc>
        <w:tc>
          <w:tcPr>
            <w:tcW w:w="14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14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12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14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12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14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14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474,621,603</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403,103</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(26,447)</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17,707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(846,757)</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(452,373)</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(642)</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(453,015)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Cumulative effect of adoption 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new accounting standard</w:t>
            </w:r>
          </w:p>
        </w:tc>
        <w:tc>
          <w:tcPr>
            <w:tcW w:w="4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5"/>
              </w:rPr>
              <w:t>2(j)</w:t>
            </w:r>
          </w:p>
        </w:tc>
        <w:tc>
          <w:tcPr>
            <w:tcW w:w="2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January 1, 2023</w:t>
            </w: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474,621,603</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c>
          <w:tcPr>
            <w:tcW w:w="1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403,103</w:t>
            </w: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(26,447)</w:t>
            </w: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17,707</w:t>
            </w:r>
          </w:p>
        </w:tc>
        <w:tc>
          <w:tcPr>
            <w:tcW w:w="1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(846,772)</w:t>
            </w:r>
          </w:p>
        </w:tc>
        <w:tc>
          <w:tcPr>
            <w:tcW w:w="1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(452,388)</w:t>
            </w: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(642)</w:t>
            </w: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(453,030)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loss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(742,001)</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(742,001)</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(8,254)</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(750,255)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Fair value changes of mandatorily</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redeemable noncontrolling</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exchangeable notes and</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convertible notes due to</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instrument-specific credit risk,</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of nil income taxes</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(8,650)</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(8,650)</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adjustment, net of nil income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taxes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16,210</w:t>
            </w:r>
          </w:p>
        </w:tc>
        <w:tc>
          <w:tcPr>
            <w:tcW w:w="14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16,210</w:t>
            </w:r>
          </w:p>
        </w:tc>
        <w:tc>
          <w:tcPr>
            <w:tcW w:w="14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7,560</w:t>
            </w:r>
          </w:p>
        </w:tc>
        <w:tc>
          <w:tcPr>
            <w:tcW w:w="1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(742,001)</w:t>
            </w:r>
          </w:p>
        </w:tc>
        <w:tc>
          <w:tcPr>
            <w:tcW w:w="1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(734,441)</w:t>
            </w: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(8,254)</w:t>
            </w: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(742,695)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9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Settlement of receivable from</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shareholders</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26,447</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26,447</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Shareholder contribution related to</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the issuance of exchangeable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notes</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14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Deemed distribution to</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shareholders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12, 21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(31,672)</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(31,672)</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Accretion of Redeemable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Convertible Preferred Shares</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(15,121)</w:t>
            </w: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(15,121)</w:t>
            </w:r>
          </w:p>
        </w:tc>
        <w:tc>
          <w:tcPr>
            <w:tcW w:w="14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Contribution from non-controlling</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shareholders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3,492</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474,621,603</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358,187</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25,267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(1,588,773)</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(1,205,298)</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(5,404)</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(1,210,702)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280" w:hanging="112"/>
        <w:spacing w:after="0" w:line="229" w:lineRule="auto"/>
        <w:tabs>
          <w:tab w:leader="none" w:pos="280" w:val="left"/>
        </w:tabs>
        <w:numPr>
          <w:ilvl w:val="0"/>
          <w:numId w:val="1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Shares outstanding for all periods reflect the adjustment for Recapitalization.</w:t>
      </w: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360045</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260"/>
          </w:cols>
          <w:pgMar w:left="820" w:top="513" w:right="81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CHANGES IN SHAREHOLDERS’ EQUITY (DEFICIT)</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equity (deficit)</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Receivable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5"/>
              </w:rPr>
              <w:t>Accumulated other</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6"/>
              </w:rPr>
              <w:t>attributable to</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from</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5"/>
              </w:rPr>
              <w:t>shareholders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equity (deficit)</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top w:val="single" w:sz="8" w:color="auto"/>
            </w:tcBorders>
            <w:gridSpan w:val="3"/>
          </w:tcPr>
          <w:p>
            <w:pPr>
              <w:jc w:val="right"/>
              <w:ind w:right="140"/>
              <w:spacing w:after="0" w:line="162" w:lineRule="exact"/>
              <w:rPr>
                <w:sz w:val="20"/>
                <w:szCs w:val="20"/>
                <w:color w:val="auto"/>
              </w:rPr>
            </w:pPr>
            <w:r>
              <w:rPr>
                <w:rFonts w:ascii="Times New Roman" w:cs="Times New Roman" w:eastAsia="Times New Roman" w:hAnsi="Times New Roman"/>
                <w:sz w:val="13"/>
                <w:szCs w:val="13"/>
                <w:b w:val="1"/>
                <w:bCs w:val="1"/>
                <w:i w:val="1"/>
                <w:iCs w:val="1"/>
                <w:color w:val="auto"/>
                <w:w w:val="94"/>
              </w:rPr>
              <w:t>Number of shares</w:t>
            </w:r>
            <w:r>
              <w:rPr>
                <w:rFonts w:ascii="Times New Roman" w:cs="Times New Roman" w:eastAsia="Times New Roman" w:hAnsi="Times New Roman"/>
                <w:sz w:val="18"/>
                <w:szCs w:val="18"/>
                <w:b w:val="1"/>
                <w:bCs w:val="1"/>
                <w:i w:val="1"/>
                <w:iCs w:val="1"/>
                <w:color w:val="auto"/>
                <w:w w:val="94"/>
                <w:vertAlign w:val="superscript"/>
              </w:rPr>
              <w:t>1</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w w:val="86"/>
              </w:rPr>
              <w:t>US$</w:t>
            </w:r>
          </w:p>
        </w:tc>
        <w:tc>
          <w:tcPr>
            <w:tcW w:w="14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14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140" w:type="dxa"/>
            <w:vAlign w:val="bottom"/>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14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14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14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14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0" w:type="dxa"/>
            <w:vAlign w:val="bottom"/>
          </w:tcPr>
          <w:p>
            <w:pPr>
              <w:spacing w:after="0"/>
              <w:rPr>
                <w:sz w:val="1"/>
                <w:szCs w:val="1"/>
                <w:color w:val="auto"/>
              </w:rPr>
            </w:pPr>
          </w:p>
        </w:tc>
      </w:tr>
      <w:tr>
        <w:trPr>
          <w:trHeight w:val="142"/>
        </w:trPr>
        <w:tc>
          <w:tcPr>
            <w:tcW w:w="2080" w:type="dxa"/>
            <w:vAlign w:val="bottom"/>
            <w:gridSpan w:val="6"/>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January 1,</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479,954,430</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424,414</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(106,210)</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(69)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(122,836)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195,321</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195,321</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(723,921)</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(723,921)</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(642)</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(724,563)</w:t>
            </w:r>
          </w:p>
        </w:tc>
        <w:tc>
          <w:tcPr>
            <w:tcW w:w="0" w:type="dxa"/>
            <w:vAlign w:val="bottom"/>
          </w:tcPr>
          <w:p>
            <w:pPr>
              <w:spacing w:after="0"/>
              <w:rPr>
                <w:sz w:val="1"/>
                <w:szCs w:val="1"/>
                <w:color w:val="auto"/>
              </w:rPr>
            </w:pPr>
          </w:p>
        </w:tc>
      </w:tr>
      <w:tr>
        <w:trPr>
          <w:trHeight w:val="144"/>
        </w:trPr>
        <w:tc>
          <w:tcPr>
            <w:tcW w:w="118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Fair value changes of</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mandatorily redeemable</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noncontrolling interest,</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exchangeable notes and</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convertible notes due to</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instrument-specific credit</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risk, net of nil income taxes</w:t>
            </w:r>
          </w:p>
        </w:tc>
        <w:tc>
          <w:tcPr>
            <w:tcW w:w="4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(893)</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(893)</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0" w:type="dxa"/>
            <w:vAlign w:val="bottom"/>
          </w:tcPr>
          <w:p>
            <w:pPr>
              <w:spacing w:after="0"/>
              <w:rPr>
                <w:sz w:val="1"/>
                <w:szCs w:val="1"/>
                <w:color w:val="auto"/>
              </w:rPr>
            </w:pPr>
          </w:p>
        </w:tc>
      </w:tr>
      <w:tr>
        <w:trPr>
          <w:trHeight w:val="144"/>
        </w:trPr>
        <w:tc>
          <w:tcPr>
            <w:tcW w:w="2080" w:type="dxa"/>
            <w:vAlign w:val="bottom"/>
            <w:gridSpan w:val="6"/>
          </w:tcPr>
          <w:p>
            <w:pPr>
              <w:spacing w:after="0" w:line="144"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gridSpan w:val="6"/>
          </w:tcPr>
          <w:p>
            <w:pPr>
              <w:ind w:left="140"/>
              <w:spacing w:after="0"/>
              <w:rPr>
                <w:sz w:val="20"/>
                <w:szCs w:val="20"/>
                <w:color w:val="auto"/>
              </w:rPr>
            </w:pPr>
            <w:r>
              <w:rPr>
                <w:rFonts w:ascii="Times New Roman" w:cs="Times New Roman" w:eastAsia="Times New Roman" w:hAnsi="Times New Roman"/>
                <w:sz w:val="13"/>
                <w:szCs w:val="13"/>
                <w:color w:val="auto"/>
              </w:rPr>
              <w:t>adjustment, net of nil</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income taxes</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18,669</w:t>
            </w:r>
          </w:p>
        </w:tc>
        <w:tc>
          <w:tcPr>
            <w:tcW w:w="14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18,669</w:t>
            </w: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18,669</w:t>
            </w:r>
          </w:p>
        </w:tc>
        <w:tc>
          <w:tcPr>
            <w:tcW w:w="0" w:type="dxa"/>
            <w:vAlign w:val="bottom"/>
          </w:tcPr>
          <w:p>
            <w:pPr>
              <w:spacing w:after="0"/>
              <w:rPr>
                <w:sz w:val="1"/>
                <w:szCs w:val="1"/>
                <w:color w:val="auto"/>
              </w:rPr>
            </w:pPr>
          </w:p>
        </w:tc>
      </w:tr>
      <w:tr>
        <w:trPr>
          <w:trHeight w:val="162"/>
        </w:trPr>
        <w:tc>
          <w:tcPr>
            <w:tcW w:w="2080" w:type="dxa"/>
            <w:vAlign w:val="bottom"/>
            <w:tcBorders>
              <w:top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17,776</w:t>
            </w: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(723,921)</w:t>
            </w:r>
          </w:p>
        </w:tc>
        <w:tc>
          <w:tcPr>
            <w:tcW w:w="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(706,145)</w:t>
            </w:r>
          </w:p>
        </w:tc>
        <w:tc>
          <w:tcPr>
            <w:tcW w:w="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(642)</w:t>
            </w:r>
          </w:p>
        </w:tc>
        <w:tc>
          <w:tcPr>
            <w:tcW w:w="1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(706,787)</w:t>
            </w:r>
          </w:p>
        </w:tc>
        <w:tc>
          <w:tcPr>
            <w:tcW w:w="0" w:type="dxa"/>
            <w:vAlign w:val="bottom"/>
          </w:tcPr>
          <w:p>
            <w:pPr>
              <w:spacing w:after="0"/>
              <w:rPr>
                <w:sz w:val="1"/>
                <w:szCs w:val="1"/>
                <w:color w:val="auto"/>
              </w:rPr>
            </w:pPr>
          </w:p>
        </w:tc>
      </w:tr>
      <w:tr>
        <w:trPr>
          <w:trHeight w:val="124"/>
        </w:trPr>
        <w:tc>
          <w:tcPr>
            <w:tcW w:w="2080" w:type="dxa"/>
            <w:vAlign w:val="bottom"/>
            <w:gridSpan w:val="6"/>
          </w:tcPr>
          <w:p>
            <w:pPr>
              <w:spacing w:after="0" w:line="124" w:lineRule="exact"/>
              <w:rPr>
                <w:sz w:val="20"/>
                <w:szCs w:val="20"/>
                <w:color w:val="auto"/>
              </w:rPr>
            </w:pPr>
            <w:r>
              <w:rPr>
                <w:rFonts w:ascii="Times New Roman" w:cs="Times New Roman" w:eastAsia="Times New Roman" w:hAnsi="Times New Roman"/>
                <w:sz w:val="13"/>
                <w:szCs w:val="13"/>
                <w:color w:val="auto"/>
              </w:rPr>
              <w:t>Settlement of receivable from</w:t>
            </w: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shareholders</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79,763</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79,763</w:t>
            </w: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79,763</w:t>
            </w:r>
          </w:p>
        </w:tc>
        <w:tc>
          <w:tcPr>
            <w:tcW w:w="0" w:type="dxa"/>
            <w:vAlign w:val="bottom"/>
          </w:tcPr>
          <w:p>
            <w:pPr>
              <w:spacing w:after="0"/>
              <w:rPr>
                <w:sz w:val="1"/>
                <w:szCs w:val="1"/>
                <w:color w:val="auto"/>
              </w:rPr>
            </w:pPr>
          </w:p>
        </w:tc>
      </w:tr>
      <w:tr>
        <w:trPr>
          <w:trHeight w:val="160"/>
        </w:trPr>
        <w:tc>
          <w:tcPr>
            <w:tcW w:w="2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Re-designation  of  ordinary</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shares  to  Series  Pre-A</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Preferred Shares</w:t>
            </w:r>
          </w:p>
        </w:tc>
        <w:tc>
          <w:tcPr>
            <w:tcW w:w="760" w:type="dxa"/>
            <w:vAlign w:val="bottom"/>
            <w:gridSpan w:val="2"/>
            <w:shd w:val="clear" w:color="auto" w:fill="CCEEFF"/>
          </w:tcPr>
          <w:p>
            <w:pPr>
              <w:jc w:val="center"/>
              <w:ind w:left="437"/>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(5,332,827)</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(13,024)</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(13,025)</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(13,025)</w:t>
            </w:r>
          </w:p>
        </w:tc>
        <w:tc>
          <w:tcPr>
            <w:tcW w:w="0" w:type="dxa"/>
            <w:vAlign w:val="bottom"/>
          </w:tcPr>
          <w:p>
            <w:pPr>
              <w:spacing w:after="0"/>
              <w:rPr>
                <w:sz w:val="1"/>
                <w:szCs w:val="1"/>
                <w:color w:val="auto"/>
              </w:rPr>
            </w:pPr>
          </w:p>
        </w:tc>
      </w:tr>
      <w:tr>
        <w:trPr>
          <w:trHeight w:val="144"/>
        </w:trPr>
        <w:tc>
          <w:tcPr>
            <w:tcW w:w="86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Shareholder</w:t>
            </w:r>
          </w:p>
        </w:tc>
        <w:tc>
          <w:tcPr>
            <w:tcW w:w="1220" w:type="dxa"/>
            <w:vAlign w:val="bottom"/>
            <w:gridSpan w:val="4"/>
          </w:tcPr>
          <w:p>
            <w:pPr>
              <w:ind w:left="80"/>
              <w:spacing w:after="0" w:line="144" w:lineRule="exact"/>
              <w:rPr>
                <w:sz w:val="20"/>
                <w:szCs w:val="20"/>
                <w:color w:val="auto"/>
              </w:rPr>
            </w:pPr>
            <w:r>
              <w:rPr>
                <w:rFonts w:ascii="Times New Roman" w:cs="Times New Roman" w:eastAsia="Times New Roman" w:hAnsi="Times New Roman"/>
                <w:sz w:val="13"/>
                <w:szCs w:val="13"/>
                <w:color w:val="auto"/>
              </w:rPr>
              <w:t>contribution</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gridSpan w:val="6"/>
          </w:tcPr>
          <w:p>
            <w:pPr>
              <w:ind w:left="140"/>
              <w:spacing w:after="0"/>
              <w:rPr>
                <w:sz w:val="20"/>
                <w:szCs w:val="20"/>
                <w:color w:val="auto"/>
              </w:rPr>
            </w:pPr>
            <w:r>
              <w:rPr>
                <w:rFonts w:ascii="Times New Roman" w:cs="Times New Roman" w:eastAsia="Times New Roman" w:hAnsi="Times New Roman"/>
                <w:sz w:val="13"/>
                <w:szCs w:val="13"/>
                <w:color w:val="auto"/>
              </w:rPr>
              <w:t>related to the issuance of</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exchangeable notes</w:t>
            </w:r>
          </w:p>
        </w:tc>
        <w:tc>
          <w:tcPr>
            <w:tcW w:w="760" w:type="dxa"/>
            <w:vAlign w:val="bottom"/>
            <w:gridSpan w:val="2"/>
          </w:tcPr>
          <w:p>
            <w:pPr>
              <w:jc w:val="center"/>
              <w:ind w:left="437"/>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8,135</w:t>
            </w:r>
          </w:p>
        </w:tc>
        <w:tc>
          <w:tcPr>
            <w:tcW w:w="1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8,135</w:t>
            </w: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8,135</w:t>
            </w:r>
          </w:p>
        </w:tc>
        <w:tc>
          <w:tcPr>
            <w:tcW w:w="0" w:type="dxa"/>
            <w:vAlign w:val="bottom"/>
          </w:tcPr>
          <w:p>
            <w:pPr>
              <w:spacing w:after="0"/>
              <w:rPr>
                <w:sz w:val="1"/>
                <w:szCs w:val="1"/>
                <w:color w:val="auto"/>
              </w:rPr>
            </w:pPr>
          </w:p>
        </w:tc>
      </w:tr>
      <w:tr>
        <w:trPr>
          <w:trHeight w:val="160"/>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Deemed</w:t>
            </w: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distribution</w:t>
            </w:r>
          </w:p>
        </w:tc>
        <w:tc>
          <w:tcPr>
            <w:tcW w:w="9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w w:val="95"/>
              </w:rPr>
              <w:t>arising</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8"/>
              </w:rPr>
              <w:t>from reorganization</w:t>
            </w:r>
          </w:p>
        </w:tc>
        <w:tc>
          <w:tcPr>
            <w:tcW w:w="9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under</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common control</w:t>
            </w: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(15,512)</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(15,512)</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(15,512)</w:t>
            </w:r>
          </w:p>
        </w:tc>
        <w:tc>
          <w:tcPr>
            <w:tcW w:w="0" w:type="dxa"/>
            <w:vAlign w:val="bottom"/>
          </w:tcPr>
          <w:p>
            <w:pPr>
              <w:spacing w:after="0"/>
              <w:rPr>
                <w:sz w:val="1"/>
                <w:szCs w:val="1"/>
                <w:color w:val="auto"/>
              </w:rPr>
            </w:pPr>
          </w:p>
        </w:tc>
      </w:tr>
      <w:tr>
        <w:trPr>
          <w:trHeight w:val="144"/>
        </w:trPr>
        <w:tc>
          <w:tcPr>
            <w:tcW w:w="5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w w:val="97"/>
              </w:rPr>
              <w:t>Accretion</w:t>
            </w:r>
          </w:p>
        </w:tc>
        <w:tc>
          <w:tcPr>
            <w:tcW w:w="34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of</w:t>
            </w:r>
          </w:p>
        </w:tc>
        <w:tc>
          <w:tcPr>
            <w:tcW w:w="1220" w:type="dxa"/>
            <w:vAlign w:val="bottom"/>
            <w:gridSpan w:val="4"/>
          </w:tcPr>
          <w:p>
            <w:pPr>
              <w:jc w:val="right"/>
              <w:ind w:right="540"/>
              <w:spacing w:after="0" w:line="144" w:lineRule="exact"/>
              <w:rPr>
                <w:sz w:val="20"/>
                <w:szCs w:val="20"/>
                <w:color w:val="auto"/>
              </w:rPr>
            </w:pPr>
            <w:r>
              <w:rPr>
                <w:rFonts w:ascii="Times New Roman" w:cs="Times New Roman" w:eastAsia="Times New Roman" w:hAnsi="Times New Roman"/>
                <w:sz w:val="13"/>
                <w:szCs w:val="13"/>
                <w:color w:val="auto"/>
              </w:rPr>
              <w:t>Redeemable</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Convertible</w:t>
            </w:r>
          </w:p>
        </w:tc>
        <w:tc>
          <w:tcPr>
            <w:tcW w:w="1220" w:type="dxa"/>
            <w:vAlign w:val="bottom"/>
            <w:gridSpan w:val="4"/>
          </w:tcPr>
          <w:p>
            <w:pPr>
              <w:jc w:val="right"/>
              <w:ind w:right="540"/>
              <w:spacing w:after="0"/>
              <w:rPr>
                <w:sz w:val="20"/>
                <w:szCs w:val="20"/>
                <w:color w:val="auto"/>
              </w:rPr>
            </w:pPr>
            <w:r>
              <w:rPr>
                <w:rFonts w:ascii="Times New Roman" w:cs="Times New Roman" w:eastAsia="Times New Roman" w:hAnsi="Times New Roman"/>
                <w:sz w:val="13"/>
                <w:szCs w:val="13"/>
                <w:color w:val="auto"/>
              </w:rPr>
              <w:t>Preferred</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jc w:val="center"/>
              <w:ind w:left="437"/>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(910)</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(910)</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0" w:type="dxa"/>
            <w:vAlign w:val="bottom"/>
          </w:tcPr>
          <w:p>
            <w:pPr>
              <w:spacing w:after="0"/>
              <w:rPr>
                <w:sz w:val="1"/>
                <w:szCs w:val="1"/>
                <w:color w:val="auto"/>
              </w:rPr>
            </w:pPr>
          </w:p>
        </w:tc>
      </w:tr>
      <w:tr>
        <w:trPr>
          <w:trHeight w:val="160"/>
        </w:trPr>
        <w:tc>
          <w:tcPr>
            <w:tcW w:w="2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Contribution  from  a  non-</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controlling shareholder</w:t>
            </w: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0" w:type="dxa"/>
            <w:vAlign w:val="bottom"/>
          </w:tcPr>
          <w:p>
            <w:pPr>
              <w:spacing w:after="0"/>
              <w:rPr>
                <w:sz w:val="1"/>
                <w:szCs w:val="1"/>
                <w:color w:val="auto"/>
              </w:rPr>
            </w:pPr>
          </w:p>
        </w:tc>
      </w:tr>
      <w:tr>
        <w:trPr>
          <w:trHeight w:val="162"/>
        </w:trPr>
        <w:tc>
          <w:tcPr>
            <w:tcW w:w="20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Liquidation of a subsidiary</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(149)</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0" w:type="dxa"/>
            <w:vAlign w:val="bottom"/>
          </w:tcPr>
          <w:p>
            <w:pPr>
              <w:spacing w:after="0"/>
              <w:rPr>
                <w:sz w:val="1"/>
                <w:szCs w:val="1"/>
                <w:color w:val="auto"/>
              </w:rPr>
            </w:pPr>
          </w:p>
        </w:tc>
      </w:tr>
      <w:tr>
        <w:trPr>
          <w:trHeight w:val="20"/>
        </w:trPr>
        <w:tc>
          <w:tcPr>
            <w:tcW w:w="2080" w:type="dxa"/>
            <w:vAlign w:val="bottom"/>
            <w:gridSpan w:val="6"/>
            <w:vMerge w:val="restart"/>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80" w:type="dxa"/>
            <w:vAlign w:val="bottom"/>
            <w:gridSpan w:val="6"/>
            <w:vMerge w:val="continue"/>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474,621,603</w:t>
            </w:r>
          </w:p>
        </w:tc>
        <w:tc>
          <w:tcPr>
            <w:tcW w:w="14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403,103</w:t>
            </w: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(26,447)</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17,707</w:t>
            </w: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(846,757)</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(452,373)</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(642)</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(453,015)</w:t>
            </w:r>
          </w:p>
        </w:tc>
        <w:tc>
          <w:tcPr>
            <w:tcW w:w="0" w:type="dxa"/>
            <w:vAlign w:val="bottom"/>
          </w:tcPr>
          <w:p>
            <w:pPr>
              <w:spacing w:after="0"/>
              <w:rPr>
                <w:sz w:val="1"/>
                <w:szCs w:val="1"/>
                <w:color w:val="auto"/>
              </w:rPr>
            </w:pPr>
          </w:p>
        </w:tc>
      </w:tr>
      <w:tr>
        <w:trPr>
          <w:trHeight w:val="167"/>
        </w:trPr>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20" w:hanging="112"/>
        <w:spacing w:after="0"/>
        <w:tabs>
          <w:tab w:leader="none" w:pos="120" w:val="left"/>
        </w:tabs>
        <w:numPr>
          <w:ilvl w:val="0"/>
          <w:numId w:val="1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Shares outstanding for all periods reflect the adjustment for Recapitalization.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CHANGES IN SHAREHOLDERS’ EQUITY (DEFICIT)</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3"/>
              </w:rPr>
              <w:t>equity (deficit)</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Receivable</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4"/>
              </w:rPr>
              <w:t>attributable to</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from</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3"/>
              </w:rPr>
              <w:t>comprehensive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4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116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5"/>
              </w:rPr>
              <w:t>shareholders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5"/>
              </w:rPr>
              <w:t>equity (deficit)</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Borders>
              <w:top w:val="single" w:sz="8" w:color="auto"/>
            </w:tcBorders>
            <w:gridSpan w:val="3"/>
          </w:tcPr>
          <w:p>
            <w:pPr>
              <w:spacing w:after="0" w:line="162" w:lineRule="exact"/>
              <w:rPr>
                <w:sz w:val="20"/>
                <w:szCs w:val="20"/>
                <w:color w:val="auto"/>
              </w:rPr>
            </w:pPr>
            <w:r>
              <w:rPr>
                <w:rFonts w:ascii="Times New Roman" w:cs="Times New Roman" w:eastAsia="Times New Roman" w:hAnsi="Times New Roman"/>
                <w:sz w:val="13"/>
                <w:szCs w:val="13"/>
                <w:b w:val="1"/>
                <w:bCs w:val="1"/>
                <w:i w:val="1"/>
                <w:iCs w:val="1"/>
                <w:color w:val="auto"/>
              </w:rPr>
              <w:t>Number of shares</w:t>
            </w:r>
            <w:r>
              <w:rPr>
                <w:rFonts w:ascii="Times New Roman" w:cs="Times New Roman" w:eastAsia="Times New Roman" w:hAnsi="Times New Roman"/>
                <w:sz w:val="18"/>
                <w:szCs w:val="18"/>
                <w:b w:val="1"/>
                <w:bCs w:val="1"/>
                <w:i w:val="1"/>
                <w:iCs w:val="1"/>
                <w:color w:val="auto"/>
                <w:vertAlign w:val="superscript"/>
              </w:rPr>
              <w:t>1</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w w:val="86"/>
              </w:rPr>
              <w:t>US$</w:t>
            </w:r>
          </w:p>
        </w:tc>
        <w:tc>
          <w:tcPr>
            <w:tcW w:w="14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14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14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14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14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14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14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January 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25,877</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655</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(10,425)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16,107</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(110,531)</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(110,531)</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(110,531)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Fair value changes of</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mandatorily redeemable</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noncontrolling interest,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exchangeable notes and</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convertible notes due to</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instrument-specific credit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risk, net of nil income</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 net of nil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taxes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(843)</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(843)</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(843)</w:t>
            </w:r>
          </w:p>
        </w:tc>
        <w:tc>
          <w:tcPr>
            <w:tcW w:w="0" w:type="dxa"/>
            <w:vAlign w:val="bottom"/>
          </w:tcPr>
          <w:p>
            <w:pPr>
              <w:spacing w:after="0"/>
              <w:rPr>
                <w:sz w:val="1"/>
                <w:szCs w:val="1"/>
                <w:color w:val="auto"/>
              </w:rPr>
            </w:pPr>
          </w:p>
        </w:tc>
      </w:tr>
      <w:tr>
        <w:trPr>
          <w:trHeight w:val="162"/>
        </w:trPr>
        <w:tc>
          <w:tcPr>
            <w:tcW w:w="1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2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(724)</w:t>
            </w:r>
          </w:p>
        </w:tc>
        <w:tc>
          <w:tcPr>
            <w:tcW w:w="1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(110,531)</w:t>
            </w:r>
          </w:p>
        </w:tc>
        <w:tc>
          <w:tcPr>
            <w:tcW w:w="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(111,255)</w:t>
            </w: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(111,255)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Issuance of ordinary shares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479,954,430</w:t>
            </w:r>
          </w:p>
        </w:tc>
        <w:tc>
          <w:tcPr>
            <w:tcW w:w="1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417,958</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(106,210)</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311,770</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311,770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Shareholder contribution in</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connection with the</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of exchangeable</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3,391</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3,391</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Capital contribution from</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shareholders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15,695</w:t>
            </w:r>
          </w:p>
        </w:tc>
        <w:tc>
          <w:tcPr>
            <w:tcW w:w="1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15,695</w:t>
            </w:r>
          </w:p>
        </w:tc>
        <w:tc>
          <w:tcPr>
            <w:tcW w:w="14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 paid to a</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shareholder</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(1,880)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(1,880)</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Deemed distribution arising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from reorganization under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control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(38,507)</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(38,507)</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(38,507)</w:t>
            </w:r>
          </w:p>
        </w:tc>
        <w:tc>
          <w:tcPr>
            <w:tcW w:w="0" w:type="dxa"/>
            <w:vAlign w:val="bottom"/>
          </w:tcPr>
          <w:p>
            <w:pPr>
              <w:spacing w:after="0"/>
              <w:rPr>
                <w:sz w:val="1"/>
                <w:szCs w:val="1"/>
                <w:color w:val="auto"/>
              </w:rPr>
            </w:pPr>
          </w:p>
        </w:tc>
      </w:tr>
      <w:tr>
        <w:trPr>
          <w:trHeight w:val="30"/>
        </w:trPr>
        <w:tc>
          <w:tcPr>
            <w:tcW w:w="1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164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479,954,430</w:t>
            </w:r>
          </w:p>
        </w:tc>
        <w:tc>
          <w:tcPr>
            <w:tcW w:w="14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c>
          <w:tcPr>
            <w:tcW w:w="1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424,414</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(106,210)</w:t>
            </w:r>
          </w:p>
        </w:tc>
        <w:tc>
          <w:tcPr>
            <w:tcW w:w="140" w:type="dxa"/>
            <w:vAlign w:val="bottom"/>
            <w:vMerge w:val="restart"/>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(69)</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(122,836)</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195,321</w:t>
            </w:r>
          </w:p>
        </w:tc>
        <w:tc>
          <w:tcPr>
            <w:tcW w:w="1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195,321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16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20" w:hanging="112"/>
        <w:spacing w:after="0" w:line="229" w:lineRule="auto"/>
        <w:tabs>
          <w:tab w:leader="none" w:pos="120" w:val="left"/>
        </w:tabs>
        <w:numPr>
          <w:ilvl w:val="0"/>
          <w:numId w:val="1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Shares outstanding for all periods reflect the adjustment for Recapitalization.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9"/>
        </w:trPr>
        <w:tc>
          <w:tcPr>
            <w:tcW w:w="630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(750,255)</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(724,563)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(110,531)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Adjustments to reconcile net loss to net cash used in operating activities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54,957</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12,790</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Reduction in the carrying amount of operating lease right-of-use assets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20,056</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15,413</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 loss (income), net</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3,246</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of results of equity method investments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fair values of mandatorily redeemable noncontrolling interest, exchangeable notes and</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7,531</w:t>
            </w: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22,991</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convertible notes, excluding impact of instrument-specific credit risk</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 in fair values of put options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10,625</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(126)</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interest expenses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8,167</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deferred income relating to government grants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(54,954)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(490,461)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credit loss expenses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2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Warranty expenses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8,492</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unrealized foreign currency exchange losses (gains)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10,192</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Changes in operating assets and liabilities: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 third parties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(75,265)</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receivable – related parties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(14,356)</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(2,976)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(235,074)</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(21,628)</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Prepayments and other current assets – third parties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(20,268)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Prepayments and other current assets – related parties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(18,880)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405,176</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non-current assets – third parties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(34,248)</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(2,044)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non-current assets –related parties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(2,706)</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 – third parties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21,067</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 – related parties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335,307</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5,975</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Contract liabilities – third parties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42,393</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 – third parties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124,094</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145,857</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 – related parties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89,876</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(201,088)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401,327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(29,357)</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(14,610)</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non-current liabilities – third parties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81,728</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16,147</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non-current liabilities – related parties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(91)</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7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(386,932)</w:t>
            </w:r>
          </w:p>
        </w:tc>
        <w:tc>
          <w:tcPr>
            <w:tcW w:w="2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(351,419)</w:t>
            </w: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(126,505)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for purchases of property, equipment and software and intangible assets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(213,714)</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(133,345)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disposal of property, equipment and software</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5,117</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for purchases of short-term investments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(38,254)</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(300,662)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sales of short-term investments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37,428</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289,587</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upon settlement of derivative instruments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(641)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Receipts of government grants related to assets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16,345</w:t>
            </w:r>
          </w:p>
        </w:tc>
        <w:tc>
          <w:tcPr>
            <w:tcW w:w="2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for investments in equity investees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(5,059)</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(3,114)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disposal of a subsidiary, net of cash disposed</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5"/>
              </w:rPr>
              <w:t>1(f)</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2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Loans to related parties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(1,227)</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(2,310)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(197,985)</w:t>
            </w:r>
          </w:p>
        </w:tc>
        <w:tc>
          <w:tcPr>
            <w:tcW w:w="2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(149,414)</w:t>
            </w:r>
          </w:p>
        </w:tc>
        <w:tc>
          <w:tcPr>
            <w:tcW w:w="20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244,476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CASH FLOWS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Note</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US$</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US$</w:t>
            </w: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issuance of ordinary shares</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197,918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settlement of receivable from shareholders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26,139</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76,147</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issuance of Series Pre-A Preferred Shares</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1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129,681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issuance of Series A Preferred Shares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187,734</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Repayment of exchangeable notes for issuance of Series A Preferred Shares</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1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(57,430)</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issuance of convertible notes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25,297</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75,037</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issuance of exchangeable notes</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27,883</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378,964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125,039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issuance of mandatorily redeemable noncontrolling interest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Repayment of mandatorily redeemable noncontrolling interest</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(11,554)</w:t>
            </w: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Receipts of refundable deposits in connection with the issuance of Series A Preferred Shares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28,945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Repayments of refundable deposits in connection with the issuance of Series A Preferred Shares</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(28,628)</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Payment for redemption of convertible notes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(5,648)</w:t>
            </w:r>
          </w:p>
        </w:tc>
        <w:tc>
          <w:tcPr>
            <w:tcW w:w="11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Receipts of refundable deposits in connection with the Private Investment in Public Equity (“PIPE”) investments</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13</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200" w:type="dxa"/>
            <w:vAlign w:val="bottom"/>
          </w:tcPr>
          <w:p>
            <w:pPr>
              <w:spacing w:after="0"/>
              <w:rPr>
                <w:sz w:val="12"/>
                <w:szCs w:val="12"/>
                <w:color w:val="auto"/>
              </w:rPr>
            </w:pP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Capital contributions from shareholders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Dividends paid to a shareholder</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Consideration payment in connection with reorganization</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(50,794)</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Capital contributions by noncontrolling interests</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4,460</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Repayments of loans to a related party</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(9,844)</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bank loans</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481,176</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28,170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Repayments of bank loans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(272,897)</w:t>
            </w:r>
          </w:p>
        </w:tc>
        <w:tc>
          <w:tcPr>
            <w:tcW w:w="11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Payments to a noncontrolling interest in the liquidation of a subsidiary</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(148)</w:t>
            </w: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top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7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284,708</w:t>
            </w: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758,131</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364,853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2"/>
                <w:szCs w:val="12"/>
                <w:color w:val="auto"/>
              </w:rPr>
              <w:t>Effect of exchange rate changes on cash and restricted cash</w:t>
            </w:r>
          </w:p>
        </w:tc>
        <w:tc>
          <w:tcPr>
            <w:tcW w:w="7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(12,189)</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(49,217)</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Net increase (decrease) in cash and restricted cash</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(312,398)</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208,081</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485,767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2"/>
                <w:szCs w:val="12"/>
                <w:color w:val="auto"/>
              </w:rPr>
              <w:t>Cash and restricted cash at beginning of the year</w:t>
            </w:r>
          </w:p>
        </w:tc>
        <w:tc>
          <w:tcPr>
            <w:tcW w:w="7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739,533</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531,452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and restricted cash at end of the year</w:t>
            </w: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427,135</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739,533</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531,452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cash and restricted cash:</w:t>
            </w: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30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418,941</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736,605</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531,452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 current</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7,873</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cash, non-current</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cash and restricted cash</w:t>
            </w:r>
          </w:p>
        </w:tc>
        <w:tc>
          <w:tcPr>
            <w:tcW w:w="7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427,135</w:t>
            </w:r>
          </w:p>
        </w:tc>
        <w:tc>
          <w:tcPr>
            <w:tcW w:w="2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739,533</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531,452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Supplemental information</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20"/>
                <w:szCs w:val="20"/>
                <w:color w:val="auto"/>
              </w:rPr>
            </w:pPr>
            <w:r>
              <w:rPr>
                <w:rFonts w:ascii="Times New Roman" w:cs="Times New Roman" w:eastAsia="Times New Roman" w:hAnsi="Times New Roman"/>
                <w:sz w:val="12"/>
                <w:szCs w:val="12"/>
                <w:color w:val="auto"/>
              </w:rPr>
              <w:t>Interest paid</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8,086</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taxes paid</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20"/>
                <w:szCs w:val="20"/>
                <w:color w:val="auto"/>
              </w:rPr>
            </w:pPr>
            <w:r>
              <w:rPr>
                <w:rFonts w:ascii="Times New Roman" w:cs="Times New Roman" w:eastAsia="Times New Roman" w:hAnsi="Times New Roman"/>
                <w:sz w:val="12"/>
                <w:szCs w:val="12"/>
                <w:color w:val="auto"/>
              </w:rPr>
              <w:t>Income taxes refund</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(45)</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(131)</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Non-cash investing and financing activities: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20"/>
                <w:szCs w:val="20"/>
                <w:color w:val="auto"/>
              </w:rPr>
            </w:pPr>
            <w:r>
              <w:rPr>
                <w:rFonts w:ascii="Times New Roman" w:cs="Times New Roman" w:eastAsia="Times New Roman" w:hAnsi="Times New Roman"/>
                <w:sz w:val="12"/>
                <w:szCs w:val="12"/>
                <w:color w:val="auto"/>
              </w:rPr>
              <w:t>Purchase of property, equipment and software and intangible assets included in accrued expenses and other current liabilities</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71,064</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108,045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intangible assets through issuance of ordinary shares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116,041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20"/>
                <w:szCs w:val="20"/>
                <w:color w:val="auto"/>
              </w:rPr>
            </w:pPr>
            <w:r>
              <w:rPr>
                <w:rFonts w:ascii="Times New Roman" w:cs="Times New Roman" w:eastAsia="Times New Roman" w:hAnsi="Times New Roman"/>
                <w:sz w:val="12"/>
                <w:szCs w:val="12"/>
                <w:color w:val="auto"/>
              </w:rPr>
              <w:t>Payable arising from reorganization under common control</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Series Pre-A Preferred Shares through conversion of a convertible note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23,445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20"/>
                <w:szCs w:val="20"/>
                <w:color w:val="auto"/>
              </w:rPr>
            </w:pPr>
            <w:r>
              <w:rPr>
                <w:rFonts w:ascii="Times New Roman" w:cs="Times New Roman" w:eastAsia="Times New Roman" w:hAnsi="Times New Roman"/>
                <w:sz w:val="12"/>
                <w:szCs w:val="12"/>
                <w:color w:val="auto"/>
              </w:rPr>
              <w:t>Re-designation of ordinary shares into of Series Pre-A Preferred Shares</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1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23,650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Accretion of Redeemable Convertible Preferred Shares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15,121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20"/>
                <w:szCs w:val="20"/>
                <w:color w:val="auto"/>
              </w:rPr>
            </w:pPr>
            <w:r>
              <w:rPr>
                <w:rFonts w:ascii="Times New Roman" w:cs="Times New Roman" w:eastAsia="Times New Roman" w:hAnsi="Times New Roman"/>
                <w:sz w:val="12"/>
                <w:szCs w:val="12"/>
                <w:color w:val="auto"/>
              </w:rPr>
              <w:t>Investment securities obtained through conversion of a convertible note</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26</w:t>
            </w:r>
          </w:p>
        </w:tc>
        <w:tc>
          <w:tcPr>
            <w:tcW w:w="1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11,316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Payable arising from a distribution agreement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21</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22,296</w:t>
            </w:r>
          </w:p>
        </w:tc>
        <w:tc>
          <w:tcPr>
            <w:tcW w:w="2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20"/>
                <w:szCs w:val="20"/>
                <w:color w:val="auto"/>
              </w:rPr>
            </w:pPr>
            <w:r>
              <w:rPr>
                <w:rFonts w:ascii="Times New Roman" w:cs="Times New Roman" w:eastAsia="Times New Roman" w:hAnsi="Times New Roman"/>
                <w:sz w:val="12"/>
                <w:szCs w:val="12"/>
                <w:color w:val="auto"/>
              </w:rPr>
              <w:t>Issuance of put option liabilities</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9,376</w:t>
            </w:r>
          </w:p>
        </w:tc>
        <w:tc>
          <w:tcPr>
            <w:tcW w:w="200" w:type="dxa"/>
            <w:vAlign w:val="bottom"/>
          </w:tcPr>
          <w:p>
            <w:pPr>
              <w:spacing w:after="0"/>
              <w:rPr>
                <w:sz w:val="12"/>
                <w:szCs w:val="12"/>
                <w:color w:val="auto"/>
              </w:rPr>
            </w:pP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Payable arising from deferred listing expenses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1,613</w:t>
            </w:r>
          </w:p>
        </w:tc>
        <w:tc>
          <w:tcPr>
            <w:tcW w:w="2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ORGANIZATION</w:t>
      </w:r>
    </w:p>
    <w:p>
      <w:pPr>
        <w:spacing w:after="0" w:line="225" w:lineRule="exact"/>
        <w:rPr>
          <w:sz w:val="20"/>
          <w:szCs w:val="20"/>
          <w:color w:val="auto"/>
        </w:rPr>
      </w:pPr>
    </w:p>
    <w:p>
      <w:pPr>
        <w:ind w:left="340" w:hanging="332"/>
        <w:spacing w:after="0"/>
        <w:tabs>
          <w:tab w:leader="none" w:pos="340" w:val="left"/>
        </w:tabs>
        <w:numPr>
          <w:ilvl w:val="0"/>
          <w:numId w:val="1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Lotus Technology Inc. (“the Company”), an exempted company with limited liability, was incorporated in Cayman Islands, on August 9, 2021. The Company, through its wholly owned subsidiaries, consolidated variable interest entity (“VIE”) and VIE’s subsidiaries (collectively, “the Group”), is primarily engaged in the design, develop, and sales of luxury battery electric lifestyle vehicles (“BEV lifestyle models”) under the “Lotus” brand (“Lotus BEV business”) and the Group is also a distributor that sells luxury sports cars under the “Lotus” brand (“Lotus sports car business”) across the world. The Group also provides other sales and ancillary services to customers.</w:t>
      </w:r>
    </w:p>
    <w:p>
      <w:pPr>
        <w:spacing w:after="0" w:line="185"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Merger and recapitalization</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February 22, 2024 (the “Closing Date”), the Company consummated its merger with L Catterton Asia Acquisition Corp (“LCAA”) pursuant to a merger agreement dated January 31, 2023 (as amended and restated dated as of October 11, 2023, the “Merger Agreement”) by and among LCAA, the Company, a Cayman Islands exempted company, Lotus Temp Limited, a Cayman Islands exempted company and wholly-owned subsidiary of the Company (“Merger Sub 1”), and Lotus EV Limited, a Cayman Islands exempted company and wholly-owned subsidiary of the Company ( “Merger Sub 2”). Pursuant to the Merger Agreement, (i) Merger Sub 1 was merged with and into LCAA (the “First Merger”), with LCAA surviving the First Merger as a wholly-owned subsidiary of the Company (such company, as the surviving entity of the First Merger, “Surviving Entity 1”) and the shareholders of LCAA becoming shareholders of the Company, and (ii) immediately following the First Merger and as part of the same overall transaction as the First Merger, Surviving Entity 1 was merged with and into Merger Sub 2 (the “Second Merger,” and together with the First Merger, the “Mergers”), with Merger Sub 2 surviving the Second Merger as a wholly-owned subsidiary of the Company (such company, as the surviving entity of the Second Merger, “Surviving Entity 2”) (collectively, the “Merger Transaction” or “Business Combination”).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consummation of the Merger Transaction,</w:t>
      </w:r>
    </w:p>
    <w:p>
      <w:pPr>
        <w:spacing w:after="0" w:line="225" w:lineRule="exact"/>
        <w:rPr>
          <w:sz w:val="20"/>
          <w:szCs w:val="20"/>
          <w:color w:val="auto"/>
        </w:rPr>
      </w:pPr>
    </w:p>
    <w:p>
      <w:pPr>
        <w:jc w:val="both"/>
        <w:ind w:firstLine="656"/>
        <w:spacing w:after="0" w:line="255" w:lineRule="auto"/>
        <w:tabs>
          <w:tab w:leader="none" w:pos="129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ordinary shares of the Company held by all existing shareholders of the Company before the Merger Transaction were recapitalized into 474,621,603 ordinary shares using recapitalization factor of 0.2215 (“Recapitalization Factor”). All applicable share and per share amounts in the consolidated and combined financial statements have been retrospectively adjusted to reflect the effects of the recapitalization (“Recapitalization”);</w:t>
      </w:r>
    </w:p>
    <w:p>
      <w:pPr>
        <w:spacing w:after="0" w:line="186"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preferred shares of the Company that were issued and outstanding immediately prior to the effective time of the First Merger were converted to the Company ordinary share on a one-for-one basis (the “Preferred Share Conversion”) and recapitalized into 68,228,526 ordinary shares using the Recapitalization Factor. All applicable share and per share amounts in the consolidated and combined financial statements have been retrospectively adjusted to reflect the effects of the Recapitalization;</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35,849,458 ordinary shares were issued to a number of investors (the “PIPE Investors”) for a total consideration of US$358,495 (the “PIPE Investments”);</w:t>
      </w:r>
    </w:p>
    <w:p>
      <w:pPr>
        <w:spacing w:after="0" w:line="148"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36,597,038 ordinary shares were issued to WFOE Exchangeable Notes Holder following the settlement of the outstanding principal amount of the WFOE Exchangeable Notes to WFOE Exchangeable Notes Holder;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577,456 ordinary shares were issued to Momenta Global Limited pursuant to the conversion of Momenta Note;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2,433,912 ordinary shares were issued to a number of Pre-IPO Notes investors pursuant to the conversion of Pre-IPO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ordinary shares were issued to Meritz Securities Co., Ltd. (“Meritz”) for a total consideration of US$500,000, concurrent with the issuance of put option and call options as mentioned in note 13. The gross proceeds of US$500,000 received was deposited in a collateral account and invested in the treasury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56"/>
        <w:spacing w:after="0" w:line="250" w:lineRule="auto"/>
        <w:tabs>
          <w:tab w:leader="none" w:pos="129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8,427,821 ordinary shares were issued to then holders of Class A ordinary shares of LCAA, including 1,265,103 Class A ordinary shares of LCAA held by public shareholders and 7,087,718 Class A ordinary share of LCAA held by LCA Acquisition Sponsor LP (the “Sponsor”) and 75,000 Class A ordinary shares of LCAA held by the directors and officers of LCAA, among which all or a portion of (as reasonably determined by the Company in good faith) 20% of the ordinary shares held by the Sponsor will remain unvested upon the consummation of the Merger Transaction and become vested upon each occurrence of (a) the commencement or official announcement of any business collaboration facilitated by Sponsor or its affiliates (including, without limitation, in connection with product development, marketing, customer engagement, retail space, and technology infrastructure development), or (b) an approved commitment to invest in the Company or one of its subsidiaries by an investor introduced or facilitated by Sponsor or its affiliate, in each case, within eighteen months following the Closing Date;</w:t>
      </w:r>
    </w:p>
    <w:p>
      <w:pPr>
        <w:spacing w:after="0" w:line="192"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9,550,246 warrants were issued to the then public shareholders of LCAA in exchange for the warrants held by public shareholders of LCAA (the “Public Warrants”), and 5,486,784 warrants were issued to the Sponsor in exchange for warrants held by the Sponsor (the “Sponsor Warrants”). Each Public Warrant and Sponsor Warrant can be exercised at an exercise price of US$11.50 in exchange for one ordinary share of the Company.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Mergers above stated, LCAA was considered as the “acquired” company for financial reporting purposes. Accordingly, for accounting purposes, the financial statements of the Company represented a continuation of its operations with the Mergers treated as the equivalent of the Company issuing shares for the net assets of LCAA, accompanied by a recapitalization. The net assets of the Company are stated at historical cost, with no goodwill or other intangible assets recorded.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ordinary shares of the Company and the Public Warrants are listed on the Nasdaq Stock Market LLC, or “Nasdaq,” under the trading symbols “LOT” and “LOTWW,” respectively, on February 23, 2024.</w:t>
      </w:r>
    </w:p>
    <w:p>
      <w:pPr>
        <w:spacing w:after="0" w:line="158"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History of the Group and basis of presentation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Group’s Lotus BEV business, founded in 2018, was carried out by Zhejiang Geely Holding Group (“Geely Holding”) through its subsidiaries, including Wuhan Lotus Cars Co., Ltd. (“Wuhan Lotus Cars”) and the Lotus BEV business unit of Ningbo Geely Automobile Research &amp; Development Co., Ltd. (“Ningbo Geely R&amp;D”) incorporated in the People’s Republic of China (“PRC”), Lotus Tech Creative Centre Limited (“Lotus Tech UK”) incorporated in United Kingdom (“UK”) and Lotus Tech Innovation Centre GmbH (“Lotus GmbH”) incorporated in Germany, which were all ultimately controlled by Mr. Li Shufu.</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9, 2021, the Company was incorporated as a limited liability company in the Cayman Islands, and Lotus Advanced Technology Limited Partnership (“Founders Offshore Vehicle”) subscribed for 191,981,772 ordinary shares on August 9, 2021. On July 30, 2021, Ming Jun Holdings Limited owned by Mr. Li Shufu, Yin Qing Holdings Limited, Xing Rong Holdings Limited and Jing Can Holdings Limited (the “Four Core Investors”) in the Founders Offshore Vehicle signed an agreement (later joined by State Rainbow Investments Limited and Radiant Field Investments Limited) under which Yin Qing Holdings Limited, Xing Rong Holdings Limited, Jing Can Holdings Limited, State Rainbow Investments Limited and Radiant Field Investments Limited agreed to act in concert with Ming Jun Holdings Limited. Therefore, Mr. Li Shufu has the majority voting right and controlled the Founders Offshore Vehicle.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29, 2020, Geely Holding and Ningbo Juhe Yinqing Enterprise Management Consulting Partnership (Limited Partnership) (“Founders Onshore Vehicle”) incorporated Wuhan Lotus Technology Limited Company (“WFOE”). WFOE was 60% owned by Geely Holding and 40% owned by Founders Onshore Vehicle. Both Geely Holding and Founders Onshore Vehicle are controlled by Mr. Li Shufu.</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24, 2021, Etika Automotive SDN BHD (“Etika”), through its subsidiary in Hong Kong, Lotus Advanced Technology Limited (“Lotus HK”), subscribed for 33.33% equity interest in WFOE, while Geely Holding and Founder Onshore Vehicle subscribed disproportionally. Upon the closing, Geely Holding, Etika, and Founders Onshore Vehicle held 22.22%, 33.33% and 44.45%, respectively, equity interest in WFOE.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11, 2021, the Company issued 143,986,329 ordinary shares to Etika through exchange of 100% equity interest in Lotus HK held by Etika. Lotus HK also acquired all the equity interest in WFOE held by Geely Holding and Founder Onshore Vehicle on December 15, 2021.</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11, 2021, the Company issued 95,990,886 ordinary shares to Lotus Technology International Investment Limited, ultimately 100% owned by Geely Holding.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Through a series of reorganization steps (the “Reorganization”), including transferring the assets and employees in the Lotus BEV business unit of Ningbo Geely R&amp;D into Wuhan Lotus Cars and transferring the equity of Wuhan Lotus Cars to the WFOE, the Company gained control over WFOE through Lotus HK on December 15, 2021. The equity interests of Lotus Tech UK and Lotus GmbH were also transferred to the Group on December 29, 2021 and June 24, 2022, respectively.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4, 2021, the Group entered into trademark licenses agreements with a related party, Group Lotus Limited, a wholly owned subsidiary of Lotus Group International Limited (“LGIL”), which is ultimately controlled by Mr. Li Shufu. Pursuant to this agreement, the Group received the “Lotus” trademark licenses for as long as the Group conducts the business in relation to lifestyle vehicles (excluding sports car). The Group issued 47,995,443 ordinary shares as consideration for such trademark licenses.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above Reorganization was completed on June 24, 2022. The Reorganization consists of transferring the Lotus BEV business to the Group. Before and after the Reorganization, the Lotus BEV business were ultimately controlled by Mr. Li Shufu. Accordingly, the Reorganization is accounted for under common control transaction. Therefore, the accompanying consolidated and combined financial statements include the assets, liabilities, revenue, expenses and cash flows of Lotus BEV business for the periods presented and are prepared as if the corporate structure of the Group after the Reorganization had been in existence throughout the periods presented.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mentioned in note 21, on January 31, 2023, the Group entered into a distribution agreement with Lotus Cars Limited (“LCL”), a wholly owned subsidiary of LGIL and ultimately controlled by the Controlling Shareholder of the Company, pursuant to which, the Group was appointed as the exclusive global distributor (excluding in the United States of America) to distribute certain models of vehicles produced by LCL and to provide after-sale services and brand, marketing and public relations for such vehicles.</w:t>
      </w:r>
    </w:p>
    <w:p>
      <w:pPr>
        <w:spacing w:after="0" w:line="176"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VIE Reorganization</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Historically, the Company conducted its value-added telecommunication services operation in Chinese mainland through the VIE and VIE’s subsidiaries, with which WFOE, the Company’s wholly owned subsidiary, the VIE and the VIE’s nominee equity holders entered into certain contractual arrangements (“VIE Arrangements”). Since early 2023, the Group has implemented a series of transactions to restructure its organization and business operations (the “Restructuring”). In connection with the Restructuring, the WFOE, the VIE and nominee equity holders of the VIE entered into a series of agreements (“VIE Restructuring Agreements”), pursuant to which, i) WFOE acquired 100% equity interest in Sanya Lotus Venture Capital Co., Ltd. (“Sanya Lotus”) and Hangzhou Lotus Technology Service Co., Ltd. (“Hangzhou Lotus”), subsidiaries of the VIE, in February 2023; ii) all the VIE’s assets and liabilities (excluding ICP license), business contracts, intellectual properties and employees were transferred to a subsidiary of WFOE at nil consideration; iii) the VIE Arrangements were terminated on June 30, 2023.</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concludes that the Restructuring does not represent a strategic shift, nor it will have a major effect on the Group’s operations and financial results.</w:t>
      </w:r>
    </w:p>
    <w:p>
      <w:pPr>
        <w:spacing w:after="0" w:line="158"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VIE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Restructuring as described in note 1(d), the Company’s subsidiary, WFOE has entered into contractual arrangements with Wuhan Lotus E-commerce Co., Ltd. (“VIE”) and their respective shareholders, through which, the Company exercises control over the operations of the VIE and the VIE’s subsidiaries (collectively the “VIEs”). The VIEs are primarily engaged in the provision of value-added telecommunication services.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equity interests of the VIE are legally held by Mr. Li Shufu, Mr. Feng Qingfeng, Mr. Li Donghui and Mr. Liu Bin, who acted as the nominee equity holders of the VIE on behalf of the WFOE. On August 9, 2021, the Company’s wholly owned subsidiary, WFOE, the VIE and the VIE’s nominee equity holders entered into a contractual agreement, which was replaced by a series of contractual arrangements entered into by and among the WFOE, the VIE and the nominee equity holders on March 8, 2022, including (i) Exclusive Consulting and Service Agreement, (ii) Exclusive Purchase Option Agreement, (iii) Equity Pledge Agreement, (iv) Powers of Attorney and (v) Spousal Consent Letters.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above agreements are collectively referred to as VIE Arrangements. Through the VIE Arrangements, the nominee equity holders of the VIE had granted all their legal rights including voting rights and disposition rights of their equity interests in the VIE to the WFOE. The nominee equity holders of the VIE did not participate in income and loss and did not have the power to direct the activities of the VIE that most significantly impact the VIE’s economic performance. Accordingly, the VIE was considered a variable interest entity.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the WFOE has (i) the power to direct activities of the VIE that most significantly impact the economic performance of the VIE; and (ii) the right to receive benefits of the VIE that could potentially be significant to the VIE. Thus, WFOE is the primary beneficiary of the VIE.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terms of the VIE Arrangements, the Company, through the WFOE has (i) the right to receive economic benefits that could potentially be significant to the VIE in the form of service fees under the Exclusive Consulting and Service Agreement; (ii) the right to unconditionally receive all dividends or interest declared by the VIE and all of the assets of the VIE; (iii) the right to receive the benefits of the VIE through its exclusive option to acquire 100% of the equity interests in the VIE, to the extent permitted under respective laws and regulations. Accordingly, the financial statements of the VIE are included in the Company’s consolidated and combined financial statements.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VIE Arrangements, the VIE’s nominee equity holders have no rights to the net assets nor have the obligations to fund the deficit, and such rights and obligations have been vested to the Company through WFOE. All of the deficit (net liabilities) and net loss of the VIEs are attributed to the Company through WFOE.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principal terms of the VIE Arrangements are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Exclusive Consulting and Service Agreement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Exclusive Consulting and Service Agreement, WFOE has agreed to provide to the VIE with comprehensive consulting services and other services, including but not limited to licensing to VIE intellectual property rights legally owned by WFOE; development, installation, maintenance and update of website, apps, network and system involved in VIE’s business; providing VIE with software and software technology and solutions; technical support and training for employees of VIE; assisting VIE in market research, business planning and strategies; providing marketing and promotion services, customer management, finance management and other related services. VIE and VIE’s subsidiaries (together as VIEs) shall pay WFOE service fees at the amount of 100% of the total consolidated profit of VIEs, after deduction of any accumulated deficit of the VIEs in respect of the preceding financial year(s), necessary operating costs, expenses and taxes. Notwithstanding the foregoing, the WFOE may adjust the amount of the services fee according to services provided by WFOE to VIEs, the VIE’s operational conditions and development needs. The WFOE shall calculate the service fee on a quarterly basis and issue a corresponding invoice to the VIEs. The VIEs must make the payment to the WFOE within ten business days of receiving such invoice. In addition, absent the prior written consent of the WFOE, during the term of the Exclusive Consulting and Service Agreement, with respect to the services provided under the Exclusive Consulting and Service Agreement, the VIEs shall not accept the same or any similar services provided by any third party. The Exclusive Consulting and Service Agreement also provides that the WFOE has the exclusive proprietary rights to and interests in any and all intellectual property rights developed and created by the VIEs during the performance of the Exclusive Consulting and Service Agreement. The Exclusive Consulting and Service Agreement shall remain in effect permanently unless otherwise terminated by the WFOE. During the term of the Exclusive Consulting and Service Agreement, VIE shall not terminate the agreement for whatsoever reasons.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Exclusive Purchase Option Agreement</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Exclusive Purchase Option Agreement, the nominee equity holders of VIE irrevocably and exclusively granted WFOE or its designee an option to purchase their equity interest in VIE at the price equal to the minimum amount of consideration permitted by PRC law. The nominee equity holders of VIE should refund any amount that is paid by the WFOE or its designee in connection with the purchased equity interest in a way permitted by PRC law. The nominee equity holders of VIE also granted WFOE or its designee an option to purchase all or a portion of the assets of VIE for the minimum amount of consideration permitted by PRC law. The nominee equity holders of VIE agreed not to transfer or mortgage any equity interest in or dispose of or cause the management to dispose of any assets of VIE without the prior written consent of WFOE. The Exclusive Purchase Option Agreement shall remain in effect until all of the equity interests held by the nominee equity holders of VIE and all of the assets in VIE have been acquired by WFOE or its designee.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Pledge Agreement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Equity Pledge Agreement, the nominee equity holders of VIE pledged their respective equity interest in VIE to WFOE to guarantee the performance of contractual obligations and the payment of debts under the Exclusive Consulting and Service Agreement the nominee equity holders of VIE further agreed not to transfer or pledge their equity interests in VIE without the prior written consent of WFOE. The Equity Pledge Agreement will remain binding until all the contractual obligations of the nominee equity holders of VIE and the VIEs under the Exclusive Consulting and Service Agreement have been fully performed and all the outstanding debts of the nominee equity holders of VIE and the VIEs under the Exclusive Consulting and Service Agreement have been fully paid, or all of their equity interests in VIE have been acquired by WFOE or its designee. Registration of the equity pledge with competent PRC regulatory authority has been completed.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Powers of Attorney</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Powers of Attorney entered into by each of the nominee equity holders of VIE, the nominee equity holders of VIE unconditionally and irrevocably appointed the directors of WFOE’s direct or indirect shareholder(s) or WFOE’s other designated persons as their sole attorney-in-fact to exercise all equity holder rights, including, but not limited to, the right to attend shareholders’ meetings of the VIEs and sign any shareholders resolutions of the meetings on behalf of the nominee equity holder, to exercise all shareholders’ rights in accordance with the PRC laws and regulations and the articles of association of the VIEs, including but not limited to the shareholders’ voting rights, the rights to sale, transfer, pledge or disposal of all or any part of the equity interests in VIE, to appoint the legal representative, director, supervisor and other senior management personnel of VIE, the right to sign any document, meeting minutes and file documents with the competent PRC regulatory authority and the voting rights with respect to VIE’s bankruptcy. The powers of attorney will remain effective until such nominee equity holders cease to be nominee equity holders of the VIE or the WFOE notifies the nominee equity holder of VIE to terminate the relevant powers of attorney.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Spousal Consent Letters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spouses of each of nominee equity holders signed Spousal Consent Letters. Under the Spousal Consent Letters, the signing spouse unconditionally and irrevocably agreed that the equity interest in VIE which is held by and registered under the name of her spouse will be disposed of pursuant to the abovementioned Equity Pledge Agreement, Exclusive Purchase Option Agreement, Exclusive Consulting and Service Agreement and Powers of Attorney. Moreover, the spouse confirmed she has no rights, and will not assert in the future any right, over the equity interests in VIE held by her spouse. In addition, in the event that the spouse obtains any equity interest in VIE held by her spouse for any reason, she agrees to be bound by and sign any legal documents substantially similar to the contractual arrangements entered into by her spouse, as may be amended from time to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relies on the VIE Arrangements to operate and control VIEs. All of the VIE Arrangements are governed by PRC laws and provide for the resolution of disputes through arbitration under PRC laws. Accordingly, these agreements would be interpreted in accordance with PRC laws and any disputes would be resolved in accordance with PRC legal procedures. Uncertainties in the PRC legal system could limit the Company’s ability to enforce these VIE Arrangements. In the event that the Company is unable to enforce these VIE Arrangements, or if the Company suffers significant time delays or other obstacles in the process of enforcing these VIE Arrangements, it would be difficult to exert effective control over VIEs, and the Company’s ability to conduct its business and the results of operations and financial condition may be materially and adversely affected.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opinion of management, based on the legal opinion obtained from the Company’s PRC legal counsel, the above VIE Arrangements were legally binding and enforceable and did not violate current PRC laws and regulations. However, there are substantial uncertainties regarding the interpretation and application of current and future PRC laws and regulations. Accordingly, if the PRC government finds that the VIE Arrangements do not comply with its restrictions on foreign ownership of businesses, or if the PRC government otherwise finds that the Company’s corporate structure and contractual arrangements are in violation of local laws or regulations or lack the necessary permits or licenses to operate the Company’s business, the relevant regulatory authorities would have broad discretion in dealing with such violations, including:</w:t>
      </w:r>
    </w:p>
    <w:p>
      <w:pPr>
        <w:spacing w:after="0" w:line="187" w:lineRule="exact"/>
        <w:rPr>
          <w:sz w:val="20"/>
          <w:szCs w:val="20"/>
          <w:color w:val="auto"/>
        </w:rPr>
      </w:pPr>
    </w:p>
    <w:p>
      <w:pPr>
        <w:ind w:left="1000" w:hanging="317"/>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and operating licenses of such entities;</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the operations or the Group’s right to collect revenues;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or confiscating any of VIEs’ income that they deem to have been obtained through illegal operations;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conditions or requirements with which the Group’s subsidiaries or the VIEs may not be able to comply;</w:t>
      </w:r>
    </w:p>
    <w:p>
      <w:pPr>
        <w:spacing w:after="0" w:line="9" w:lineRule="exact"/>
        <w:rPr>
          <w:rFonts w:ascii="Times New Roman" w:cs="Times New Roman" w:eastAsia="Times New Roman" w:hAnsi="Times New Roman"/>
          <w:sz w:val="18"/>
          <w:szCs w:val="18"/>
          <w:color w:val="auto"/>
        </w:rPr>
      </w:pPr>
    </w:p>
    <w:p>
      <w:pPr>
        <w:jc w:val="both"/>
        <w:ind w:left="1000" w:hanging="317"/>
        <w:spacing w:after="0" w:line="245" w:lineRule="auto"/>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Company to restructure the ownership structure or operations, including terminating the contractual arrangements and deregistering equity pledges made by the nominee equity holders of the VIEs, which in term would affect the ability to consolidate, derive economic interests from, or exert effective control over the VIEs;</w:t>
      </w:r>
    </w:p>
    <w:p>
      <w:pPr>
        <w:ind w:left="1000" w:hanging="317"/>
        <w:spacing w:after="0" w:line="250" w:lineRule="auto"/>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the Company’s use of the proceeds of overseas offering to finance the business and operations in Chinese mainland; or</w:t>
      </w:r>
    </w:p>
    <w:p>
      <w:pPr>
        <w:ind w:left="1000" w:hanging="317"/>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other regulatory or enforcement actions that could be harmful to the business.</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imposition of any of these penalties or requirement to restructure the Company’s corporate structure causes it to lose the rights to direct the activities of the VIEs or the Company’s right to receive its economic benefits, the Company would no longer be able to consolidate the financial results of the VIEs in its consolidated and combined financial statements.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involvement with the VIEs under the VIE Arrangements affected the Company’s consolidated financial position, consolidated and combined results of operations and cash flows as indicated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Restructuring, the Group ceased to consolidate the VIE on June 30, 2023. The following consolidated assets and liabilities information of the Group’s VIEs as of December 31, 2022, and consolidated revenues, net loss and cash flow information for the years ended December 31, 2023, 2022 and 2021 have been included in the accompanying consolidated and combined financial statements. All intercompany transactions and balances with the Company, and its subsidiaries, prior to the Restructuring, have been eliminated upon consolidation.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146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0">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45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1">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Prepayments and other current assets – third parties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6292215"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2">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equipment and software,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45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3">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6292215"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4">
                      <a:extLst>
                        <a:ext uri="{28A0092B-C50C-407E-A947-70E740481C1C}"/>
                      </a:extLst>
                    </a:blip>
                    <a:srcRect/>
                    <a:stretch>
                      <a:fillRect/>
                    </a:stretch>
                  </pic:blipFill>
                  <pic:spPr bwMode="auto">
                    <a:xfrm>
                      <a:off x="0" y="0"/>
                      <a:ext cx="6292215"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Amounts due to inter-companies</w:t>
      </w:r>
      <w:r>
        <w:rPr>
          <w:rFonts w:ascii="Times New Roman" w:cs="Times New Roman" w:eastAsia="Times New Roman" w:hAnsi="Times New Roman"/>
          <w:sz w:val="26"/>
          <w:szCs w:val="26"/>
          <w:color w:val="auto"/>
          <w:vertAlign w:val="superscript"/>
        </w:rPr>
        <w:t>(i)</w:t>
      </w:r>
    </w:p>
    <w:p>
      <w:pPr>
        <w:spacing w:after="0"/>
        <w:rPr>
          <w:sz w:val="20"/>
          <w:szCs w:val="20"/>
          <w:color w:val="auto"/>
        </w:rPr>
      </w:pPr>
      <w:r>
        <w:rPr>
          <w:rFonts w:ascii="Times New Roman" w:cs="Times New Roman" w:eastAsia="Times New Roman" w:hAnsi="Times New Roman"/>
          <w:sz w:val="18"/>
          <w:szCs w:val="18"/>
          <w:color w:val="auto"/>
        </w:rPr>
        <w:t>Operating lease liabilities –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6292215" cy="146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5">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 third parties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46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6">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Mandatorily redeemable noncontrolling interest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6292215"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7">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liabilities – third parties</w:t>
      </w:r>
    </w:p>
    <w:p>
      <w:pPr>
        <w:spacing w:after="0" w:line="207" w:lineRule="auto"/>
        <w:rPr>
          <w:sz w:val="20"/>
          <w:szCs w:val="20"/>
          <w:color w:val="auto"/>
        </w:rPr>
      </w:pPr>
      <w:r>
        <w:rPr>
          <w:rFonts w:ascii="Times New Roman" w:cs="Times New Roman" w:eastAsia="Times New Roman" w:hAnsi="Times New Roman"/>
          <w:sz w:val="18"/>
          <w:szCs w:val="18"/>
          <w:color w:val="auto"/>
        </w:rPr>
        <w:t>Exchangeable notes</w:t>
      </w:r>
      <w:r>
        <w:rPr>
          <w:rFonts w:ascii="Times New Roman" w:cs="Times New Roman" w:eastAsia="Times New Roman" w:hAnsi="Times New Roman"/>
          <w:sz w:val="26"/>
          <w:szCs w:val="26"/>
          <w:color w:val="auto"/>
          <w:vertAlign w:val="superscript"/>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145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8">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206" w:lineRule="auto"/>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6"/>
          <w:szCs w:val="26"/>
          <w:color w:val="auto"/>
          <w:vertAlign w:val="superscript"/>
        </w:rPr>
        <w:t>(ii)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81915</wp:posOffset>
            </wp:positionV>
            <wp:extent cx="156845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24130</wp:posOffset>
            </wp:positionV>
            <wp:extent cx="99441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b w:val="1"/>
          <w:bCs w:val="1"/>
          <w:i w:val="1"/>
          <w:iCs w:val="1"/>
          <w:color w:val="auto"/>
        </w:rPr>
        <w:t>US$</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156,571</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108</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99441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158,992</w:t>
      </w:r>
    </w:p>
    <w:p>
      <w:pPr>
        <w:spacing w:after="0" w:line="4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14,189</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12,388</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99441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186,691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19685</wp:posOffset>
            </wp:positionV>
            <wp:extent cx="99441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10,551</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716</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35,254</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801</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99441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58,703</w:t>
      </w:r>
    </w:p>
    <w:p>
      <w:pPr>
        <w:spacing w:after="0" w:line="4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1,662</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71,792</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76,770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99441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5">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208,927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19685</wp:posOffset>
            </wp:positionV>
            <wp:extent cx="99441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7960" w:space="720"/>
            <w:col w:w="1240"/>
          </w:cols>
          <w:pgMar w:left="980" w:top="513" w:right="999" w:bottom="1440" w:gutter="0" w:footer="0" w:header="0"/>
          <w:type w:val="continuous"/>
        </w:sectPr>
      </w:pPr>
    </w:p>
    <w:p>
      <w:pPr>
        <w:spacing w:after="0" w:line="19" w:lineRule="exact"/>
        <w:rPr>
          <w:sz w:val="20"/>
          <w:szCs w:val="20"/>
          <w:color w:val="auto"/>
        </w:rPr>
      </w:pPr>
    </w:p>
    <w:p>
      <w:pPr>
        <w:ind w:firstLine="8"/>
        <w:spacing w:after="0" w:line="282" w:lineRule="auto"/>
        <w:tabs>
          <w:tab w:leader="none" w:pos="64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amounts due to inter-companies represent the payables that the VIEs had with the Company’s subsidiaries, which were eliminated in the Company’s consolidated and combined financial statements.</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64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exchangeable notes of US$71,792 was guaranteed by the WFOE and the convertible notes of US$76,770 was guaranteed by the Company and the WFOE.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From January 1,</w:t>
            </w:r>
          </w:p>
        </w:tc>
        <w:tc>
          <w:tcPr>
            <w:tcW w:w="14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 the completion</w:t>
            </w:r>
          </w:p>
        </w:tc>
        <w:tc>
          <w:tcPr>
            <w:tcW w:w="14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of</w:t>
            </w:r>
          </w:p>
        </w:tc>
        <w:tc>
          <w:tcPr>
            <w:tcW w:w="140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the Restructuring</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8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8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Net loss</w:t>
            </w:r>
            <w:r>
              <w:rPr>
                <w:rFonts w:ascii="Times New Roman" w:cs="Times New Roman" w:eastAsia="Times New Roman" w:hAnsi="Times New Roman"/>
                <w:sz w:val="26"/>
                <w:szCs w:val="26"/>
                <w:color w:val="auto"/>
                <w:vertAlign w:val="superscript"/>
              </w:rPr>
              <w:t>(i)</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(74,137)</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(52,431)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Net cash used in operating activities</w:t>
            </w:r>
            <w:r>
              <w:rPr>
                <w:rFonts w:ascii="Times New Roman" w:cs="Times New Roman" w:eastAsia="Times New Roman" w:hAnsi="Times New Roman"/>
                <w:sz w:val="26"/>
                <w:szCs w:val="26"/>
                <w:color w:val="auto"/>
                <w:vertAlign w:val="superscript"/>
              </w:rPr>
              <w:t>(ii)</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(8,281)</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(8,869)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(38,400)</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(5,630)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Net cash(used in) provided by financing activities</w:t>
            </w:r>
            <w:r>
              <w:rPr>
                <w:rFonts w:ascii="Times New Roman" w:cs="Times New Roman" w:eastAsia="Times New Roman" w:hAnsi="Times New Roman"/>
                <w:sz w:val="26"/>
                <w:szCs w:val="26"/>
                <w:color w:val="auto"/>
                <w:vertAlign w:val="superscript"/>
              </w:rPr>
              <w:t>(iii)</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(107,317)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137,876</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(2,573)</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(15,900)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(156,571)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107,477</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beginning of the period/year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156,571</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49,094</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the period/year</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156,571</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660" w:hanging="652"/>
        <w:spacing w:after="0" w:line="266"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includes other expenses of US$56,752 and nil and nil arising from the transfer of VIE’s assets and liabilities to a subsidiary of WFOE for period between January 1, 2023 and the completion of the Restructuring, and the years ended December 31, 2022 and 2021, respectively, which were eliminated upon consolidation.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operating activities includes amounts of US$88,423, US$3,348 and nil paid to the Company’s subsidiaries and amounts of US$86,697, US$34 and nil provided by the Company’s subsidiaries for period between January 1, 2023 and the completion of the Restructuring, and the years ended December 31, 2022 and 2021, respectively, which were eliminated upon consolidation.</w:t>
      </w:r>
    </w:p>
    <w:p>
      <w:pPr>
        <w:spacing w:after="0" w:line="166"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provided by financing activities includes amounts of US$158,509, US$10,611 and US$11,055 paid to the Company’s subsidiaries and amounts of US$32,715, nil and nil provided by the Company’s subsidiaries for period between January 1, 2023 and the completion of the Restructuring, and the years ended December 31, 2022 and 2021, respectively, which were eliminated upon consolidation.</w:t>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accordance with the VIE Arrangements, the Company has the power to direct the activities of the VIEs. Therefore, the Company considers that there are no assets in the VIEs that can be used only to settle obligations of the VIEs, except for paid-in-capital of US$155 as of December 31, 2022. Except for the exchangeable notes of US$71,792 guaranteed by the WFOE and the convertible notes of US$76,770 guaranteed by the Company and the WFOE as of December 31, 2022 as mentioned above, the creditors of VIEs do not have recourse to the general credit of the Company and its subsidiaries. During the years ended December 31, 2022 and 2021 and the period between January 1, 2023 and the completion of the Restructuring presented, the Company and its subsidiaries provided financial support to VIEs that they were not previously contractually required to provide in the form of advances. To the extent VIEs require financial support, the Company may, at its option and to the extent permitted under local laws, provide such support to VIEs through entrustment loans to VIEs.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unrecognized revenue-producing assets that are held by the VIEs comprise of internet content provider license (“ICP license”), internally developed software and intellectual property, patents and other licenses, which were not recorded on the Company’s consolidated balance sheets as they do not meet all the capitalization criteria.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Disposal of a subsidiary</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30, 2023, the Company disposed a subsidiary to a third party for cash consideration of US$1,385. The carrying amount of the net liabilities of the subsidiary on the disposal date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r>
      <w:tr>
        <w:trPr>
          <w:trHeight w:val="230"/>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19"/>
                <w:szCs w:val="19"/>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0" w:type="dxa"/>
            <w:vAlign w:val="bottom"/>
          </w:tcPr>
          <w:p>
            <w:pPr>
              <w:spacing w:after="0"/>
              <w:rPr>
                <w:sz w:val="19"/>
                <w:szCs w:val="19"/>
                <w:color w:val="auto"/>
              </w:rPr>
            </w:pPr>
          </w:p>
        </w:tc>
      </w:tr>
      <w:tr>
        <w:trPr>
          <w:trHeight w:val="230"/>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0" w:type="dxa"/>
            <w:vAlign w:val="bottom"/>
          </w:tcPr>
          <w:p>
            <w:pPr>
              <w:spacing w:after="0"/>
              <w:rPr>
                <w:sz w:val="19"/>
                <w:szCs w:val="19"/>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0" w:type="dxa"/>
            <w:vAlign w:val="bottom"/>
          </w:tcPr>
          <w:p>
            <w:pPr>
              <w:spacing w:after="0"/>
              <w:rPr>
                <w:sz w:val="19"/>
                <w:szCs w:val="19"/>
                <w:color w:val="auto"/>
              </w:rPr>
            </w:pPr>
          </w:p>
        </w:tc>
      </w:tr>
      <w:tr>
        <w:trPr>
          <w:trHeight w:val="229"/>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20" w:type="dxa"/>
            <w:vAlign w:val="bottom"/>
          </w:tcPr>
          <w:p>
            <w:pPr>
              <w:spacing w:after="0"/>
              <w:rPr>
                <w:sz w:val="19"/>
                <w:szCs w:val="19"/>
                <w:color w:val="auto"/>
              </w:rPr>
            </w:pPr>
          </w:p>
        </w:tc>
      </w:tr>
      <w:tr>
        <w:trPr>
          <w:trHeight w:val="230"/>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 w:type="dxa"/>
            <w:vAlign w:val="bottom"/>
          </w:tcPr>
          <w:p>
            <w:pPr>
              <w:spacing w:after="0"/>
              <w:rPr>
                <w:sz w:val="19"/>
                <w:szCs w:val="19"/>
                <w:color w:val="auto"/>
              </w:rPr>
            </w:pPr>
          </w:p>
        </w:tc>
      </w:tr>
      <w:tr>
        <w:trPr>
          <w:trHeight w:val="229"/>
        </w:trPr>
        <w:tc>
          <w:tcPr>
            <w:tcW w:w="88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borrowings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0" w:type="dxa"/>
            <w:vAlign w:val="bottom"/>
          </w:tcPr>
          <w:p>
            <w:pPr>
              <w:spacing w:after="0"/>
              <w:rPr>
                <w:sz w:val="19"/>
                <w:szCs w:val="19"/>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0" w:type="dxa"/>
            <w:vAlign w:val="bottom"/>
          </w:tcPr>
          <w:p>
            <w:pPr>
              <w:spacing w:after="0"/>
              <w:rPr>
                <w:sz w:val="19"/>
                <w:szCs w:val="19"/>
                <w:color w:val="auto"/>
              </w:rPr>
            </w:pPr>
          </w:p>
        </w:tc>
      </w:tr>
      <w:tr>
        <w:trPr>
          <w:trHeight w:val="230"/>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20" w:type="dxa"/>
            <w:vAlign w:val="bottom"/>
          </w:tcPr>
          <w:p>
            <w:pPr>
              <w:spacing w:after="0"/>
              <w:rPr>
                <w:sz w:val="19"/>
                <w:szCs w:val="19"/>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20" w:type="dxa"/>
            <w:vAlign w:val="bottom"/>
          </w:tcPr>
          <w:p>
            <w:pPr>
              <w:spacing w:after="0"/>
              <w:rPr>
                <w:sz w:val="19"/>
                <w:szCs w:val="19"/>
                <w:color w:val="auto"/>
              </w:rPr>
            </w:pPr>
          </w:p>
        </w:tc>
      </w:tr>
      <w:tr>
        <w:trPr>
          <w:trHeight w:val="223"/>
        </w:trPr>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liabilities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(2,303)</w:t>
            </w:r>
          </w:p>
        </w:tc>
        <w:tc>
          <w:tcPr>
            <w:tcW w:w="20" w:type="dxa"/>
            <w:vAlign w:val="bottom"/>
            <w:tcBorders>
              <w:bottom w:val="single" w:sz="8" w:color="auto"/>
            </w:tcBorders>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Between February to June 2023, the Group provided one-year loans with aggregated principal amounts of US$2,346 bearing interest rate of 3.65% to the disposed subsidiary. Upon the disposal, the Group recognized the loan receivables of US$2,365, which were collected in August 2023.</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excess of cash consideration over the net liabilities derecognized was recognized in “Investment (loss) income, net” of US$3,756 in the consolidated and combined statements of comprehensive loss for the year ended December 31, 2023.</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concludes that the disposal does not represent a strategic shift, nor it will have a major effect on the Group’s operations and financial results.</w:t>
      </w:r>
    </w:p>
    <w:p>
      <w:pPr>
        <w:spacing w:after="0" w:line="172" w:lineRule="exact"/>
        <w:rPr>
          <w:sz w:val="20"/>
          <w:szCs w:val="20"/>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and combined financial statements of the Group have been prepared in accordance with accounting principles generally accepted in the United States of America (“U.S. GAAP”).</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and combined financial statements are presented in United States dollar (“US$”), rounded to the nearest thousand.</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consolidated and combined financial statements have been prepared in accordance with U.S. GAAP assuming the Company will continue as a going concern. The going concern assumption contemplates the realization of assets and satisfaction of liabilities in the normal course of business. However, substantial doubt about the Company’s ability to continue as a going concern exists.</w:t>
      </w:r>
    </w:p>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has incurred losses since its inception. As of December 31, 2023, the Group had an accumulated deficit of US$1,588,773 and net current liabilities of US$873,569. In addition, the Group recorded net cash used in operating activities in the amount of US$386,932 for the year ended December 31, 2023.</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Historically, the Group had relied principally on proceeds from the issuance of redeemable convertible preferred shares, exchangeable notes, convertible notes and related party borrowings to finance its operations and business expansion. The Company will require additional liquidity to continue its operations over the next 12 months.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is evaluating strategies to obtain the required additional funding for future operations. These strategies may include, but are not limited to, obtaining additional loans from banks or related parties and renewal of existing loans when they are due, equity financing, entering into other financing arrangements, and restructuring of operations to grow revenues and decrease expenses. However, given the impact of the uncertainty of global economic and global financial markets, the Group may be unable to access further debt or equity financing when needed. As such, there can be no assurance that the Company will be able to obtain additional liquidity when needed or under acceptable terms, if at all.</w:t>
      </w:r>
    </w:p>
    <w:p>
      <w:pPr>
        <w:spacing w:after="0" w:line="1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consolidated and combined financial statements do not include any adjustments to the carrying amounts and classification of assets, liabilities, and reported expenses that may be necessary if the Group were unable to continue as a going concern.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Principles of Consolidation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and combined financial statements presented herein include the financial statements of the Company, its subsidiaries, the VIE for which WFOE is the primary beneficiary, and the VIE’s subsidiaries. All intercompany transactions and balances have been eliminated.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preparation of the consolidated and combined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 in the consolidated and combined financial statements and accompanying notes. Significant items subject to estimates and assumptions include, but not limited to, standalone selling price of each distinct performance obligation in revenue recognition, lower of cost and net realizable value of inventories, the provision of credit losses of financial assets, useful lives and recoverability of property, equipment and software, recoverability of intangible assets with indefinite useful lives, valuation allowance of deferred tax assets, determination of incremental borrowing rates for leases, estimated product warranties reserve, and fair value determination of i) exchangeable notes; ii) convertible notes; iii) mandatorily redeemable noncontrolling interest; iv) put option liabilities; and v) share-based compensation arrangements. Actual results could differ from those estimates, and as such, differences may be material to the consolidated and combined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Commitments and Contingencies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normal course of business, the Group is subject to loss contingencies, such as legal proceedings and claims arising out of its business, that cover a wide range of matters, including, among others, government investigations, shareholder lawsuits, and non-income tax matters. An accrual for a loss contingency is recognized when it is probable that a liability has been incurred and the amount of loss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Cash</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consists of cash on hand and cash at bank. The Group does not have any cash equivalents as of December 31,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on hand and cash at bank deposited in financial institutions at various locations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balances include deposits in:</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institutions in the mainland of the PRC</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 Denominated in Chinese Renminbi (“RMB”)</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381,890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Denominated in United States Dollars (“US$”)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 Denominated in Great Britain Pound (“GBP”)</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Denominated in Euro Dollar (“EUR”)</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cash balances held at the PRC financial institutions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389,610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715,700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institutions in United Kingdom (“UK”)</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Denominated in GBP</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 Denominated in USD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Denominated in EUR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Denominated in RMB</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balances held at UK financial institutions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17,795</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institutions in Netherlands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 Denominated in GBP</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Denominated in EUR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Denominated in other currencies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balances held at Netherlands financial institutions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5,104</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8,917</w:t>
            </w: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institutions in Germany</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Denominated in EUR</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cash balances held at German financial institutions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2,149</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cash balances held at financial institutions in other jurisdictions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4,283</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cash balances held at financial institutions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418,941</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736,604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on hand</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cash balances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418,941</w:t>
            </w:r>
          </w:p>
        </w:tc>
        <w:tc>
          <w:tcPr>
            <w:tcW w:w="2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Restricted Cash</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that is restricted for withdrawal or use is reported separately on the face of the consolidated balance sheets. The Group’s restricted cash mainly represents deposits made to banks to secure bank acceptance notes, a letter of guarantee, and deposits made to landlords for certain long-term leases.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Derivative financial instruments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Group selectively uses financial instruments to manage market risk associated with exposure to fluctuations in foreign currency rates with foreign exchange forwards, which are measured at fair value and recognized as either assets or liabilities on the consolidated balance sheets. The Group’s derivative instruments are not qualified for hedge accounting, thus changes in fair value are recognized in the consolidated and combined statements of comprehensive loss.</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Group’s derivative instruments were US$67 and nil, respectively, included in “prepayments and other current assets – third parties, net”. The Group recorded the derivative instruments’ fair value gain of US$67, loss of US$2,653 and gain of US$2,229 in “Investment income (loss), net” in the consolidated and combined statements of comprehensive loss for the years ended December 31, 2023, 2022 and 2021,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Short-term investments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Group’s short-term investments represent investments in a convertible note and wealth management products.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has elected the fair value option to account for an investment in a convertible note, including the component related to accrued interest. The Group believes the fair value option best reflects the economics of the underlying transaction. The Group recorded the fair value gain of nil, US$1,316 and nil in “Investment (loss) income, net” in the consolidated and combined statements of comprehensive loss for the years ended December 31, 2023, 2022 and 2021, respectively. There was no balance outstanding as of December 31, 2023 and 2022.</w:t>
      </w:r>
    </w:p>
    <w:p>
      <w:pPr>
        <w:spacing w:after="0" w:line="1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Group’s investments in wealth management products are redeemable at the option of the Group on any working day. The Group elects the fair value option at the date of initial recognition and carries these investments at fair value, since the Group believes the fair value option best reflects the economics of the underlying transactions. Changes in the fair value of these investments are reflected in the consolidated and combined statements of comprehensive loss as “Investment (loss) income, net”. The Group recorded the fair value gain of US$97, US$996 and nil in “Investment income (loss), net” in the consolidated and combined statements of comprehensive loss for the years ended December 31, 2023, 2022 and 2021, respectively. There was no balance outstanding as of December 31, 2023 and 2022.</w:t>
      </w:r>
    </w:p>
    <w:p>
      <w:pPr>
        <w:spacing w:after="0" w:line="14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Investment securities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Group invests in marketable equity securities, which are classified as investments with readily determinable fair values and reported at fair value in the consolidated balance sheets. The unrealized gains and losses on equity securities are reflected in the consolidated and combined statements of comprehensive loss as “Investment (loss) income, net”. As of December 31, 2023 and 2022, the Group’s equity securities were US$3,326 and US$8,411, respectively. The Group recorded the fair value loss of US$5,085, US$2,905 and nil in “Investment (loss) income, net” in the consolidated and combined statements of comprehensive loss for the years ended December 31, 2023, 2022 and 2021, respectively.</w:t>
      </w:r>
    </w:p>
    <w:p>
      <w:pPr>
        <w:spacing w:after="0" w:line="14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(j)</w:t>
      </w:r>
      <w:r>
        <w:rPr>
          <w:sz w:val="20"/>
          <w:szCs w:val="20"/>
          <w:color w:val="auto"/>
        </w:rPr>
        <w:tab/>
      </w:r>
      <w:r>
        <w:rPr>
          <w:rFonts w:ascii="Times New Roman" w:cs="Times New Roman" w:eastAsia="Times New Roman" w:hAnsi="Times New Roman"/>
          <w:sz w:val="17"/>
          <w:szCs w:val="17"/>
          <w:b w:val="1"/>
          <w:bCs w:val="1"/>
          <w:i w:val="1"/>
          <w:iCs w:val="1"/>
          <w:color w:val="auto"/>
        </w:rPr>
        <w:t>Accounts Receivable and expected credit losses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Accounts receivable is recognized in the period when the Group has transferred products or provided services to its customers and when its right to consideration is unconditional. Amounts collected on accounts receivable are included in net cash provided by operating activities in the consolidated and combined statements of cash flows. The Company maintains a specific allowance for doubtful accounts for estimated losses inherent in its accounts receivable portfolio. Accounts receivable balances are reviewed by management individually. Management considers various factors, including historical loss experience, current market conditions, the financial condition of its debtors, any receivables in dispute, the aging of receivables and current payment patterns of its debtors, in establishing the required allowance.</w:t>
      </w:r>
    </w:p>
    <w:p>
      <w:pPr>
        <w:spacing w:after="0" w:line="1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which are deemed to be uncollectible are charged off against the allowance after all means of collection have been exhausted and the potential for recovery is considered remote. The Group does not have any off-balance sheet credit exposure related to its customers. There is a time lag between when the Group estimates a portion of or the entire account balances to be uncollectible and when a write off of the account balances is taken.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(“ASC 326”), which amends previously issued guidance regarding the impairment of financial instruments by creating an impairment model that is based on expected losses rather than incurred losses. The new accounting standard does not apply to loans and receivables between entities under common control. The Group adopted the ASC 326 and several associated ASUs on January 1, 2023 using a modified retrospective approach with accumulative effect recorded as an increase of accumulated deficit in the amount of US$15.</w:t>
      </w:r>
    </w:p>
    <w:p>
      <w:pPr>
        <w:spacing w:after="0" w:line="1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Group assessed that accounts receivable, other receivables, loan receivables, short-term and long-term deposits are within the scope of ASC 326. The Group has identified the relevant risk characteristics of its customers and suppliers, and the related accounts receivable, loan receivables, other current assets and other non-current assets which include size, type of the services or the products the Group provides, or a combination of these characteristics. Receivables with similar risk characteristics have been grouped into pools. For each pool, the Group considers the historical credit loss experience, current economic conditions, supportable forecasts of future economic conditions, and any recoveries in assessing the lifetime expected credit losses, etc. Other key factors that influence the expected credit loss analysis include customer demographics, payment terms offered in the normal course of business to customers, and industry-specific factors that could impact the Group’s receivables. Additionally, external data and macroeconomic factors are also considered. This is assessed at each quarter based on the Group’s specific facts and circumstances.</w:t>
      </w:r>
    </w:p>
    <w:p>
      <w:pPr>
        <w:spacing w:after="0" w:line="15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historical credit loss rates for each category of deposits and other receivables and also considers forward looking macroeconomic data in making its loss accrual determinations.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Inventories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calculated on specific identification or the weighted average basis and includes all costs to acquire and other costs to bring the inventories to their present location and condition. The Group records inventory write-downs for excess or obsolete inventories based upon assumptions on current and future demand forecasts. If the inventory on hand is in excess of future demand forecast, the excess amounts are written off. The Group also reviews inventory to determine whether its carrying value exceeds the net amount realizable upon the ultimate sale of the inventory. This requires the determination of the estimated selling price of the vehicles less the estimated cost to convert inventory on hand into a finished product. Once inventory is written-down, a new, lower-cost basis for that inventory is established and subsequent changes in facts and circumstances do not result in the restoration or increase in that newly established cost basis.</w:t>
      </w:r>
    </w:p>
    <w:p>
      <w:pPr>
        <w:spacing w:after="0" w:line="14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(l)</w:t>
      </w:r>
      <w:r>
        <w:rPr>
          <w:sz w:val="20"/>
          <w:szCs w:val="20"/>
          <w:color w:val="auto"/>
        </w:rPr>
        <w:tab/>
      </w:r>
      <w:r>
        <w:rPr>
          <w:rFonts w:ascii="Times New Roman" w:cs="Times New Roman" w:eastAsia="Times New Roman" w:hAnsi="Times New Roman"/>
          <w:sz w:val="17"/>
          <w:szCs w:val="17"/>
          <w:b w:val="1"/>
          <w:bCs w:val="1"/>
          <w:i w:val="1"/>
          <w:iCs w:val="1"/>
          <w:color w:val="auto"/>
        </w:rPr>
        <w:t>Equity investments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Group applies the equity method to account for equity interests in investees over which the Group has significant influence but does not own a majority equity interest or otherwise control. Under the equity method, the Group initially records its investments at cost and the difference between the cost of the equity investee and the fair value of the underlying equity in the net assets of the equity investee is recognized as equity method goodwill, which is included in the equity method investment on the consolidated balance sheets. The Group subsequently adjusts the carrying amount of the investments to recognize our proportionate share of each equity investee’s net income or loss into earnings after the date of investment. An impairment loss on the equity method investments is recognized in earnings when the decline in value is determined to be other-than-temporary. There was no equity method goodwill recognized.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Property, equipment and software,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equipment and software are stated at cost less accumulated depreciation and impairment, if any.</w:t>
      </w:r>
    </w:p>
    <w:p>
      <w:pPr>
        <w:spacing w:after="0" w:line="18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Depreciation on property, equipment and software is calculated on the straight-line method over the estimated useful lives of the assets as follows:</w:t>
      </w:r>
    </w:p>
    <w:p>
      <w:pPr>
        <w:spacing w:after="0" w:line="207" w:lineRule="exact"/>
        <w:rPr>
          <w:sz w:val="20"/>
          <w:szCs w:val="20"/>
          <w:color w:val="auto"/>
        </w:rPr>
      </w:pPr>
    </w:p>
    <w:tbl>
      <w:tblPr>
        <w:tblLayout w:type="fixed"/>
        <w:tblInd w:w="1000" w:type="dxa"/>
        <w:tblCellMar>
          <w:top w:w="0" w:type="dxa"/>
          <w:left w:w="0" w:type="dxa"/>
          <w:bottom w:w="0" w:type="dxa"/>
          <w:right w:w="0" w:type="dxa"/>
        </w:tblCellMar>
      </w:tblPr>
      <w:tr>
        <w:trPr>
          <w:trHeight w:val="22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R&amp;D equipment</w:t>
            </w: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Molds and tooling</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10 years</w:t>
            </w:r>
          </w:p>
        </w:tc>
      </w:tr>
      <w:tr>
        <w:trPr>
          <w:trHeight w:val="22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 5 years</w:t>
            </w:r>
          </w:p>
        </w:tc>
      </w:tr>
      <w:tr>
        <w:trPr>
          <w:trHeight w:val="22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Office and electronic equipment</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3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2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shorter of estimated</w:t>
            </w:r>
          </w:p>
        </w:tc>
      </w:tr>
      <w:tr>
        <w:trPr>
          <w:trHeight w:val="230"/>
        </w:trPr>
        <w:tc>
          <w:tcPr>
            <w:tcW w:w="4120" w:type="dxa"/>
            <w:vAlign w:val="bottom"/>
          </w:tcPr>
          <w:p>
            <w:pPr>
              <w:spacing w:after="0"/>
              <w:rPr>
                <w:sz w:val="19"/>
                <w:szCs w:val="19"/>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useful life of the assets and</w:t>
            </w:r>
          </w:p>
        </w:tc>
      </w:tr>
      <w:tr>
        <w:trPr>
          <w:trHeight w:val="234"/>
        </w:trPr>
        <w:tc>
          <w:tcPr>
            <w:tcW w:w="4120" w:type="dxa"/>
            <w:vAlign w:val="bottom"/>
          </w:tcPr>
          <w:p>
            <w:pPr>
              <w:spacing w:after="0"/>
              <w:rPr>
                <w:sz w:val="20"/>
                <w:szCs w:val="20"/>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 terms</w:t>
            </w:r>
          </w:p>
        </w:tc>
      </w:tr>
    </w:tbl>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Construction in progress represents property and equipment under construction. Construction in progress is transferred to property and equipment and depreciation commences when an asset is ready for its intended use.</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items are retired or otherwise disposed of, income is charged or credited for the difference between net book value and the proceeds received thereon. Ordinary maintenance and repairs are charged to expense as incurred.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Operating Leases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determines if an arrangement is or contains a lease at its inception. All of the Group’s leases are operating leases.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recognizes lease liabilities and right-of-use (“ROU”) assets at lease commencement date. Lease liabilities are measured at the present value of unpaid lease payments at the lease commencement date and are subsequently measured at amortized cost using the effective-interest method. Since the Group’s leases do not provide an implicit rate, the Group uses its own incremental borrowing rate in determining the present value of unpaid lease payments. The incremental borrowing rate was determined based on the rate of interest that the Group would have to borrow an amount equal to the lease payments on a collateralized basis over a similar term. The incremental borrowing rate is primarily influenced by the risk-free interest rate of China and the US, the Company’s credit rating and lease term, and is updated for measurement of new lease liabilities.</w:t>
      </w:r>
    </w:p>
    <w:p>
      <w:pPr>
        <w:spacing w:after="0" w:line="1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ROU assets are initially measured at cost, which consist of (i) initial measurement of the lease liability; (ii) lease payments made to the lessor at or before the commencement date less any lease incentives received; and (iii) initial direct costs incurred by the Group. Variable lease payments are excluded from the measurement of ROU assets and lease liabilities and are recognized in the period in which the obligation for those payments is incurred. For operating leases, the Group recognizes a single lease cost on a straight-line basis over the remaining lease term.</w:t>
      </w:r>
    </w:p>
    <w:p>
      <w:pPr>
        <w:spacing w:after="0" w:line="1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Group has elected not to recognize ROU assets and lease liabilities for short-term leases (i.e. leases that, at the commencement date, have a lease term of 12 months or less and do not include an option to purchase the underlying asset that the lessee is reasonably certain to exercise). As a practical expedient, the Group has elected that for all leases, where it is the lessee, not to separate non-lease components from lease components and instead to account for all lease and non-lease components associated with each lease as a single lease component.</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lease is modified and that modification is not accounted for as a separate contract, the classification of the lease is reassessed as of the effective date of the modification based on its modified terms and conditions and the facts and circumstances as of that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Intangible Assets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Intangible assets with indefinite useful lives represent acquired license plates and trademark licenses since the Group has the right and the intention to continue to use the license plates and trademark licenses for as long as the Group conducts the business in relation to lifestyle vehicles (excluding sports car). The Group evaluates indefinite-lived intangible assets each reporting period to determine whether events and circumstances continue to support indefinite useful lives. The value of indefinite-lived intangible assets is not amortized but tested for impairment annually or whenever events or changes in circumstances indicate that the carrying value of the assets may not be recoverable.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Land use rights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Land use rights in Chinese mainland represents an exclusive right to occupy, use and develop a piece of land during the contractual term of the land use right. The cost of a land use right is usually paid in one lump sum at the date the right is granted. The prepayment usually covers the entire period of the land use rights. Land use rights are recorded in operating lease right-of-use assets with lease term of 40 years to 50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Impairment of Long-lived Assets and intangible assets with indefinite lives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Long-lived assets, including property, equipment and software and ROU assets are evaluated for impairment whenever events or changes in circumstances indicate that the carrying value of an asset or asset group may not be fully recoverable or that the useful life is shorter than the Group had originally estimated. When these events occur, the Group evaluates the impairment for the long-lived assets or asset group by comparing the carrying value of the assets or asset group to an estimate of future undiscounted cash flows expected to be generated from the use of the assets or asset group and their eventual disposition. If the sum of the expected future undiscounted cash flows is less than the carrying value of the assets or asset group, the Group recognizes an impairment loss based on the excess of the carrying value of the assets or asset group over the fair value of the assets or asset group. No such impairment losses were recorded for the years ended December 31, 2023, 2022 and 2021.</w:t>
      </w:r>
    </w:p>
    <w:p>
      <w:pPr>
        <w:spacing w:after="0" w:line="1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Intangible assets with indefinite lives are tested for impairment at least annually and more frequently if events or changes in circumstances indicate that it is more likely than not that the assets are impaired. The Group first performs a qualitative assessment to assess all relevant events and circumstances that could affect the significant inputs used to determine the fair value of the indefinite-lived intangible asset. If after performing the qualitative assessment, the Group determines that it is more likely than not that the indefinite-lived intangible asset is impaired, the Group calculates the fair value of the intangible asset and performs a quantitative impairment test by comparing the fair value of the asset with its carrying amount. If the carrying amount of an indefinite-lived intangible asset exceeds its fair value, the Group recognizes an impairment loss in an amount equal to that excess. The Group did not record any impairment charges for the years ended December 31, 2023, 2022 and 2021.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Value Added Taxes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Entities that are VAT general taxpayers are permitted to offset qualified input VAT paid to suppliers against their output VAT upon receipt of appropriate supplier VAT invoices on an entity by entity basis. When the output VAT exceeds the input VAT, the difference is remitted to tax authorities, usually on a monthly basis; whereas when the input VAT exceeds the output VAT, the difference is treated as VAT recoverable which can be carried forward indefinitely to offset future net VAT payables or be refunded upon application. VAT related to purchases and sales which have not been settled at the balance sheet date is disclosed separately as an asset and liability, respectively, in the consolidated balance sheets.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Warranties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Group provides standard warranties on BEV lifestyle models based on the contracts with its customers at the time of sale of BEV lifestyle models. The Group accrues a warranty reserve for the new BEV lifestyle models sold by the Group, which included the Group’s best estimate of the future costs to be incurred in order to repair or replace items under warranties and recalls when identified. These estimates are made primarily based on the estimates of the nature, frequency and costs of future claims. These estimates are inherently uncertain given the Group’s relatively short history of sales, and changes to the historical or projected warranty experience may cause material changes to the warranty reserve in the future. The portion of the warranty reserve expected to be incurred within the next 12 months is included within the accrued expenses and other current liabilities while the remaining balance is included within other non-current liabilities in the consolidated balance sheets. Warranty cost is recorded as a component of cost of revenues in the consolidated and combined statements of comprehensive loss. The Group reevaluates the adequacy of the warranty accrual on a regular basis.</w:t>
      </w:r>
    </w:p>
    <w:p>
      <w:pPr>
        <w:spacing w:after="0" w:line="16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recognizes the benefit from a recovery of the costs associated with the warranty when specifics of the recovery have been agreed with the Group’s suppliers and the amount of the recovery is virtually certain.</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Group does not consider standard warranty as being a separate performance obligation as it is intended to provide assurance-type warranty to customers that ensures that products will function as intended and is not viewed as a distinct obligation. Accordingly, standard warranty is accounted for in accordance with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The Group also provides lifetime warranty subject to certain conditions through a vehicle sales contract. The lifetime warranty is an incremental service offered to customers and is considered a separate performance obligation distinct from other promises and should be accounted for in accordance with ASC 606.</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movement of warranty reserve: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60" w:type="dxa"/>
            <w:vAlign w:val="bottom"/>
          </w:tcPr>
          <w:p>
            <w:pPr>
              <w:spacing w:after="0"/>
              <w:rPr>
                <w:sz w:val="16"/>
                <w:szCs w:val="16"/>
                <w:color w:val="auto"/>
              </w:rPr>
            </w:pPr>
          </w:p>
        </w:tc>
        <w:tc>
          <w:tcPr>
            <w:tcW w:w="17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4"/>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at beginning of the year</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Accrued warranty at end of the year</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7,022</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Including: Current portion of warranty</w:t>
            </w: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vMerge w:val="continue"/>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warranty</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2022 and 2021, nil warranty provision was recognized.</w:t>
      </w:r>
    </w:p>
    <w:p>
      <w:pPr>
        <w:spacing w:after="0" w:line="18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(t)</w:t>
      </w:r>
      <w:r>
        <w:rPr>
          <w:sz w:val="20"/>
          <w:szCs w:val="20"/>
          <w:color w:val="auto"/>
        </w:rPr>
        <w:tab/>
      </w:r>
      <w:r>
        <w:rPr>
          <w:rFonts w:ascii="Times New Roman" w:cs="Times New Roman" w:eastAsia="Times New Roman" w:hAnsi="Times New Roman"/>
          <w:sz w:val="17"/>
          <w:szCs w:val="17"/>
          <w:b w:val="1"/>
          <w:bCs w:val="1"/>
          <w:i w:val="1"/>
          <w:iCs w:val="1"/>
          <w:color w:val="auto"/>
        </w:rPr>
        <w:t>Fair Value Measurements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represents the price that would be received from selling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Accounting guidance defines fair value, establishes a framework for measuring fair value and expands disclosures about fair value measurements. Accounting guidance establishes a three-level fair value hierarchy and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are:</w:t>
      </w:r>
    </w:p>
    <w:p>
      <w:pPr>
        <w:spacing w:after="0" w:line="1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Level 2 — Include other inputs that are directly or indirectly observable in the marketplace.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Level 3 — Unobservable inputs which are supported by little or no market activity.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 Revenue recognition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is recognized when or as the control of the goods or services is transferred to customers. Control of the goods and services may be transferred over time or at a point in time. Control of the goods and services is transferred over time if the Group’s performance:</w:t>
      </w:r>
    </w:p>
    <w:p>
      <w:pPr>
        <w:spacing w:after="0" w:line="135" w:lineRule="exact"/>
        <w:rPr>
          <w:sz w:val="20"/>
          <w:szCs w:val="20"/>
          <w:color w:val="auto"/>
        </w:rPr>
      </w:pPr>
    </w:p>
    <w:p>
      <w:pPr>
        <w:ind w:left="680" w:hanging="321"/>
        <w:spacing w:after="0"/>
        <w:tabs>
          <w:tab w:leader="none" w:pos="6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all of the benefits received and consumed simultaneously by the customer;</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and enhances an asset that the customer controls as the Group performs; or</w:t>
      </w:r>
    </w:p>
    <w:p>
      <w:pPr>
        <w:spacing w:after="0" w:line="9" w:lineRule="exact"/>
        <w:rPr>
          <w:rFonts w:ascii="Times New Roman" w:cs="Times New Roman" w:eastAsia="Times New Roman" w:hAnsi="Times New Roman"/>
          <w:sz w:val="18"/>
          <w:szCs w:val="18"/>
          <w:color w:val="auto"/>
        </w:rPr>
      </w:pPr>
    </w:p>
    <w:p>
      <w:pPr>
        <w:ind w:left="680" w:right="20" w:hanging="321"/>
        <w:spacing w:after="0" w:line="260" w:lineRule="auto"/>
        <w:tabs>
          <w:tab w:leader="none" w:pos="6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create an asset with an alternative use to the Group and the Group has an enforceable right to payment for performance completed to date.</w:t>
      </w:r>
    </w:p>
    <w:p>
      <w:pPr>
        <w:spacing w:after="0" w:line="1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Contracts with customers may include multiple performance obligations. For such arrangements, the Group allocates overall contract price to each distinct performance obligation based on its relative standalone selling price. The Group generally determines standalone selling prices for each individual distinct performance obligation identified based on the observable prices charged to customers. If the standalone selling price is not directly observable, it is estimated using expected cost plus a margin, depending on the availability of observable information, the data utilized, and considering the Group’s pricing policies and practices in making pricing decisions. Assumptions and estimations have been made in estimating the relative selling price of each distinct performance obligation, and changes in judgements on these assumptions and estimates may affect revenue recognition.</w:t>
      </w:r>
    </w:p>
    <w:p>
      <w:pPr>
        <w:spacing w:after="0" w:line="16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When either party to a contract has performed, the Group presents the contract on the consolidated balance sheets as a contract asset, a receivable or a contract liability.</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contract asset is recorded when the Group transfers a good or service to the customer before being unconditionally entitled to the consideration under the payment terms set out in the contract. A receivable is recorded when the Group has an unconditional right to consideration. A right to consideration is unconditional if only the passage of time is required before payment of that consideration is due.</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customer pays consideration or the Group has a right to an amount of consideration that is unconditional, before the Group transfers a good or service to the customer, the Group presents a contract liability when the payment is received or receivable. A contract liability is the Group’s obligation to transfer goods or services to a customer for which the Group has received consideration (or an amount of consideration is due) from the customer.</w:t>
      </w:r>
    </w:p>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generates revenue from sales of vehicles and any bundled products and services to end-users and distributors. The Group also generates revenue from provision of automotive design and development services to various automobile manufacturers. Further details of the Group’s revenue recognition policies are as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transactions with end-users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BEV lifestyle models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started to deliver BEV lifestyle models to customers in March 2023. In certain countries, the Group sells BEV lifestyle models together with a number of bundled products and services. In those cases, the contracts with the customers include multiple distinct goods and services which are accounted for as separate performance obligations, including household charging pile or charging card with a specified spending amount (at the option of the customers), premium version of intelligent driving system and its subsequent upgrades, unlimited free battery charging in specified super charging stations operated by the Group for a specified period, lifetime warranty, maintenance services for a specified period and lifetime vehicle internet connection services.</w:t>
      </w:r>
    </w:p>
    <w:p>
      <w:pPr>
        <w:spacing w:after="0" w:line="1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Transaction price is allocated to each performance obligation based on the relative standalone selling price and the allocated price is recognized as revenue as follows:</w:t>
      </w:r>
    </w:p>
    <w:p>
      <w:pPr>
        <w:spacing w:after="0" w:line="119" w:lineRule="exact"/>
        <w:rPr>
          <w:sz w:val="20"/>
          <w:szCs w:val="20"/>
          <w:color w:val="auto"/>
        </w:rPr>
      </w:pPr>
    </w:p>
    <w:p>
      <w:pPr>
        <w:ind w:left="680" w:hanging="321"/>
        <w:spacing w:after="0" w:line="262" w:lineRule="auto"/>
        <w:tabs>
          <w:tab w:leader="none" w:pos="6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 from </w:t>
      </w:r>
      <w:r>
        <w:rPr>
          <w:rFonts w:ascii="Times New Roman" w:cs="Times New Roman" w:eastAsia="Times New Roman" w:hAnsi="Times New Roman"/>
          <w:sz w:val="18"/>
          <w:szCs w:val="18"/>
          <w:i w:val="1"/>
          <w:iCs w:val="1"/>
          <w:color w:val="auto"/>
        </w:rPr>
        <w:t>Eletre</w:t>
      </w:r>
      <w:r>
        <w:rPr>
          <w:rFonts w:ascii="Times New Roman" w:cs="Times New Roman" w:eastAsia="Times New Roman" w:hAnsi="Times New Roman"/>
          <w:sz w:val="18"/>
          <w:szCs w:val="18"/>
          <w:color w:val="auto"/>
        </w:rPr>
        <w:t xml:space="preserve"> is recognized at a point in time when the control of </w:t>
      </w:r>
      <w:r>
        <w:rPr>
          <w:rFonts w:ascii="Times New Roman" w:cs="Times New Roman" w:eastAsia="Times New Roman" w:hAnsi="Times New Roman"/>
          <w:sz w:val="18"/>
          <w:szCs w:val="18"/>
          <w:i w:val="1"/>
          <w:iCs w:val="1"/>
          <w:color w:val="auto"/>
        </w:rPr>
        <w:t>Eletre</w:t>
      </w:r>
      <w:r>
        <w:rPr>
          <w:rFonts w:ascii="Times New Roman" w:cs="Times New Roman" w:eastAsia="Times New Roman" w:hAnsi="Times New Roman"/>
          <w:sz w:val="18"/>
          <w:szCs w:val="18"/>
          <w:color w:val="auto"/>
        </w:rPr>
        <w:t xml:space="preserve"> is transferred to the customer, which is the point in time when the customer takes possession of and accepts the vehicle.</w:t>
      </w:r>
    </w:p>
    <w:p>
      <w:pPr>
        <w:ind w:left="680" w:right="20" w:hanging="321"/>
        <w:spacing w:after="0" w:line="250" w:lineRule="auto"/>
        <w:tabs>
          <w:tab w:leader="none" w:pos="6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installed premium intelligent driving system is recognized when the functionality is activated, and the portion related to upgrades is recognized ratably over the estimated period of vehicle usage by the customer.</w:t>
      </w:r>
    </w:p>
    <w:p>
      <w:pPr>
        <w:ind w:left="680" w:hanging="321"/>
        <w:spacing w:after="0" w:line="250" w:lineRule="auto"/>
        <w:tabs>
          <w:tab w:leader="none" w:pos="6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household charging pile is recognized at a point in time when the charging pile is installed at customer’s designated location.</w:t>
      </w:r>
    </w:p>
    <w:p>
      <w:pPr>
        <w:ind w:left="680" w:hanging="321"/>
        <w:spacing w:after="0"/>
        <w:tabs>
          <w:tab w:leader="none" w:pos="6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charging cards is recognized when the customer uses the card to redeem for charging services.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free battery charging service is recognized ratably over the specified service period of vehicle usage by the customer.</w:t>
      </w:r>
    </w:p>
    <w:p>
      <w:pPr>
        <w:ind w:left="680" w:hanging="321"/>
        <w:spacing w:after="0" w:line="250" w:lineRule="auto"/>
        <w:tabs>
          <w:tab w:leader="none" w:pos="6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lifetime warranty is recognized ratably over the estimated extended warranty period with reference to the standard warranty offered by the Group in other vehicles sales.</w:t>
      </w:r>
    </w:p>
    <w:p>
      <w:pPr>
        <w:ind w:left="680" w:right="20" w:hanging="321"/>
        <w:spacing w:after="0" w:line="250" w:lineRule="auto"/>
        <w:tabs>
          <w:tab w:leader="none" w:pos="6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maintenance services is recognized over the service period based on the number of maintenance services delivered to date relative to the estimated remaining number of maintenance services to be delivered.</w:t>
      </w:r>
    </w:p>
    <w:p>
      <w:pPr>
        <w:ind w:left="680" w:right="20" w:hanging="321"/>
        <w:spacing w:after="0" w:line="260" w:lineRule="auto"/>
        <w:tabs>
          <w:tab w:leader="none" w:pos="6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vehicle internet connection services is recognized ratably over the estimated useful life of the vehicle as this service is transferrable from the customer to another car user if the customer resells the vehicle.</w:t>
      </w:r>
    </w:p>
    <w:p>
      <w:pPr>
        <w:spacing w:after="0" w:line="1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Initial refundable deposits received from customers for intention orders prior to vehicle purchase agreements are signed are recognized as refundable deposits from customers (accrued expenses and other current liabilities). When vehicle purchase agreements are signed, these initial deposits are reclassified to contract liabilities. Any other non-refundable payments received prior to the transfer of goods or services are also recognized as contract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sports cars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generates revenue from the distribution of Lotus-brand sports cars developed and produced by LCL. Revenue from sports cars sales is recognized at a point in time, when the control of the sports cars is transferred to the customer, which is the point in time when the customer takes possession of and accepts the sports cars.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Group follows the guidance on immaterial promises when identifying performance obligations in the vehicle sales and concludes that free pick-up and delivery service for maintenance, door-to-door troubleshooting and lifetime roadside assistance are immaterial and therefore the Group does not assess whether these promised services are performance obligations. When reaching this conclusion, the Group considered that these promises are value-added services to enhance customer experience rather than critical items for vehicle driving and forecasted that usage of these services will be very limited. The Group also performs an estimation on the standalone fair value of each promise applying a cost plus margin approach and concludes that the standalone fair value of foresaid services are insignificant individually and in aggregate, representing less than 1% of vehicle gross selling price and aggregate fair value of each individual promise.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transactions with distributors and business customers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Apart from selling vehicles to end-users, the Group also sells vehicles to distributors and business customers and parts to distributors. In the sales transactions with distributors and business customers, the Group’s only promise is to deliver the vehicles or parts to the distributors and business customers. Revenue from sales to distributors and business customers is recognized at a point in time, when the control of the vehicles or parts is transferred to the distributors and business customers, which is the point in time when the distributors and business customers take possession of and accept the vehicles or parts.</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BEV lifestyle models standard warranty is provided by the Group and sports cars standard warranty is provided by LCL. The estimated costs for the standard warranty provided by the Group are recorded as a liability when the Group transfers the control of vehicle or parts to an end user or business customer.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of automotive design and development services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generates revenue by provision of automotive design and development services. As the customer simultaneously receives and consumes the benefits provided by the Group’s performance as the Group performs, revenue is recognized over time, using the output or input method.</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Costs incurred to fulfill such service contracts which are not in the scope of other guidance are recognized as contract cost assets when those costs:</w:t>
      </w:r>
    </w:p>
    <w:p>
      <w:pPr>
        <w:spacing w:after="0" w:line="121" w:lineRule="exact"/>
        <w:rPr>
          <w:sz w:val="20"/>
          <w:szCs w:val="20"/>
          <w:color w:val="auto"/>
        </w:rPr>
      </w:pPr>
    </w:p>
    <w:p>
      <w:pPr>
        <w:ind w:left="680" w:hanging="321"/>
        <w:spacing w:after="0"/>
        <w:tabs>
          <w:tab w:leader="none" w:pos="6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directly to the service contracts that the Group can specifically identify;</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expected to be recovered;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or enhance resources of the Group that will be used in satisfying performance obligations in the future.</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of sales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goods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 of sales of goods primarily consists of purchase costs of vehicles, charging piles, parts and accessories, depreciation of molds tooling equipment, warehousing transportation costs and customs duties. Cost of vehicle sales also includes reserves for estimated warranty expenses and charges to write-down the carrying value of the inventory when it exceeds its estimated net realizable value.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services generally includes cost of direct parts, materials, and costs associated with providing extended warranty service and after-sales services, depreciation of associated assets used for providing services, labor costs, rental expenses, consumed materials and depreciation of associated assets used for providing the automotive design and development services.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 Research and development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costs associated with research and development (“R&amp;D”) are expensed as incurred. R&amp;D expenses consist primarily of salaries, bonuses and benefits for those employees engaged in research, design and development activities, license fees, outsourced development expenses, materials, rental expenses, depreciation of equipment and software of R&amp;D activities and other expenses.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 Selling and Marketing Expenses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Selling and marketing expenses mainly consist of advertising costs and market promotion expenses, payroll and related expenses for personnel engaged in selling and marketing activities and rental and depreciation expenses relating to facilities and equipment used by those employees. The Group expenses all advertising expenditures as incurred and classifies these costs as selling and marketing expenses. For the years ended December 31, 2023, 2022 and 2021, advertising expenditures totaled US$150,920, US$90,431 and US$21,207,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  General and Administrative Expenses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mainly consist of payroll and related costs for employees involved in general corporate functions, expenses associated with the use of facilities and equipment by these employees, depreciation and amortization expenses, primarily consisting of depreciation and amortization of leasehold improvements, IT equipment and software, professional service fees and other general corporate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  Government Grants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Government grants are recognized when there is reasonable assurance that the Group will comply with the conditions attached to it and the grants will be received.</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Government grants that are received in advance relating to the compensation of R&amp;D costs incurred are initially recognized in deferred income in the consolidated balance sheets and subsequently amortized and recognized as government grants in the consolidated and combined statements of comprehensive loss over the period necessary to match them with the R&amp;D costs that they are intended to compensate.</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Government grants that are received in advance relating to the acquisition of an asset are initially recognized in deferred income in the consolidated balance sheets and subsequently amortized and recognized as government grants in the consolidated and combined statements of comprehensive loss as the assets are depreciated.</w:t>
      </w:r>
    </w:p>
    <w:p>
      <w:pPr>
        <w:spacing w:after="0" w:line="1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Government grant for the purpose of giving immediate financial support to the Group with no future related costs is recognized as government grants in the Group’s consolidated and combined statements of comprehensive loss when the grant becomes receivable.</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received government grants of US$4,077, US$870 and US$233 with no future related costs required during the years ended December 31, 2023,2022 and 2021, which were directly recognized as government grants in the consolidated and combined statements of comprehensive loss for the years ended December 31, 2023, 2022 and 2021,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(aa) Employee Benefits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Group compensates its employees through short-term employee benefits and defined contribution plans. Short-term employee benefits consist of salaries, social benefit costs, paid annual leave, and bonuses that are expected to be settled within twelve months of the reporting period in which services are rendered. Short-term employee benefits are recognized at the undiscounted amounts expected to be paid when the liabilities are settled and presented within accrued expenses and other current liabilities in the consolidated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defined contribution plans, premiums are paid monthly to a separate legal entity or the local labor bureau that manages pension plans on behalf of various employers. The Group has no further commitments beyond its monthly contribution. Contributions payable are recognized in the reporting period in which services are rendered and presented within accrued expenses and other current liabilities in the consolidated balance sheets. Contribution rates are unique to each employee in Netherlands, while the contribution rates are standard in UK, Germany and Chinese mainland.</w:t>
      </w:r>
    </w:p>
    <w:p>
      <w:pPr>
        <w:spacing w:after="0" w:line="1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Employee social benefits included as expenses in the accompanying consolidated and combined statements of comprehensive loss amounted to US$46,969, US$36,534 and US$15,324 for the years ended December 31, 2023, 2022 and 2021,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(bb) Share-based compensation</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Share-based awards granted to the employees and non-employee service providers in the form of share options are subject to service and performance conditions. They are measured at the grant date fair value of the awards, and are recognized as compensation expense using the graded attribution over the requisite service period, if and when the Group considers that it is probable that the performance condition will be achieved. The fair value of the share awards is estimated using the binomial option pricing model and is affected by the price of the ordinary shares as well as the assumptions regarding a number of complex and subjective variables, including risk-free interest rate, exercise multiple and expected dividend yield. The fair value of these awards was determined by management with the assistance from a valuation report prepared by an independent valuation firm using management’s estimates and assumptions. The Group elects to recognize the effect of forfeitures in compensation costs when they occur. To the extent the required vesting conditions are not met resulting in the forfeiture of the share-based awards, previously recognized compensation expense relating to those awards is reversed.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(cc) Income Taxes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Group accounts for income taxes using the asset and liability method in accordance with ASC 740, Income Tax. Current income taxes are provided on the basis of income before income taxes for financial reporting purposes and adjusted for income and expense items which are not assessable or deductible for income tax purposes, in accordance with the regulations of the relevant tax jurisdictions. Under this method, deferred tax assets and liabilities are recognized for the future tax consequences attributable to differences between the financial statement carrying amounts of existing assets and liabilities and their respective tax bases and for operating loss and tax credit carryforwards. Deferred tax assets and liabilities are measured using enacted tax laws and rates expected to apply to taxable income in the years in which those temporary differences are expected to be recovered or settled. The effect of a change in tax rates on deferred tax assets and liabilities is recognized in the consolidated and combined statements of comprehensive loss in the period that includes the enactment date. A valuation allowance is provided to reduce the amount of deferred income tax assets if based on the weight of available evidence, it is more-likely-than-not that some portion, or all, of the deferred income tax assets will not be realized. This assessment considers, among other matters, the nature, frequency and severity of current and cumulative losses, forecasts of futures profitability, the duration of statutory carry forward periods, the Group’s experience with operating loss and tax credit carry forwards, if any, not expiring.</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Group applies a “more-likely-than-not” recognition threshold in the evaluation of uncertain tax positions. The Group recognizes the benefit of a tax position in its consolidated and combined financial statements if the tax position is “more-likely-than-not” to prevail based on the facts and technical merits of the position. Tax positions that meet the “more-likely-than-not” recognition threshold are measured at the largest amount of tax benefit that has a greater than fifty percent likelihood of being realized upon settlement. Unrecognized tax benefits may be affected by changes in interpretation of laws, rulings of tax authorities, tax audits, and expiry of statutory limitations. In addition, changes in facts, circumstances and new information may require the Group to adjust the recognition and measurement estimates with regard to individual tax positions. Accordingly, unrecognized tax benefits are periodically reviewed and re-assessed. Adjustments, if required, are recorded in the Group’s consolidated and combined financial statements in the period in which the change that necessities the adjustments occur. The ultimate outcome for a particular tax position may not be determined with certainty prior to the conclusion of a tax audit and, in certain circumstances, a tax appeal or litigation process. The Group records interest and penalties related to unrecognized tax benefits (if any) in income tax expenses.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(dd) Foreign Currency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reporting currency is US$. The functional currency of the Company and its subsidiaries in Hong Kong is US$. The functional currency of the Company’s subsidiaries in Chinese mainland is RMB. The functional currency of the entities incorporated in UK is GBP. The functional currency of the entities incorporated in Netherlands and Germany is Euro. The Group’s entities incorporated in other jurisdictions generally use their respective local currencies as their functional currencies.</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re-measured into the functional currency at the exchange rates prevailing at the dates of the transactions. Monetary assets and liabilities denominated in a foreign currency are remeasured into the functional currency using the applicable exchange rate at the balance sheet dates. The resulted exchange differences are recorded as foreign currency exchange gains (losses), net in the consolidated and combined statements of comprehensive loss.</w:t>
      </w:r>
    </w:p>
    <w:p>
      <w:pPr>
        <w:spacing w:after="0" w:line="1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entities with functional currencies other than the US$ are translated from the functional currency into US$. Assets and liabilities are translated into US$ using the applicable exchange rates at the balance sheet dates. Equity accounts other than deficit generated in the current period are translated into US$ using the appropriate historical rates. Revenues, expenses, gains and losses are translated into US$ using the average exchange rates for the relevant periods. The resulted foreign currency translation adjustments are recorded as a component of other comprehensive loss in the consolidated and combined statements of comprehensive loss, and the accumulated foreign currency translation adjustments are recorded as a component of accumulated other comprehensive loss in the consolidated and combined statements of changes in shareholders’ equity (deficit).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(ee) Concentration and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 and suppliers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Group’s accounts receivables – related parties are mainly due from Zhejiang Geely Holding Group (“Geely Holding”) and its subsidiaries (collectively as “Geely Group”), representing 97.57% and 96.24% of the Group’s accounts receivable — related parties as of December 31, 2023 and 2022, respectively. During the years ended December 31, 2023, 2022 and 2021, Geely Group contributed US$11,031, US$8,036 and US$3,280 of the Group’s total revenues, respectively.</w:t>
      </w:r>
    </w:p>
    <w:p>
      <w:pPr>
        <w:spacing w:after="0" w:line="1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third-party customer contributed more than 10.0% of the Group’s total revenues for years ended December 31, 2023, 2022 and 2021.</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balances with greater than 10.0% the Group’s accounts receivable balances as of December 31, 2023 and 2022 were as follows.</w:t>
      </w:r>
    </w:p>
    <w:p>
      <w:pPr>
        <w:spacing w:after="0" w:line="19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24765</wp:posOffset>
            </wp:positionV>
            <wp:extent cx="13112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2" w:lineRule="exact"/>
        <w:rPr>
          <w:sz w:val="20"/>
          <w:szCs w:val="20"/>
          <w:color w:val="auto"/>
        </w:rPr>
      </w:pPr>
    </w:p>
    <w:p>
      <w:pPr>
        <w:jc w:val="both"/>
        <w:ind w:left="8260"/>
        <w:spacing w:after="0"/>
        <w:tabs>
          <w:tab w:leader="none" w:pos="94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9"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4"/>
          <w:szCs w:val="14"/>
          <w:b w:val="1"/>
          <w:bCs w:val="1"/>
          <w:i w:val="1"/>
          <w:iCs w:val="1"/>
          <w:color w:val="auto"/>
        </w:rPr>
        <w:t>proportion of total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-95250</wp:posOffset>
            </wp:positionV>
            <wp:extent cx="13112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8"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4"/>
          <w:szCs w:val="14"/>
          <w:b w:val="1"/>
          <w:bCs w:val="1"/>
          <w:i w:val="1"/>
          <w:iCs w:val="1"/>
          <w:color w:val="auto"/>
        </w:rPr>
        <w:t>receivable balance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 Group</w:t>
            </w:r>
          </w:p>
        </w:tc>
        <w:tc>
          <w:tcPr>
            <w:tcW w:w="4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22.09 %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95.00 %</w:t>
            </w: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Suppliers contributed more than 10.0% of total purchases for the years ended December 31, 2023 2022 and 2021 are as below.</w:t>
      </w:r>
    </w:p>
    <w:p>
      <w:pPr>
        <w:spacing w:after="0" w:line="259"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4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28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proportion of total costs and expenses</w:t>
            </w:r>
          </w:p>
        </w:tc>
        <w:tc>
          <w:tcPr>
            <w:tcW w:w="160" w:type="dxa"/>
            <w:vAlign w:val="bottom"/>
          </w:tcPr>
          <w:p>
            <w:pPr>
              <w:spacing w:after="0"/>
              <w:rPr>
                <w:sz w:val="14"/>
                <w:szCs w:val="14"/>
                <w:color w:val="auto"/>
              </w:rPr>
            </w:pPr>
          </w:p>
        </w:tc>
      </w:tr>
      <w:tr>
        <w:trPr>
          <w:trHeight w:val="23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 Group</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74.95 %</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39.28 %</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74.96 %</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Payable balances with greater than 10.0% of the Group’s amounts due to suppliers as of December 31, 2023 and December 31, 2022 were as follows:</w:t>
      </w:r>
    </w:p>
    <w:p>
      <w:pPr>
        <w:spacing w:after="0" w:line="210"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4772025</wp:posOffset>
            </wp:positionH>
            <wp:positionV relativeFrom="paragraph">
              <wp:posOffset>24765</wp:posOffset>
            </wp:positionV>
            <wp:extent cx="1405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 w:lineRule="exact"/>
        <w:rPr>
          <w:sz w:val="20"/>
          <w:szCs w:val="20"/>
          <w:color w:val="auto"/>
        </w:rPr>
      </w:pPr>
    </w:p>
    <w:p>
      <w:pPr>
        <w:ind w:left="8160"/>
        <w:spacing w:after="0"/>
        <w:tabs>
          <w:tab w:leader="none" w:pos="93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i w:val="1"/>
          <w:iCs w:val="1"/>
          <w:color w:val="auto"/>
        </w:rPr>
        <w:t>proportion of total payables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4772025</wp:posOffset>
            </wp:positionH>
            <wp:positionV relativeFrom="paragraph">
              <wp:posOffset>-95250</wp:posOffset>
            </wp:positionV>
            <wp:extent cx="1405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 Group</w:t>
            </w:r>
          </w:p>
        </w:tc>
        <w:tc>
          <w:tcPr>
            <w:tcW w:w="4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65.96 %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38.29 %</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principally of cash, restricted cash, investment securities, accounts receivable, and loan receivables and other receivables included in prepayments and other current assets.</w:t>
      </w:r>
    </w:p>
    <w:p>
      <w:pPr>
        <w:spacing w:after="0" w:line="1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Substantial all of the Group’s cash at bank is held by third-party financial institutions located in Chinese mainland. The bank deposits with financial institutions in Chinese mainland are insured by the government authority for up to RMB500. The Group has not experienced any losses in uninsured bank deposits and does not believe that it is exposed to any significant risks on cash held in bank accounts. To limit exposure to credit risk, the Company primarily places bank deposits with large financial institutions in Chinese mainland with acceptable credit rating.</w:t>
      </w:r>
    </w:p>
    <w:p>
      <w:pPr>
        <w:spacing w:after="0" w:line="1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Accounts receivables are primarily derived from revenue earned from sales of sports cars and BEV lifestyle models, and automotive design and development services. Accounts receivable, loan receivables and other receivables included in prepayments and other current assets are unsecured. The risk is mitigated by credit evaluations performed on them.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 Loss per Share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Basic loss per ordinary share is computed by dividing net loss attributable to the Company’s ordinary shareholders, taking into consideration the accretions to redemption value of redeemable convertible preferred shares, by the weighted average number of ordinary shares outstanding during the year using the two-class method. Under the two-class method, any net income is allocated between ordinary shares and other participating securities based on participating rights in undistributed earnings. The Company’s redeemable convertible preferred shares are participating securities since the holders of these securities participate in dividends on the same basis as ordinary shareholders. These participating securities are not included in the computation of basic loss per ordinary share in periods when the Company reports net loss, because these participating security holders have no obligation to share in the losses of the Company.</w:t>
      </w:r>
    </w:p>
    <w:p>
      <w:pPr>
        <w:spacing w:after="0" w:line="1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the Company’s ordinary shareholders as adjusted for the effect of dilutive ordinary share equivalents, if any, by the weighted average number of ordinary and dilutive ordinary share equivalents outstanding during the year. Ordinary share equivalents include the ordinary shares issuable upon the exercise of the outstanding share options (using the treasury stock method), and the conversion of redeemable convertible preferred shares, mandatorily redeemable noncontrolling interest, exchangeable notes and convertible notes (using the as-if-converted method). Potential dilutive securities are not included in the calculation of diluted loss per share if the impact is anti-dilutive.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(gg) Segment Reporting</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Group’s chief operating decision maker has been identified as the chief executive officer, who reviews consolidated results when making decisions about allocating resources and assessing performance of the Group. For the purpose of internal reporting and management’s operation review, the Company’s chief executive officer and management personnel do not segregate the Group’s business by product or service. Management has determined that the Group has one operating segment.</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long-lived assets amounted to US$46,827 and US$4,180 were located in UK, US$54,470 and US$26,544 were located in European Union countries, respectively, and the remaining long-lived assets were primarily in the PRC.</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(hh)Statutory Reserves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accordance with the PRC Company Laws, the Group’s subsidiaries and consolidated VIEs in Chinese mainland must make appropriations from their after-tax profits as determined under the generally accepted accounting principles in the PRC (“PRC GAAP”) to non-distributable reserve funds including statutory surplus fund and discretionary surplus fund. The appropriation to the statutory surplus fund must be 10% of the after-tax profits as determined under PRC GAAP. Appropriation is not required if the statutory surplus fund has reached 50% of the registered capital of the companies in Chinese mainland. Appropriation to the discretionary surplus fund is made at the discretion of the companies in Chinese mainland.</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statutory surplus fund and discretionary surplus fund are restricted for use. They may only be applied to offset losses or increase the registered capital of the respective companies. These reserves are not allowed to be transferred to the Company by way of cash dividends, loans or advances, nor can they be distributed except for liquidation.</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appropriation to the reserve fund was made by the Company’s subsidiaries and consolidated VIEs in Chinese mainland, as these companies did not earn any after-tax profits or had accumulated losses as determined under PRC GAAP for the years ended December 31, 2023 and 2022.</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Group’s ability to pay dividends may depend on the Group receiving distributions of funds from its subsidiaries. Relevant statutory laws and regulations permit payments of dividends by the Group’s subsidiaries only out of its retained earnings. Relevant statutory laws and regulations restrict the subsidiaries from transferring a portion of their net assets, equivalent to the balance of their statutory reserves and their paid in capital to the Company in the form of loans, advances or cash dividends. The balances of restricted net assets were US$160,651 and US$85,164 as of December 31, 2023 and 2022, respectively.</w:t>
      </w:r>
    </w:p>
    <w:p>
      <w:pPr>
        <w:spacing w:after="0" w:line="14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(ii)</w:t>
      </w:r>
      <w:r>
        <w:rPr>
          <w:sz w:val="20"/>
          <w:szCs w:val="20"/>
          <w:color w:val="auto"/>
        </w:rPr>
        <w:tab/>
      </w:r>
      <w:r>
        <w:rPr>
          <w:rFonts w:ascii="Times New Roman" w:cs="Times New Roman" w:eastAsia="Times New Roman" w:hAnsi="Times New Roman"/>
          <w:sz w:val="17"/>
          <w:szCs w:val="17"/>
          <w:b w:val="1"/>
          <w:bCs w:val="1"/>
          <w:i w:val="1"/>
          <w:iCs w:val="1"/>
          <w:color w:val="auto"/>
        </w:rPr>
        <w:t>Recent Accounting Pronouncements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amended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Measurement of Credit Losses on Financial Instruments. ASU 2016-13 was further amended in November 2019 by ASU 2019-09, </w:t>
      </w:r>
      <w:r>
        <w:rPr>
          <w:rFonts w:ascii="Times New Roman" w:cs="Times New Roman" w:eastAsia="Times New Roman" w:hAnsi="Times New Roman"/>
          <w:sz w:val="18"/>
          <w:szCs w:val="18"/>
          <w:i w:val="1"/>
          <w:iCs w:val="1"/>
          <w:color w:val="auto"/>
        </w:rPr>
        <w:t>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(Topic 326)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Derivatives and Hedging (Topic 815)</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Leases (Topic 842)</w:t>
      </w:r>
      <w:r>
        <w:rPr>
          <w:rFonts w:ascii="Times New Roman" w:cs="Times New Roman" w:eastAsia="Times New Roman" w:hAnsi="Times New Roman"/>
          <w:sz w:val="18"/>
          <w:szCs w:val="18"/>
          <w:color w:val="auto"/>
        </w:rPr>
        <w:t>. As a result, ASC 326,</w:t>
      </w:r>
      <w:r>
        <w:rPr>
          <w:rFonts w:ascii="Times New Roman" w:cs="Times New Roman" w:eastAsia="Times New Roman" w:hAnsi="Times New Roman"/>
          <w:sz w:val="18"/>
          <w:szCs w:val="18"/>
          <w:i w:val="1"/>
          <w:iCs w:val="1"/>
          <w:color w:val="auto"/>
        </w:rPr>
        <w:t xml:space="preserve"> Financial Instruments — Credit Losses </w:t>
      </w:r>
      <w:r>
        <w:rPr>
          <w:rFonts w:ascii="Times New Roman" w:cs="Times New Roman" w:eastAsia="Times New Roman" w:hAnsi="Times New Roman"/>
          <w:sz w:val="18"/>
          <w:szCs w:val="18"/>
          <w:color w:val="auto"/>
        </w:rPr>
        <w:t>is effective for public companies for annual reporting periods, and interim periods within those years beginning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15, 2019. For all other entities, it is effective for fiscal years beginning after December 15, 2022, including interim periods within those fiscal years. As the Group is an “emerging growth company” and elects to apply for the new and revised accounting standards at the effective date for a private company, the Group adopted ASU 2016-13 on January 1, 2023. The adoption did not have a material impact on the Group’s consolidated and combined financial statements.</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Contracts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 Liabilities from Contracts with Customers</w:t>
      </w:r>
      <w:r>
        <w:rPr>
          <w:rFonts w:ascii="Times New Roman" w:cs="Times New Roman" w:eastAsia="Times New Roman" w:hAnsi="Times New Roman"/>
          <w:sz w:val="18"/>
          <w:szCs w:val="18"/>
          <w:color w:val="auto"/>
        </w:rPr>
        <w:t>, which requires companies to apply Accounting Standard Codification (“ASC”) 606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recognize and measure contract assets and contract liabilities from contracts with customers acquired in a business combination on the acquisition date. This new guidance creates an exception to the general recognition and measurement principle noted in ASC 805, Business Combinations, which requires the acquirer in a business combination to recognize and measure the assets acquired at fair value at the acquisition date. ASU 2021-08 is effective for fiscal years beginning after December 15, 2022 and interim periods, for all public business entities. For all other entities, it is effective for fiscal years beginning after December 15, 2023, including interim periods within those fiscal years, with early application permitted. As the Group is an “emerging growth company” and elects to apply for the new and revised accounting standards at the effective date for a private company, the Group will adopt ASU 2021-08 for the fiscal year ending December 31, 2024. The Group is currently evaluating the impact of adopting this standard on its consolidated and combined financial statements.</w:t>
      </w:r>
    </w:p>
    <w:p>
      <w:pPr>
        <w:spacing w:after="0" w:line="15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March 2023, the FASB issued ASU No. 2023-01,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requires a lessee in a common control lease arrangement to amortize leasehold improvements that it owns over the improvements’ useful lives to the common control group, regardless of the lease term, if the lessee continues to control the use of the underlying asset through a lease. This ASU is effective for the Group for fiscal years, and interim periods within those fiscal years, beginning after December 15, 2023. Early adoption is permitted. The Group is currently evaluating the impact of adopting this standard on its consolidated and combined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ASU 2023 - 09,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amending existing income tax disclosure guidance, primarily requiring more detailed disclosure for income taxes paid and the effective tax rate reconciliation. The ASU is effective for annual reporting periods beginning after December 15, 2025, with early adoption permitted and can be applied on either a prospective or retroactive basis. The Group is currently evaluating the impact of adopting this standard on its consolidated and combined financial statements.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5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ACCOUNT RECEIVABLES - THIRD PARTIES, NET</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10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75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83"/>
        </w:trPr>
        <w:tc>
          <w:tcPr>
            <w:tcW w:w="240" w:type="dxa"/>
            <w:vAlign w:val="bottom"/>
            <w:vMerge w:val="continue"/>
          </w:tcPr>
          <w:p>
            <w:pPr>
              <w:spacing w:after="0"/>
              <w:rPr>
                <w:sz w:val="15"/>
                <w:szCs w:val="15"/>
                <w:color w:val="auto"/>
              </w:rPr>
            </w:pPr>
          </w:p>
        </w:tc>
        <w:tc>
          <w:tcPr>
            <w:tcW w:w="7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US$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29"/>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5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The movement of the allowance for credit losses is as follows:</w:t>
            </w: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7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39"/>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Impact of adoption of ASC 326</w:t>
            </w: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30"/>
        </w:trPr>
        <w:tc>
          <w:tcPr>
            <w:tcW w:w="7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Provisions</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5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0" w:type="dxa"/>
            <w:vAlign w:val="bottom"/>
            <w:vMerge w:val="continue"/>
          </w:tcPr>
          <w:p>
            <w:pPr>
              <w:spacing w:after="0"/>
              <w:rPr>
                <w:sz w:val="24"/>
                <w:szCs w:val="24"/>
                <w:color w:val="auto"/>
              </w:rPr>
            </w:pPr>
          </w:p>
        </w:tc>
        <w:tc>
          <w:tcPr>
            <w:tcW w:w="75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40" w:type="dxa"/>
            <w:vAlign w:val="bottom"/>
          </w:tcPr>
          <w:p>
            <w:pPr>
              <w:spacing w:after="0"/>
              <w:rPr>
                <w:sz w:val="24"/>
                <w:szCs w:val="24"/>
                <w:color w:val="auto"/>
              </w:rPr>
            </w:pPr>
          </w:p>
        </w:tc>
        <w:tc>
          <w:tcPr>
            <w:tcW w:w="7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10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gridSpan w:val="2"/>
          </w:tcPr>
          <w:p>
            <w:pPr>
              <w:spacing w:after="0"/>
              <w:rPr>
                <w:sz w:val="15"/>
                <w:szCs w:val="15"/>
                <w:color w:val="auto"/>
              </w:rPr>
            </w:pPr>
          </w:p>
        </w:tc>
        <w:tc>
          <w:tcPr>
            <w:tcW w:w="9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available for sale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Goods in transit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265,190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22,703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Inventory write-downs recognized in cost of revenues for the years ended December 31, 2023, 2022 and 2021 were US$1,668, nil and nil,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ind w:left="660" w:right="3520" w:hanging="652"/>
        <w:spacing w:after="0" w:line="520" w:lineRule="auto"/>
        <w:tabs>
          <w:tab w:leader="none" w:pos="336" w:val="left"/>
        </w:tabs>
        <w:numPr>
          <w:ilvl w:val="0"/>
          <w:numId w:val="1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PREPAYMENTS AND OTHER CURRENT ASSETS — THIRD PARTIES </w:t>
      </w:r>
      <w:r>
        <w:rPr>
          <w:rFonts w:ascii="Times New Roman" w:cs="Times New Roman" w:eastAsia="Times New Roman" w:hAnsi="Times New Roman"/>
          <w:sz w:val="17"/>
          <w:szCs w:val="17"/>
          <w:color w:val="auto"/>
        </w:rPr>
        <w:t>Prepayments and other current assets — third parties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Deductible VAT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41,066</w:t>
            </w: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Prepayments to third-party suppliers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Deposits</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listing expenses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Allowance for credit losses (i)</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53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63,870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gridSpan w:val="2"/>
          </w:tcPr>
          <w:p>
            <w:pPr>
              <w:spacing w:after="0"/>
              <w:rPr>
                <w:sz w:val="8"/>
                <w:szCs w:val="8"/>
                <w:color w:val="auto"/>
              </w:rPr>
            </w:pPr>
          </w:p>
        </w:tc>
        <w:tc>
          <w:tcPr>
            <w:tcW w:w="5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movement of the allowance for credit losses is as follows: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40" w:type="dxa"/>
            <w:vAlign w:val="bottom"/>
          </w:tcPr>
          <w:p>
            <w:pPr>
              <w:spacing w:after="0"/>
              <w:rPr>
                <w:sz w:val="24"/>
                <w:szCs w:val="24"/>
                <w:color w:val="auto"/>
              </w:rPr>
            </w:pPr>
          </w:p>
        </w:tc>
        <w:tc>
          <w:tcPr>
            <w:tcW w:w="718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24"/>
                <w:szCs w:val="24"/>
                <w:color w:val="auto"/>
              </w:rPr>
            </w:pPr>
          </w:p>
        </w:tc>
        <w:tc>
          <w:tcPr>
            <w:tcW w:w="188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39"/>
        </w:trPr>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Impact of adoption of ASC 326</w:t>
            </w: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Provisions</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EQUIPMENT AND SOFTWARE, NET</w:t>
            </w: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2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40" w:type="dxa"/>
            <w:vAlign w:val="bottom"/>
          </w:tcPr>
          <w:p>
            <w:pPr>
              <w:spacing w:after="0"/>
              <w:rPr>
                <w:sz w:val="24"/>
                <w:szCs w:val="24"/>
                <w:color w:val="auto"/>
              </w:rPr>
            </w:pPr>
          </w:p>
        </w:tc>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R&amp;D equipment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26,551</w:t>
            </w: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Molds and tooling</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84,367</w:t>
            </w:r>
          </w:p>
        </w:tc>
        <w:tc>
          <w:tcPr>
            <w:tcW w:w="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50,935</w:t>
            </w: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Office and electronic equipment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32,325</w:t>
            </w:r>
          </w:p>
        </w:tc>
        <w:tc>
          <w:tcPr>
            <w:tcW w:w="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68,422</w:t>
            </w: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35,506</w:t>
            </w:r>
          </w:p>
        </w:tc>
        <w:tc>
          <w:tcPr>
            <w:tcW w:w="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equipment and software</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298,106</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gridSpan w:val="2"/>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(66,258)</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gridSpan w:val="2"/>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progress(i)</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122,769</w:t>
            </w: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Property, equipment and software, net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354,617</w:t>
            </w:r>
          </w:p>
        </w:tc>
        <w:tc>
          <w:tcPr>
            <w:tcW w:w="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20" w:firstLine="656"/>
        <w:spacing w:after="0" w:line="282" w:lineRule="auto"/>
        <w:tabs>
          <w:tab w:leader="none" w:pos="129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capitalized expenditures on the construction of corporate buildings, leasehold improvements, molds, tooling and R&amp;D equipment under construction.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expenses on property, equipment and software were allocated to the following expense items: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3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188"/>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69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17,258</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depreciation expenses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54,957</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12,790</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2,056</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Property, equipment and software with a net book value of US$37,287 and nil were pledged as security for the exchangeable notes subject to further notice by the exchangeable notes holder as mentioned in note 14 as of December 31, 2023 and 2022, respectively.</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INTANGIBLE ASSETS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8"/>
        </w:trPr>
        <w:tc>
          <w:tcPr>
            <w:tcW w:w="78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7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 licenses with indefinite useful lives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116,083</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116,083</w:t>
            </w:r>
          </w:p>
        </w:tc>
      </w:tr>
      <w:tr>
        <w:trPr>
          <w:trHeight w:val="229"/>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License plates with indefinite useful lives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3"/>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116,360</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116,364</w:t>
            </w: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November 4, 2021, the Group entered into trademark licenses agreements with a related party (“Trademark Licenses Agreements”), Group Lotus Limited, a wholly owned subsidiary of LGIL, which is ultimately controlled by the Controlling Shareholder of the Company. Pursuant to the Trademark Licenses Agreements, the Group received the “Lotus” trademark licenses for as long as the Group conducts the business in relation to lifestyle vehicles (excluding sports car): i) exclusively on lifestyle vehicles and parts and components in relation thereto the Group designs, develops, manufactures, assembles, distributes and sells or has designed, developed, manufactured or assembled by any third party; ii) non-exclusively for the Group’s business of providing related after-sale services for the lifestyle vehicles; iii) non-exclusively on the related products (excluding anything relating to the sports cars) such as accessories the Group designs, produces, distributes, and sells or has designed or produced by any third party on its behalf; iv) any other occasions in relation to the business conducted by the Group as duly approved by the Group’s Board (excluding anything relating to sports cars). The Group intends to market and distribute its products under the “Lotus” brand indefinitely, and the trademark licenses are expected to contribute to cash flows indefinitely. The cost of renewal in each jurisdiction is different, and the Company believes the amount of renewal costs is insignificant relative to the future cash flows from sales of lifestyle vehicles under the “Lotus” brand. Therefore the useful lives of the trademark licenses are considered to be indefinite. The trademark licenses were initially recognized at the amount of US$116,041 as of November 4, 2021, which is the same as the carrying amount from the perspective of the entity under common control and their estimated fair value determined using the relief from royalty method</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left="340" w:hanging="332"/>
        <w:spacing w:after="0"/>
        <w:tabs>
          <w:tab w:leader="none" w:pos="3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Group has entered into various non-cancellable operating agreements for land use rights, certain offices, warehouses, retail and service locations, and vehicles worldwide. The Group determines if an arrangement is a lease, or contains a lease, at inception and record the leases in the financial statements upon lease commencement, which is the date when the underlying asset is made available for use by the lessor.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3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188"/>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69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27,815</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32,244</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24,345</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7,467</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leases have annual rent escalations based on subsequent year-to-year changes in the consumer price index (“CPI”). While operating lease liabilities are not remeasured as a result of changes to the CPI, the year-to-year changes to the CPI are treated as variable lease payments and recognized in the period in which they are incurred.</w:t>
      </w:r>
    </w:p>
    <w:p>
      <w:pPr>
        <w:spacing w:after="0" w:line="14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lease costs are recognized as cost of sales, selling and marketing expenses, general and administrative expenses and research and development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flows information related to leases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34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r>
      <w:tr>
        <w:trPr>
          <w:trHeight w:val="188"/>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69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56,024</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4"/>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42,707</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65405</wp:posOffset>
            </wp:positionV>
            <wp:extent cx="156845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2">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69" w:lineRule="exact"/>
        <w:rPr>
          <w:sz w:val="20"/>
          <w:szCs w:val="20"/>
          <w:color w:val="auto"/>
        </w:rPr>
      </w:pPr>
    </w:p>
    <w:p>
      <w:pPr>
        <w:ind w:right="180" w:firstLine="8"/>
        <w:spacing w:after="0" w:line="281" w:lineRule="auto"/>
        <w:tabs>
          <w:tab w:leader="none" w:pos="648"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years ended December 31, 2023, 2022 and 2021, this amount includes prepayments for land use rights of US$10,900, nil and US$49,237, respectively, with lease terms of 40 years to 50 years.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29"/>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173,103</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158,724</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173,103</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158,724</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Operating lease liabilities-third parties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Operating lease liabilities-related parties**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Operating lease liabilities-third parties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91,929</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98,963</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Operating lease liabilities-related parties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121,593</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114,961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5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tabs>
          <w:tab w:leader="none" w:pos="3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right-of-use assets included land use rights with carrying amount of US$52,811 and US$43,974, of which,</w:t>
      </w:r>
    </w:p>
    <w:p>
      <w:pPr>
        <w:spacing w:after="0" w:line="27"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US$32,653 and nil were pledged as security for the exchangeable notes as mentioned in note 14 as of December 31, 2023 and 2022, respectively.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right="540" w:firstLine="8"/>
        <w:spacing w:after="0" w:line="266" w:lineRule="auto"/>
        <w:tabs>
          <w:tab w:leader="none" w:pos="3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is included in accrued expenses and other current liabilities – related parties in the consolidated balance sheets as of December 31, 2023 and 2022,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Weighted average remaining lease term and weighted average discount rate for leases, excluding prepaid land use rights, 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314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8"/>
        </w:trPr>
        <w:tc>
          <w:tcPr>
            <w:tcW w:w="678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r>
      <w:tr>
        <w:trPr>
          <w:trHeight w:val="22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6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8.</w:t>
            </w:r>
            <w:r>
              <w:rPr>
                <w:rFonts w:ascii="Times New Roman" w:cs="Times New Roman" w:eastAsia="Times New Roman" w:hAnsi="Times New Roman"/>
                <w:sz w:val="18"/>
                <w:szCs w:val="18"/>
                <w:u w:val="single" w:color="auto"/>
                <w:color w:val="auto"/>
                <w:w w:val="97"/>
              </w:rPr>
              <w:t>01</w:t>
            </w:r>
            <w:r>
              <w:rPr>
                <w:rFonts w:ascii="Times New Roman" w:cs="Times New Roman" w:eastAsia="Times New Roman" w:hAnsi="Times New Roman"/>
                <w:sz w:val="18"/>
                <w:szCs w:val="18"/>
                <w:color w:val="auto"/>
                <w:w w:val="97"/>
              </w:rPr>
              <w:t xml:space="preserve"> years</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8.</w:t>
            </w:r>
            <w:r>
              <w:rPr>
                <w:rFonts w:ascii="Times New Roman" w:cs="Times New Roman" w:eastAsia="Times New Roman" w:hAnsi="Times New Roman"/>
                <w:sz w:val="18"/>
                <w:szCs w:val="18"/>
                <w:u w:val="single" w:color="auto"/>
                <w:color w:val="auto"/>
                <w:w w:val="97"/>
              </w:rPr>
              <w:t>37</w:t>
            </w:r>
            <w:r>
              <w:rPr>
                <w:rFonts w:ascii="Times New Roman" w:cs="Times New Roman" w:eastAsia="Times New Roman" w:hAnsi="Times New Roman"/>
                <w:sz w:val="18"/>
                <w:szCs w:val="18"/>
                <w:color w:val="auto"/>
                <w:w w:val="97"/>
              </w:rPr>
              <w:t xml:space="preserve"> years</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7.36 years</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6.60 %</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6.99 %</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5.74 %</w:t>
            </w:r>
          </w:p>
        </w:tc>
      </w:tr>
      <w:tr>
        <w:trPr>
          <w:trHeight w:val="20"/>
        </w:trPr>
        <w:tc>
          <w:tcPr>
            <w:tcW w:w="6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Because the leases do not provide an implicit rate of return, the Group used the incremental borrowing rate based on the information available at lease commencement date in determining the present value of lease payments.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1"/>
        </w:trPr>
        <w:tc>
          <w:tcPr>
            <w:tcW w:w="884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9"/>
        </w:trPr>
        <w:tc>
          <w:tcPr>
            <w:tcW w:w="88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8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187"/>
        </w:trPr>
        <w:tc>
          <w:tcPr>
            <w:tcW w:w="88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6"/>
                <w:szCs w:val="16"/>
                <w:color w:val="auto"/>
              </w:rPr>
            </w:pPr>
          </w:p>
        </w:tc>
      </w:tr>
      <w:tr>
        <w:trPr>
          <w:trHeight w:val="230"/>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23,902</w:t>
            </w:r>
          </w:p>
        </w:tc>
        <w:tc>
          <w:tcPr>
            <w:tcW w:w="20" w:type="dxa"/>
            <w:vAlign w:val="bottom"/>
          </w:tcPr>
          <w:p>
            <w:pPr>
              <w:spacing w:after="0"/>
              <w:rPr>
                <w:sz w:val="19"/>
                <w:szCs w:val="19"/>
                <w:color w:val="auto"/>
              </w:rPr>
            </w:pPr>
          </w:p>
        </w:tc>
      </w:tr>
      <w:tr>
        <w:trPr>
          <w:trHeight w:val="229"/>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20,884</w:t>
            </w:r>
          </w:p>
        </w:tc>
        <w:tc>
          <w:tcPr>
            <w:tcW w:w="20" w:type="dxa"/>
            <w:vAlign w:val="bottom"/>
          </w:tcPr>
          <w:p>
            <w:pPr>
              <w:spacing w:after="0"/>
              <w:rPr>
                <w:sz w:val="19"/>
                <w:szCs w:val="19"/>
                <w:color w:val="auto"/>
              </w:rPr>
            </w:pPr>
          </w:p>
        </w:tc>
      </w:tr>
      <w:tr>
        <w:trPr>
          <w:trHeight w:val="230"/>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19,482</w:t>
            </w:r>
          </w:p>
        </w:tc>
        <w:tc>
          <w:tcPr>
            <w:tcW w:w="20" w:type="dxa"/>
            <w:vAlign w:val="bottom"/>
          </w:tcPr>
          <w:p>
            <w:pPr>
              <w:spacing w:after="0"/>
              <w:rPr>
                <w:sz w:val="19"/>
                <w:szCs w:val="19"/>
                <w:color w:val="auto"/>
              </w:rPr>
            </w:pPr>
          </w:p>
        </w:tc>
      </w:tr>
      <w:tr>
        <w:trPr>
          <w:trHeight w:val="230"/>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17,137</w:t>
            </w:r>
          </w:p>
        </w:tc>
        <w:tc>
          <w:tcPr>
            <w:tcW w:w="20" w:type="dxa"/>
            <w:vAlign w:val="bottom"/>
          </w:tcPr>
          <w:p>
            <w:pPr>
              <w:spacing w:after="0"/>
              <w:rPr>
                <w:sz w:val="19"/>
                <w:szCs w:val="19"/>
                <w:color w:val="auto"/>
              </w:rPr>
            </w:pPr>
          </w:p>
        </w:tc>
      </w:tr>
      <w:tr>
        <w:trPr>
          <w:trHeight w:val="230"/>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20" w:type="dxa"/>
            <w:vAlign w:val="bottom"/>
          </w:tcPr>
          <w:p>
            <w:pPr>
              <w:spacing w:after="0"/>
              <w:rPr>
                <w:sz w:val="19"/>
                <w:szCs w:val="19"/>
                <w:color w:val="auto"/>
              </w:rPr>
            </w:pPr>
          </w:p>
        </w:tc>
      </w:tr>
      <w:tr>
        <w:trPr>
          <w:trHeight w:val="229"/>
        </w:trPr>
        <w:tc>
          <w:tcPr>
            <w:tcW w:w="8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55,092</w:t>
            </w:r>
          </w:p>
        </w:tc>
        <w:tc>
          <w:tcPr>
            <w:tcW w:w="20" w:type="dxa"/>
            <w:vAlign w:val="bottom"/>
          </w:tcPr>
          <w:p>
            <w:pPr>
              <w:spacing w:after="0"/>
              <w:rPr>
                <w:sz w:val="19"/>
                <w:szCs w:val="19"/>
                <w:color w:val="auto"/>
              </w:rPr>
            </w:pPr>
          </w:p>
        </w:tc>
      </w:tr>
      <w:tr>
        <w:trPr>
          <w:trHeight w:val="223"/>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undiscounted lease payments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152,498</w:t>
            </w:r>
          </w:p>
        </w:tc>
        <w:tc>
          <w:tcPr>
            <w:tcW w:w="20" w:type="dxa"/>
            <w:vAlign w:val="bottom"/>
          </w:tcPr>
          <w:p>
            <w:pPr>
              <w:spacing w:after="0"/>
              <w:rPr>
                <w:sz w:val="19"/>
                <w:szCs w:val="19"/>
                <w:color w:val="auto"/>
              </w:rPr>
            </w:pPr>
          </w:p>
        </w:tc>
      </w:tr>
      <w:tr>
        <w:trPr>
          <w:trHeight w:val="223"/>
        </w:trPr>
        <w:tc>
          <w:tcPr>
            <w:tcW w:w="8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(30,905)</w:t>
            </w:r>
          </w:p>
        </w:tc>
        <w:tc>
          <w:tcPr>
            <w:tcW w:w="20" w:type="dxa"/>
            <w:vAlign w:val="bottom"/>
          </w:tcPr>
          <w:p>
            <w:pPr>
              <w:spacing w:after="0"/>
              <w:rPr>
                <w:sz w:val="19"/>
                <w:szCs w:val="19"/>
                <w:color w:val="auto"/>
              </w:rPr>
            </w:pPr>
          </w:p>
        </w:tc>
      </w:tr>
      <w:tr>
        <w:trPr>
          <w:trHeight w:val="223"/>
        </w:trPr>
        <w:tc>
          <w:tcPr>
            <w:tcW w:w="8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121,593</w:t>
            </w:r>
          </w:p>
        </w:tc>
        <w:tc>
          <w:tcPr>
            <w:tcW w:w="20" w:type="dxa"/>
            <w:vAlign w:val="bottom"/>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the Group had future minimum lease payments for non-cancelable short-term operating leases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US$79.</w:t>
      </w:r>
    </w:p>
    <w:p>
      <w:pPr>
        <w:spacing w:after="0" w:line="162" w:lineRule="exact"/>
        <w:rPr>
          <w:sz w:val="20"/>
          <w:szCs w:val="20"/>
          <w:color w:val="auto"/>
        </w:rPr>
      </w:pPr>
    </w:p>
    <w:p>
      <w:pPr>
        <w:ind w:left="660" w:right="5260" w:hanging="652"/>
        <w:spacing w:after="0" w:line="528" w:lineRule="auto"/>
        <w:tabs>
          <w:tab w:leader="none" w:pos="336" w:val="left"/>
        </w:tabs>
        <w:numPr>
          <w:ilvl w:val="0"/>
          <w:numId w:val="1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NON-CURRENT ASSETS – THIRD PARTIES </w:t>
      </w:r>
      <w:r>
        <w:rPr>
          <w:rFonts w:ascii="Times New Roman" w:cs="Times New Roman" w:eastAsia="Times New Roman" w:hAnsi="Times New Roman"/>
          <w:sz w:val="17"/>
          <w:szCs w:val="17"/>
          <w:color w:val="auto"/>
        </w:rPr>
        <w:t>Other non-current assets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7"/>
        </w:trPr>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0"/>
        </w:trPr>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for long-term operating leases</w:t>
            </w:r>
          </w:p>
        </w:tc>
        <w:tc>
          <w:tcPr>
            <w:tcW w:w="4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r>
      <w:tr>
        <w:trPr>
          <w:trHeight w:val="230"/>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Prepayments for purchases of property, equipment and software</w:t>
            </w:r>
          </w:p>
        </w:tc>
        <w:tc>
          <w:tcPr>
            <w:tcW w:w="4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r>
      <w:tr>
        <w:trPr>
          <w:trHeight w:val="230"/>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Deductible VAT</w:t>
            </w:r>
          </w:p>
        </w:tc>
        <w:tc>
          <w:tcPr>
            <w:tcW w:w="12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w:t>
            </w:r>
          </w:p>
        </w:tc>
      </w:tr>
      <w:tr>
        <w:trPr>
          <w:trHeight w:val="229"/>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investment(i)</w:t>
            </w:r>
          </w:p>
        </w:tc>
        <w:tc>
          <w:tcPr>
            <w:tcW w:w="4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3"/>
        </w:trPr>
        <w:tc>
          <w:tcPr>
            <w:tcW w:w="1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220" w:type="dxa"/>
            <w:vAlign w:val="bottom"/>
            <w:tcBorders>
              <w:top w:val="single" w:sz="8" w:color="CCEEFF"/>
              <w:bottom w:val="single" w:sz="8" w:color="CCEEFF"/>
            </w:tcBorders>
            <w:shd w:val="clear" w:color="auto" w:fill="CCEEFF"/>
          </w:tcPr>
          <w:p>
            <w:pPr>
              <w:spacing w:after="0"/>
              <w:rPr>
                <w:sz w:val="19"/>
                <w:szCs w:val="19"/>
                <w:color w:val="auto"/>
              </w:rPr>
            </w:pPr>
          </w:p>
        </w:tc>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10,983</w:t>
            </w:r>
          </w:p>
        </w:tc>
      </w:tr>
      <w:tr>
        <w:trPr>
          <w:trHeight w:val="20"/>
        </w:trPr>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
        </w:trPr>
        <w:tc>
          <w:tcPr>
            <w:tcW w:w="12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304"/>
        </w:trPr>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w:t>
            </w:r>
          </w:p>
        </w:tc>
        <w:tc>
          <w:tcPr>
            <w:tcW w:w="3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Equity investments</w:t>
            </w:r>
          </w:p>
        </w:tc>
        <w:tc>
          <w:tcPr>
            <w:tcW w:w="3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877"/>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F-39</w:t>
            </w:r>
          </w:p>
        </w:tc>
        <w:tc>
          <w:tcPr>
            <w:tcW w:w="940" w:type="dxa"/>
            <w:vAlign w:val="bottom"/>
          </w:tcPr>
          <w:p>
            <w:pPr>
              <w:spacing w:after="0"/>
              <w:rPr>
                <w:sz w:val="24"/>
                <w:szCs w:val="24"/>
                <w:color w:val="auto"/>
              </w:rPr>
            </w:pPr>
          </w:p>
        </w:tc>
      </w:tr>
      <w:tr>
        <w:trPr>
          <w:trHeight w:val="547"/>
        </w:trPr>
        <w:tc>
          <w:tcPr>
            <w:tcW w:w="1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January 2023, the Group invested US$4,317 to incorporate Hubei Changjiang Chegu Industry Investment Fund Partnership (“Changjiang Chegu”) in Chinese mainland and holds 16.67% of Changjiang Chegu’s equity interests. The Group applies the equity method to account for the investment in Changjiang Chegu.</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SHORT-TERM BORROWINGS — THIRD PARTIES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Short-term borrowings — third parties consisted of the following:</w:t>
      </w:r>
    </w:p>
    <w:p>
      <w:pPr>
        <w:spacing w:after="0" w:line="259"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2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7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29"/>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from banks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226,772</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28,748</w:t>
            </w: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Group borrowed loans due within one year or less with aggregated principal amounts of US$481,176 from banks in Chinese mainland, bearing an interest rate of one-year loan prime rate (“LPR”) published by China Foreign Exchange Trade System at the date of utilization plus 0.10% to 0.25% per annum. The interests shall be repaid quarterly or monthly. During the year ended December 31, 2023, the Group repaid loans with principal amount of US$272,897.</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Group borrowed one-year loans with aggregated principal amounts of US$28,170 from a bank in the Chinese mainland, bearing an interest rate of one-year LPR published by China Foreign Exchange Trade System plus 0.25% per annum. The interests shall be repaid quarterly.</w:t>
      </w:r>
    </w:p>
    <w:p>
      <w:pPr>
        <w:spacing w:after="0" w:line="14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 on short-term borrowings outstanding as of December 31, 2023 and 2022 is 3.90% and 3.90%, respectively.</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Group had a total line of credit in the amount of US$279,300 and US$28,748, of which the unused portion was US$14,119 and nil, respectively.</w:t>
      </w:r>
    </w:p>
    <w:p>
      <w:pPr>
        <w:spacing w:after="0" w:line="145" w:lineRule="exact"/>
        <w:rPr>
          <w:sz w:val="20"/>
          <w:szCs w:val="20"/>
          <w:color w:val="auto"/>
        </w:rPr>
      </w:pPr>
    </w:p>
    <w:p>
      <w:pPr>
        <w:jc w:val="right"/>
        <w:ind w:left="660" w:right="2840" w:hanging="652"/>
        <w:spacing w:after="0" w:line="495" w:lineRule="auto"/>
        <w:tabs>
          <w:tab w:leader="none" w:pos="336"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 THIRD PARTIES </w:t>
      </w:r>
      <w:r>
        <w:rPr>
          <w:rFonts w:ascii="Times New Roman" w:cs="Times New Roman" w:eastAsia="Times New Roman" w:hAnsi="Times New Roman"/>
          <w:sz w:val="17"/>
          <w:szCs w:val="17"/>
          <w:color w:val="auto"/>
        </w:rPr>
        <w:t>Accrued expenses and other current liabilities — third parties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8"/>
        </w:trPr>
        <w:tc>
          <w:tcPr>
            <w:tcW w:w="24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2"/>
        </w:trPr>
        <w:tc>
          <w:tcPr>
            <w:tcW w:w="2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46,362</w:t>
            </w:r>
          </w:p>
        </w:tc>
      </w:tr>
      <w:tr>
        <w:trPr>
          <w:trHeight w:val="23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Payables for R&amp;D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83,261</w:t>
            </w: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marketing events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47,729</w:t>
            </w:r>
          </w:p>
        </w:tc>
      </w:tr>
      <w:tr>
        <w:trPr>
          <w:trHeight w:val="22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Payables for purchase of property, equipment and software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88,286</w:t>
            </w: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Refundable deposits from customers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27,007</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r>
      <w:tr>
        <w:trPr>
          <w:trHeight w:val="23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from third parties(i)</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and other taxes payables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r>
      <w:tr>
        <w:trPr>
          <w:trHeight w:val="23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Payables for service fees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33,229</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21,176</w:t>
            </w:r>
          </w:p>
        </w:tc>
      </w:tr>
      <w:tr>
        <w:trPr>
          <w:trHeight w:val="229"/>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acceptance notes and letter of credit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w:t>
            </w:r>
          </w:p>
        </w:tc>
      </w:tr>
      <w:tr>
        <w:trPr>
          <w:trHeight w:val="23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Refundable deposits in connection with the PIPE investments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25,193</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w:t>
            </w: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419,422</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323,299</w:t>
            </w:r>
          </w:p>
        </w:tc>
      </w:tr>
      <w:tr>
        <w:trPr>
          <w:trHeight w:val="20"/>
        </w:trPr>
        <w:tc>
          <w:tcPr>
            <w:tcW w:w="2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5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76" w:lineRule="exact"/>
        <w:rPr>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short -term deposits from third party suppliers.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PUT OPTION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put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w:t>
            </w: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r>
      <w:tr>
        <w:trPr>
          <w:trHeight w:val="223"/>
        </w:trPr>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11,884</w:t>
            </w:r>
          </w:p>
        </w:tc>
      </w:tr>
      <w:tr>
        <w:trPr>
          <w:trHeight w:val="20"/>
        </w:trPr>
        <w:tc>
          <w:tcPr>
            <w:tcW w:w="8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January 31, 2023, the Company issued put options to each of Geely International (Hong Kong) Limited (“Geely HK”) and Etika at nil consideration. Pursuant to the put option agreements, each of Geely HK and Etika will have an option to require the Company to purchase the equity interests held by Geely HK and Etika in Lotus Advance Technologies Sdn Bhd, the immediate parent of LGIL, during the period from April 1, 2025 to June 30, 2025, at a pre-agreed price, i.e. 1.15 multiplied by the revenue of LGIL for the year ending December 31, 2024 plus the cash and cash equivalents of LGIL as of December 31, 2024, and minus the outstanding amount of indebtedness of LGIL as of December 31, 2024 (the “exercise price”), if the total number of vehicles sold by LGIL in 2024 exceeds 5,000 (the “exercise condition”). Geely HK and Etika are entitled to exercise the put option on an individual standalone basis. If Geely HK or Etika exercises the put option, Geely HK or Etika shall put all its equity interests in Lotus Advance Technologies Sdn Bhd to the Company. The exercise price will be settled with the Company’s newly issued ordinary shares. The number of ordinary shares of the Company to be issued to each of Geely HK and Etika shall be equal to the quotient of (a) the exercise price, divided by (b) the per share listing price, i.e. US$10 per share, of ordinary shares of the Company.</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put options are determined to be freestanding financial instruments that are accounted for as liabilities in the scope of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because the put options embody a conditional obligation that the Company may settle by issuing a variable number of its equity shares and the monetary value of the obligation is based on variation in LGIL’s financial performance other than fair value of the Company’s equity shares. The Company initially measured the put option liabilities at fair value and subsequently remeasured to fair value each period with changes recognized in profit or loss.</w:t>
      </w:r>
    </w:p>
    <w:p>
      <w:pPr>
        <w:spacing w:after="0" w:line="12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initial recognition, the Company recognized the issuance of put options at its fair value of US$9,376 as dividends to the shareholders with a corresponding decrease in additional paid-in capital. The increase in fair value of the put option liabilities in the amount of US$2,508, nil and nil for the years ended December 31, 2023, 2022 and 2021 was recognized in the consolidated and combined statements of comprehensive loss, respectively.</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put option liabilities as of December 31, 2023 is estimated using the scenario-weighted average method with binominal model, with the following assumptions: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20" w:type="dxa"/>
            <w:vAlign w:val="bottom"/>
            <w:gridSpan w:val="3"/>
          </w:tcPr>
          <w:p>
            <w:pPr>
              <w:jc w:val="right"/>
              <w:ind w:right="14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29"/>
        </w:trPr>
        <w:tc>
          <w:tcPr>
            <w:tcW w:w="100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226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42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3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26.33 %</w:t>
            </w:r>
          </w:p>
        </w:tc>
        <w:tc>
          <w:tcPr>
            <w:tcW w:w="98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30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0.00 %</w:t>
            </w:r>
          </w:p>
        </w:tc>
        <w:tc>
          <w:tcPr>
            <w:tcW w:w="98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226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years</w:t>
            </w:r>
          </w:p>
        </w:tc>
        <w:tc>
          <w:tcPr>
            <w:tcW w:w="980" w:type="dxa"/>
            <w:vAlign w:val="bottom"/>
          </w:tcPr>
          <w:p>
            <w:pPr>
              <w:spacing w:after="0"/>
              <w:rPr>
                <w:sz w:val="19"/>
                <w:szCs w:val="19"/>
                <w:color w:val="auto"/>
              </w:rPr>
            </w:pPr>
          </w:p>
        </w:tc>
      </w:tr>
      <w:tr>
        <w:trPr>
          <w:trHeight w:val="229"/>
        </w:trPr>
        <w:tc>
          <w:tcPr>
            <w:tcW w:w="100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exercise condition</w:t>
            </w:r>
          </w:p>
        </w:tc>
        <w:tc>
          <w:tcPr>
            <w:tcW w:w="430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50.00 %</w:t>
            </w:r>
          </w:p>
        </w:tc>
        <w:tc>
          <w:tcPr>
            <w:tcW w:w="980" w:type="dxa"/>
            <w:vAlign w:val="bottom"/>
          </w:tcPr>
          <w:p>
            <w:pPr>
              <w:spacing w:after="0"/>
              <w:rPr>
                <w:sz w:val="19"/>
                <w:szCs w:val="19"/>
                <w:color w:val="auto"/>
              </w:rPr>
            </w:pPr>
          </w:p>
        </w:tc>
      </w:tr>
      <w:tr>
        <w:trPr>
          <w:trHeight w:val="234"/>
        </w:trPr>
        <w:tc>
          <w:tcPr>
            <w:tcW w:w="10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underlying ordinary share of LGIL</w:t>
            </w:r>
          </w:p>
        </w:tc>
        <w:tc>
          <w:tcPr>
            <w:tcW w:w="2260" w:type="dxa"/>
            <w:vAlign w:val="bottom"/>
          </w:tcPr>
          <w:p>
            <w:pPr>
              <w:spacing w:after="0"/>
              <w:rPr>
                <w:sz w:val="20"/>
                <w:szCs w:val="20"/>
                <w:color w:val="auto"/>
              </w:rPr>
            </w:pPr>
          </w:p>
        </w:tc>
        <w:tc>
          <w:tcPr>
            <w:tcW w:w="20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US$0.81</w:t>
            </w:r>
          </w:p>
        </w:tc>
        <w:tc>
          <w:tcPr>
            <w:tcW w:w="980" w:type="dxa"/>
            <w:vAlign w:val="bottom"/>
          </w:tcPr>
          <w:p>
            <w:pPr>
              <w:spacing w:after="0"/>
              <w:rPr>
                <w:sz w:val="20"/>
                <w:szCs w:val="20"/>
                <w:color w:val="auto"/>
              </w:rPr>
            </w:pPr>
          </w:p>
        </w:tc>
      </w:tr>
      <w:tr>
        <w:trPr>
          <w:trHeight w:val="900"/>
        </w:trPr>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2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F-41</w:t>
            </w:r>
          </w:p>
        </w:tc>
      </w:tr>
      <w:tr>
        <w:trPr>
          <w:trHeight w:val="560"/>
        </w:trPr>
        <w:tc>
          <w:tcPr>
            <w:tcW w:w="10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ind w:left="660" w:right="7880" w:hanging="652"/>
        <w:spacing w:after="0" w:line="441" w:lineRule="auto"/>
        <w:tabs>
          <w:tab w:leader="none" w:pos="660" w:val="left"/>
        </w:tabs>
        <w:numPr>
          <w:ilvl w:val="0"/>
          <w:numId w:val="1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PIPE Investments </w:t>
      </w:r>
      <w:r>
        <w:rPr>
          <w:rFonts w:ascii="Times New Roman" w:cs="Times New Roman" w:eastAsia="Times New Roman" w:hAnsi="Times New Roman"/>
          <w:sz w:val="17"/>
          <w:szCs w:val="17"/>
          <w:i w:val="1"/>
          <w:iCs w:val="1"/>
          <w:color w:val="auto"/>
        </w:rPr>
        <w:t>Meritz Investment</w:t>
      </w:r>
    </w:p>
    <w:p>
      <w:pPr>
        <w:spacing w:after="0" w:line="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November 15, 2023, the Company entered into a share subscription agreement (the “Meritz Subscription Agreement”) with Meritz, pursuant to which, among other things, Meritz agreed to subscribe for, and the Company agreed to issue to Meritz 50,000,000 ordinary shares of the Company (“Meritz Subscription Shares”) at an aggregate subscription price equal to $500,000 (“Meritz Investment”). Pursuant to the Meritz Subscription Agreement, the obligations of the parties to consummate the Meritz Investment are subject to the satisfaction or waiver of certain closing conditions, including, among others, (i) all conditions precedent under the Merger Agreement having been satisfied or waived (other than those to be satisfied at the closing of the Business Combination), (ii) the accuracy of representations and warranties in all material respects, (iii) material compliance with covenants, (iv) due execution and delivery of security documents granting certain security interests in favor of Meritz over a restricted cash account and a restricted securities account holding U.S. treasury bonds and/or U.S. treasury bills in agreed amounts to secure the put obligations and certain other obligations of the Company under the Meritz Subscription Agreement, and the creation and perfection of the security interests granted to Meritz in accordance with the foregoing security documents, subject to certain exceptions, (v) no amendment or waiver of the Merger Agreement in a manner that materially and adversely affects the economic benefits Meritz reasonably expects to receive under the Meritz Subscription Agreement, and (vi) no amendment or waiver by the Company of certain conditions precedent under the Merger Agreement without Meritz’s prior written consent.</w:t>
      </w:r>
    </w:p>
    <w:p>
      <w:pPr>
        <w:spacing w:after="0" w:line="11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Subject to the receipt of the subscription price, the Company shall deposit into a restricted securities account consisting of: (i) certain U.S. treasury bonds with an aggregate outstanding principal amount of $325,000, and (ii) certain U.S. treasury bonds and/or U.S. treasury bills with an aggregate outstanding principal amount of $175,000 as soon as practicable following, but not later than two (2) business days after the closing of the Meritz Investment. Meritz will have a put option to sell all or part of the Meritz Subscription Shares to the Company upon the occurrence of certain triggering events, including certain credit events, collateral-related default, failure to comply with certain financial covenants, failure to satisfy certain registration condition with respect to Meritz Subscription Shares, or the third anniversary of the closing of the Meritz Investment, all or part of the Meritz Subscription Shares then held by Meritz to the Company at an agreed return, i.e. 12.5% internal rate. The Company shall have certain call options to purchase up to an agreed number of Meritz Subscription Shares from Meritz, subject to satisfaction of certain conditions, in each case, at a per share price that is not lower than $14.00.</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PIPE Investments</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2023, the Company entered into subscription agreements (the “PIPE Subscription Agreements”) with Lotus Technology International Investment Limited (“LTIIL”), ultimately controlled by Geely Holding, Etika, and other investors, pursuant to which the LTIIL, Etika and other investors have committed to subscribe for and purchase the Company’s ordinary shares at $10.00 per share for an aggregate investment amount of US$127,500, US$122,500 and US$94,713, respectively (“PIPE Investments”). The obligations of the parties to consummate the PIPE Investment are subject to the satisfaction or waiver of certain customary closing conditions of the respective parties, including, among others, (i) all conditions precedent under the Merger Agreement having been satisfied or waived (other than those to be satisfied at the closing of the Business Combination), (ii) the accuracy of representations and warranties in all material respects, (iii) material compliance with covenants; and (iv) all of the consents from, and filings and/or registrations with, applicable governmental authority as required by applicable PRC laws in connection with the PIPE Investor’s outbound direct investment in the Company shall have been duly obtained and completed.</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received US$10,000 refundable deposits in connection with the PIPE Investments, bearing simple interest rate of 8% per annum. As of December 31, 2023, no shares have been issued pursuant to the above “Meritz Subscription Agreement” and “PIPE Subscription Agreements”.</w:t>
      </w:r>
    </w:p>
    <w:p>
      <w:pPr>
        <w:spacing w:after="0" w:line="10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On February 15, 2024, the Company entered into a subscription agreement with a PIPE investor, pursuant to which the PIPE investor committed to subscribe for and purchase the Company’s Ordinary Shares at $10.00 per share for an aggregate investment amount of approximately US$15,000.</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consummation of the Merger Transaction, as mentioned in note 1(b), the above Meritz Investment and PIPE Investments were completed with the issuance of 50,000,000 and 35,849,458 ordinary shares by the Company to Meritz and the PIPE investors,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EXCHANGEABLE NOTES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Lightning</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2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Speed</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2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Exchangeable</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Exchangeable</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92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92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6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exchangeable notes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125,039</w:t>
            </w:r>
          </w:p>
        </w:tc>
        <w:tc>
          <w:tcPr>
            <w:tcW w:w="1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values of exchangeable notes, excluding impact of instrument-specific credit</w:t>
            </w: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values of exchangeable notes due to the instrument-specific credit risk</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126,420</w:t>
            </w:r>
          </w:p>
        </w:tc>
        <w:tc>
          <w:tcPr>
            <w:tcW w:w="18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126,420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exchangeable notes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307,172</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Exchange to Series A redeemable convertible preferred shares (note 17)</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(60,419)</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values of exchangeable notes, excluding impact of instrument-specific credit</w:t>
            </w: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13,162</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values of exchangeable notes due to the instrument-specific credit risk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(31,048)</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355,320</w:t>
            </w:r>
          </w:p>
        </w:tc>
        <w:tc>
          <w:tcPr>
            <w:tcW w:w="18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71,792</w:t>
            </w:r>
          </w:p>
        </w:tc>
        <w:tc>
          <w:tcPr>
            <w:tcW w:w="16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exchangeable notes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27,883</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values of exchangeable notes, excluding impact of instrument-specific credit</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values of exchangeable notes due to the instrument-specific credit risk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(5,574)</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378,638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Current portion</w:t>
            </w: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378,638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Non-current portion</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75,678</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WFOE Exchangeable Notes</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2021, the Company’s subsidiary, WFOE, entered into an exchangeable note agreement with an investor. Pursuant to the agreement, WFOE is entitled to issue, from time to time, exchangeable notes (the “WFOE Exchangeable Notes”) to obtain financing from the investor (the “WFOE Exchangeable Notes Holder”) up to RMB3,000,000 with coupon rate of 3% per annum. Each tranche of WFOE Exchangeable Notes is scheduled to mature on the one-year anniversary date of issuance. The repayments of the WFOE Exchangeable Notes were guaranteed by Founders Onshore Vehicle.</w:t>
      </w:r>
    </w:p>
    <w:p>
      <w:pPr>
        <w:spacing w:after="0" w:line="1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issued RMB800,000 (equivalent to US$125,039), RMB600,000 (equivalent to US$94,130), RMB600,000 (equivalent to US$94,457), RMB800,000 (equivalent to US$118,585) and RMB200,000 (equivalent to US$27,883) on November 5, 2021, January 7, 2022, January 18, 2022, August 2, 2022 and September 22, 2023 to the WFOE Exchangeable Notes Holder, respectively, among which, RMB400,000 issued in November 2021 was exchanged for Series A redeemable convertible preferred shares in December 2022, as mentioned in note 17.</w:t>
      </w:r>
    </w:p>
    <w:p>
      <w:pPr>
        <w:spacing w:after="0" w:line="1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the time when there is a subsequent round of equity financing, upon the notification in writing by the Group, the WFOE Exchangeable Notes Holder is entitled to convert the whole or any portion of the outstanding principal amount of the WFOE Exchangeable Notes into the shares of the subsequent round of equity financing at the post-money equity valuation based on a fixed monetary amount.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agreement, the land use right of US$32,653 included in operating lease right-of-use assets and corporate buildings under construction of US$37,287 included in property, equipment and software have been pledged to the WFOE Exchangeable Notes Holder as of December 31, 2023.</w:t>
      </w:r>
    </w:p>
    <w:p>
      <w:pPr>
        <w:spacing w:after="0" w:line="14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Prior to a qualified initial public offering (“Qualified IPO” which is defined as an initial public offering and listing or back door listing (including via SPAC) or other similar transactions to achieve the listing of the shares of the Company):</w:t>
      </w:r>
    </w:p>
    <w:p>
      <w:pPr>
        <w:spacing w:after="0" w:line="135" w:lineRule="exact"/>
        <w:rPr>
          <w:sz w:val="20"/>
          <w:szCs w:val="20"/>
          <w:color w:val="auto"/>
        </w:rPr>
      </w:pPr>
    </w:p>
    <w:p>
      <w:pPr>
        <w:jc w:val="both"/>
        <w:ind w:firstLine="656"/>
        <w:spacing w:after="0" w:line="255" w:lineRule="auto"/>
        <w:tabs>
          <w:tab w:leader="none" w:pos="129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conversion, the WFOE Exchangeable Notes Holder is entitled to require Founders Onshore Vehicle or its designated entity to transfer the Company’s shares at the price of RMB1 per share to make the WFOE Exchangeable Notes Holder’s shareholding in the Company not less than 5%, based on an investment of RMB3,000,000. If the investment amount at time of conversion is less than RMB3,000,000, 5% shareholding shall be adjusted on a pro-rata basis.</w:t>
      </w:r>
    </w:p>
    <w:p>
      <w:pPr>
        <w:spacing w:after="0" w:line="146"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Founders Onshore Vehicle or its designated entity must purchase all or a portion of the shares held by the WFOE Exchangeable Notes Holder at a price equal to the outstanding principal amount of the WFOE Exchangeable Notes plus interest rate of 3% per annum, if the Company failed to the consummation of Qualified IPO within seven-year anniversary of issuance date for each tranche of WFOE Exchangeable Notes, at the option of the WFOE Exchangeable Notes Holder.</w:t>
      </w:r>
    </w:p>
    <w:p>
      <w:pPr>
        <w:spacing w:after="0" w:line="13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Founders Onshore Vehicle or its designated entity has the right to purchase 60% of the shares held by the WFOE Exchangeable Notes Holder at a price equal to the outstanding principal amount of the WFOE Exchangeable Notes plus interest rate of 8% per annum prior to the consummation of Qualified IPO.</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above three features are collectively referred to as the “Rights and Obligations provided by the Founders Onshore Vehicle”.</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guarantees and Rights and Obligations provided by the Founders Onshore Vehicle were accounted for as shareholder contributions at its estimated fair value at the respective issuance date of each tranche of loans. The fair value of the guarantees and Rights and Obligations provided by the Founders Onshore Vehicle was US$909 for the tranche issued in September 2023, US$8,135 for the tranches issued during the year ended December 31, 2022 and US$3,391 for the tranche issued in November 2021. The fair value of the guarantees and Rights and Obligations was treated as debt issuance cost and charged to the interest expenses in the consolidated and combined statements of comprehensive loss.</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27, 2023, the Company entered into a subscription agreement with the WFOE Exchangeable Notes Holder (the “Jingkai Subscription Agreement”), pursuant to which the WFOE Exchangeable Notes Holder has committed to subscribe for and purchase the Company’s ordinary shares for US$10.00 per share, for an investment amount of RMB2,600,000 (equivalent to US$367,092), which will be settled by the then outstanding principal amount of the WFOE Exchangeable Notes. Pursuant to Jingkai Subscription Agreement, the obligations of the parties to consummate the investment are subject to the satisfaction or waiver of certain customary closing conditions of the respective parties, including, among others, (a) all conditions precedent under the Merger Agreement having been satisfied or waived, and (b) all of the consents from, and filings and/or registrations with, applicable governmental authority as required by applicable PRC laws for the WFOE Exchangeable Notes Holder’s outbound direct investment in the Company shall have been duly obtained and completed (collectively as “Closing Conditions”). The Jingkai Subscription Agreement shall terminate upon the earlier to occur of (a) termination of the Merger Agreement, and (b) March 15, 2024, or such later termination date of the Merger Agreement as agreed among the parties thereto, among other things.</w:t>
      </w:r>
    </w:p>
    <w:p>
      <w:pPr>
        <w:spacing w:after="0" w:line="15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Pursuant to the above agreements, the maturity dates of the WFOE Exchangeable Notes were extended to the earlier of March 15, 2024 and termination of the Merger Agreement. The Group evaluated the amendment in accordance with ASC 470 - 50, </w:t>
      </w:r>
      <w:r>
        <w:rPr>
          <w:rFonts w:ascii="Times New Roman" w:cs="Times New Roman" w:eastAsia="Times New Roman" w:hAnsi="Times New Roman"/>
          <w:sz w:val="18"/>
          <w:szCs w:val="18"/>
          <w:i w:val="1"/>
          <w:iCs w:val="1"/>
          <w:color w:val="auto"/>
        </w:rPr>
        <w:t>Modifications and Extinguishments</w:t>
      </w:r>
      <w:r>
        <w:rPr>
          <w:rFonts w:ascii="Times New Roman" w:cs="Times New Roman" w:eastAsia="Times New Roman" w:hAnsi="Times New Roman"/>
          <w:sz w:val="18"/>
          <w:szCs w:val="18"/>
          <w:color w:val="auto"/>
        </w:rPr>
        <w:t>, and concluded that the change in present values of the WFOE Exchangeable Notes before and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 was less than 10%. Therefore, the Group determined the amendment did not represent an extinguishment. The fair value change arising from the modification of US$661 was reflected in the fair values of the WFOE Exchangeable Notes.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Group elected the fair value option to account for the WFOE Exchangeable Notes, including the component related to accrued interest. The Group believes the fair value option best reflects the economics of the underlying transaction. The WFOE Exchangeable Notes were recognized at fair value at the issuance date and are measured subsequently at fair value. The changes in fair values of the WFOE Exchangeable Notes due to the instrument-specific credit risk of US$272, US$33 and US$132 were debited/(credited) to other comprehensive income (loss) and all other changes in fair values of US$737, US$13,162 and US$1,065 were recognized as “Changes in fair values of mandatorily redeemable noncontrolling interest, exchangeable notes and convertible notes, excluding impact of instrument-specific credit risk” in the consolidated and combined statements of comprehensive loss for the years ended December 31, 2023, 2022 and 2021, respectively.</w:t>
      </w:r>
    </w:p>
    <w:p>
      <w:pPr>
        <w:spacing w:after="0" w:line="1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adopted a scenario-weighted average method to estimate the fair value of the WFOE Exchangeable Notes, based on an analysis of future values of the settlement of the obligation, assuming various outcomes. The probability weightings assigned to certain potential scenarios were based on management’s assessment of the probability of settlement of the liability in cash or shares and an assessment of the timing of settlement. In each scenario, the obligation valuation was based on the contractually agreed cash payment or equivalent equity discounted to each valuation date. The fair values of the WFOE Exchangeable Notes are estimated with the following key assumptions used:</w:t>
      </w:r>
    </w:p>
    <w:p>
      <w:pPr>
        <w:spacing w:after="0" w:line="22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17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55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r>
      <w:tr>
        <w:trPr>
          <w:trHeight w:val="22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6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20.00 %</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conversion</w:t>
            </w:r>
          </w:p>
        </w:tc>
        <w:tc>
          <w:tcPr>
            <w:tcW w:w="24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90.00 % 50.00% – 75.00 %</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Bond yields</w:t>
            </w:r>
          </w:p>
        </w:tc>
        <w:tc>
          <w:tcPr>
            <w:tcW w:w="2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3.27%-4.06 %  7.35% – 7.76 %</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occurrence of Qualified IPO</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90.00 %</w:t>
            </w:r>
          </w:p>
        </w:tc>
        <w:tc>
          <w:tcPr>
            <w:tcW w:w="6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45.00 %</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Lightning Speed Exchangeable Notes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2022, the Company’s subsidiary, Hangzhou Lightning Speed Technology Co., Ltd. (“Lightning Speed”), entered into an exchangeable note agreement with an investor. Pursuant to the agreement, Lightning Speed is entitled to issue exchangeable notes (the “Lightning Speed Exchangeable Notes”) of RMB1,000,000 to obtain financing from the investor (the “Lightning Speed Exchangeable Notes Holder”). The repayments of the Lightning Speed Exchangeable Notes were guaranteed by the immediate shareholders of Lightning Speed, i.e., Sanya Lotus Venture Investment Limited Company (“Sanya Lotus”), a wholly owned subsidiary of the VIE, and Ningbo Weili Enterprise Management Consulting Partnership (Limited Partnership). The WFOE provide a joint and several liability guarantee for the Lightning Speed Exchangeable Notes.</w:t>
      </w:r>
    </w:p>
    <w:p>
      <w:pPr>
        <w:spacing w:after="0" w:line="1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December 2022, Lightning Speed issued the first tranche of RMB500,000 (equivalent to US$71,792) to the Lightning Speed Exchangeable Notes Holder.</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tranche of Lightning Speed Exchangeable Notes is scheduled to mature on the five-year anniversary date of issuance and bearing a simple interest rate of loan prime rate published by China Foreign Exchange Trade System (“LPR”). With the consent of the Lightning Speed Exchangeable Notes Holder, Lightning Speed can extend the term of each tranche of Lightning Speed Exchangeable Notes twice, but each extension shall not exceed one year. During the extension period, the interest on the outstanding principal of the Lightning Speed Exchangeable Notes is calculated at the simple interest rate of 110% of LPR All interests shall be paid at maturity.</w:t>
      </w:r>
    </w:p>
    <w:p>
      <w:pPr>
        <w:spacing w:after="0" w:line="1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period from the issuance date to the maturity date of each tranche of Lightning Speed Exchangeable Notes (subject to extension discussed above), the Lightning Speed Exchangeable Notes Holder is entitled to convert the whole or any portion of the outstanding principal amount of the Lightning Speed Exchangeable Notes into the shares of Lightning Speed based on the equity valuation of Lightning Speed, which is subject to further agreement by both parties, at the conversion date.</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Lightning Speed Exchangeable Notes Holder is entitled to request Lightning Speed to repay all outstanding principal and interests at maturity or if there is any occurrence of events of default by Lightning Speed. During the years ended December 31, 2023 and 2022, no default event was occurred.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Group elected the fair value option to account for the Lightning Speed Exchangeable Notes, including the component related to accrued interest. The Group believes the fair value option best reflects the economics of the underlying transaction. The Lightning Speed Exchangeable Notes were recognized at fair value at the issuance date and are measured subsequently at fair value. The changes in fair values of the Lightning Speed Exchangeable Notes due to the instrument-specific credit risk of US$1,398, nil and nil were debited to other comprehensive income (loss) and all other changes in fair values of US$3,711, nil and nil were recognized as “Changes in fair values of mandatorily redeemable noncontrolling interest, exchangeable notes and convertible notes, excluding impact of instrument-specific credit risk” in the consolidated and combined statements of comprehensive loss for the years ended December 31, 2023, 2022 and 2021, respectively.</w:t>
      </w:r>
    </w:p>
    <w:p>
      <w:pPr>
        <w:spacing w:after="0" w:line="1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adopted a scenario-weighted average method to estimate the fair value of the Lightning Speed Exchangeable Notes, based on an analysis of future values of the settlement of the obligation, assuming various outcomes. The probability weightings assigned to certain potential scenarios were based on management’s assessment of the probability of settlement of the liability in cash or shares and an assessment of the timing of settlement. In each scenario, the obligation valuation was based on the contractually agreed cash payment or equivalent equity discounted to each valuation date. The fair values of the Lightning Speed Exchangeable Notes are estimated with the following key assumptions used: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5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8"/>
        </w:trPr>
        <w:tc>
          <w:tcPr>
            <w:tcW w:w="1000" w:type="dxa"/>
            <w:vAlign w:val="bottom"/>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254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980" w:type="dxa"/>
            <w:vAlign w:val="bottom"/>
          </w:tcPr>
          <w:p>
            <w:pPr>
              <w:spacing w:after="0"/>
              <w:rPr>
                <w:sz w:val="16"/>
                <w:szCs w:val="16"/>
                <w:color w:val="auto"/>
              </w:rPr>
            </w:pPr>
          </w:p>
        </w:tc>
      </w:tr>
      <w:tr>
        <w:trPr>
          <w:trHeight w:val="223"/>
        </w:trPr>
        <w:tc>
          <w:tcPr>
            <w:tcW w:w="100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2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 2.60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80" w:type="dxa"/>
            <w:vAlign w:val="bottom"/>
          </w:tcPr>
          <w:p>
            <w:pPr>
              <w:spacing w:after="0"/>
              <w:rPr>
                <w:sz w:val="19"/>
                <w:szCs w:val="19"/>
                <w:color w:val="auto"/>
              </w:rPr>
            </w:pPr>
          </w:p>
        </w:tc>
      </w:tr>
      <w:tr>
        <w:trPr>
          <w:trHeight w:val="229"/>
        </w:trPr>
        <w:tc>
          <w:tcPr>
            <w:tcW w:w="100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conversion</w:t>
            </w:r>
          </w:p>
        </w:tc>
        <w:tc>
          <w:tcPr>
            <w:tcW w:w="3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98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 yield</w:t>
            </w:r>
          </w:p>
        </w:tc>
        <w:tc>
          <w:tcPr>
            <w:tcW w:w="3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7.11 %</w:t>
            </w:r>
          </w:p>
        </w:tc>
        <w:tc>
          <w:tcPr>
            <w:tcW w:w="980" w:type="dxa"/>
            <w:vAlign w:val="bottom"/>
          </w:tcPr>
          <w:p>
            <w:pPr>
              <w:spacing w:after="0"/>
              <w:rPr>
                <w:sz w:val="19"/>
                <w:szCs w:val="19"/>
                <w:color w:val="auto"/>
              </w:rPr>
            </w:pPr>
          </w:p>
        </w:tc>
      </w:tr>
      <w:tr>
        <w:trPr>
          <w:trHeight w:val="904"/>
        </w:trPr>
        <w:tc>
          <w:tcPr>
            <w:tcW w:w="1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820" w:type="dxa"/>
            <w:vAlign w:val="bottom"/>
            <w:gridSpan w:val="3"/>
          </w:tcPr>
          <w:p>
            <w:pPr>
              <w:jc w:val="right"/>
              <w:ind w:right="2410"/>
              <w:spacing w:after="0"/>
              <w:rPr>
                <w:sz w:val="20"/>
                <w:szCs w:val="20"/>
                <w:color w:val="auto"/>
              </w:rPr>
            </w:pPr>
            <w:r>
              <w:rPr>
                <w:rFonts w:ascii="Times New Roman" w:cs="Times New Roman" w:eastAsia="Times New Roman" w:hAnsi="Times New Roman"/>
                <w:sz w:val="18"/>
                <w:szCs w:val="18"/>
                <w:color w:val="auto"/>
              </w:rPr>
              <w:t>F-46</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CONVERTIBLE NOTES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7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Pre-A Note</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Convertible Note</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6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4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4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23,445</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23,445</w:t>
            </w:r>
          </w:p>
        </w:tc>
        <w:tc>
          <w:tcPr>
            <w:tcW w:w="16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75,037</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to Series Pre-A redeemable convertible preferred shares (note</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(23,445)</w:t>
            </w:r>
          </w:p>
        </w:tc>
        <w:tc>
          <w:tcPr>
            <w:tcW w:w="12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values of convertible notes, excluding impact of instrument-</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40" w:type="dxa"/>
            <w:vAlign w:val="bottom"/>
          </w:tcPr>
          <w:p>
            <w:pPr>
              <w:spacing w:after="0"/>
              <w:rPr>
                <w:sz w:val="20"/>
                <w:szCs w:val="20"/>
                <w:color w:val="auto"/>
              </w:rPr>
            </w:pP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specific credit risk</w:t>
            </w:r>
          </w:p>
        </w:tc>
        <w:tc>
          <w:tcPr>
            <w:tcW w:w="90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values of convertible notes due to the instrument-specific</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40" w:type="dxa"/>
            <w:vAlign w:val="bottom"/>
            <w:shd w:val="clear" w:color="auto" w:fill="CCEEFF"/>
          </w:tcPr>
          <w:p>
            <w:pPr>
              <w:spacing w:after="0"/>
              <w:rPr>
                <w:sz w:val="20"/>
                <w:szCs w:val="20"/>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risk</w:t>
            </w:r>
          </w:p>
        </w:tc>
        <w:tc>
          <w:tcPr>
            <w:tcW w:w="90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4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76,770</w:t>
            </w:r>
          </w:p>
        </w:tc>
        <w:tc>
          <w:tcPr>
            <w:tcW w:w="14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25,297</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Partial redemption of convertible notes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(3,072)</w:t>
            </w:r>
          </w:p>
        </w:tc>
        <w:tc>
          <w:tcPr>
            <w:tcW w:w="0" w:type="dxa"/>
            <w:vAlign w:val="bottom"/>
          </w:tcPr>
          <w:p>
            <w:pPr>
              <w:spacing w:after="0"/>
              <w:rPr>
                <w:sz w:val="1"/>
                <w:szCs w:val="1"/>
                <w:color w:val="auto"/>
              </w:rPr>
            </w:pPr>
          </w:p>
        </w:tc>
      </w:tr>
      <w:tr>
        <w:trPr>
          <w:trHeight w:val="234"/>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values of convertible notes, excluding impact of instrument-</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40" w:type="dxa"/>
            <w:vAlign w:val="bottom"/>
            <w:shd w:val="clear" w:color="auto" w:fill="CCEEFF"/>
          </w:tcPr>
          <w:p>
            <w:pPr>
              <w:spacing w:after="0"/>
              <w:rPr>
                <w:sz w:val="20"/>
                <w:szCs w:val="20"/>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specific credit risk</w:t>
            </w:r>
          </w:p>
        </w:tc>
        <w:tc>
          <w:tcPr>
            <w:tcW w:w="90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values of convertible notes due to the instrument-specific</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4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risk</w:t>
            </w:r>
          </w:p>
        </w:tc>
        <w:tc>
          <w:tcPr>
            <w:tcW w:w="90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81,635</w:t>
            </w:r>
          </w:p>
        </w:tc>
        <w:tc>
          <w:tcPr>
            <w:tcW w:w="14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20,277</w:t>
            </w:r>
          </w:p>
        </w:tc>
        <w:tc>
          <w:tcPr>
            <w:tcW w:w="140" w:type="dxa"/>
            <w:vAlign w:val="bottom"/>
            <w:tcBorders>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101,912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Current portion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 Non-current portion</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81,635</w:t>
            </w:r>
          </w:p>
        </w:tc>
        <w:tc>
          <w:tcPr>
            <w:tcW w:w="14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Pre-A Note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29, 2021, the Company entered into one-year convertible notes with a principal amount of RMB150,000 (equivalent to US$23,445) with coupon rate of 8% per annum with an investor (“Series Pre-A Note”). During the one-year term of the Series Pre-A Note, the investor was entitled to (i) convert the whole or any portion of the outstanding principal amount of the convertible note into Series Pre-A preferred shares in its sole discretion at any time; and (ii) automatically convert all the outstanding principal of the convertible note into Series Pre-A redeemable convertible preferred shares upon the completion of Reorganization as mentioned in note 1(c), obtaining licenses from Zhejiang Liankong Technology Ltd. (“Geely License”) as mentioned in note 29(vi), and completion of employment with certain key operating staff. The WFOE as the guarantor provide a joint and several liability guarantee for the Series Pre-A Note.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Group elected the fair value option to account for the Series Pre-A Note, including the component related to accrued interest. The Group believes the fair value option best reflects the economics of the underlying transaction. The Series Pre-A Note was recognized at fair value at the issuance date and is measured subsequently at fair value. There was no change in the fair value of the Series Pre-A Note from November 29, 2021 to December 31, 2021. The Group adopted a scenario-weighted average method to estimate the fair value of Series Pre-A Note, based on an analysis of future values of the settlement of the obligation, assuming various outcomes. The probability weightings assigned to certain potential scenarios were based on management’s assessment of the probability of settlement of the liability in cash or shares and an assessment of the timing of settlement. In each scenario, the obligation valuation was based on the contractually agreed cash payment or equivalent equity discounted to each valuation date. The fair value of the Series Pre-A Note is estimated with the following key assumptions used:</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7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28"/>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conversion</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75.00 %</w:t>
            </w:r>
          </w:p>
        </w:tc>
      </w:tr>
      <w:tr>
        <w:trPr>
          <w:trHeight w:val="22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 yield</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5.89 %</w:t>
            </w:r>
          </w:p>
        </w:tc>
      </w:tr>
    </w:tbl>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28, 2022, the Series Pre-A Note was converted into 5,332,827 Series Pre-A preferred shares within the terms of the agreement and no gain or loss was recorded.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Subsidiary Convertible Note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8, 2022, the Company’s subsidiary, Ningbo Robotics Co., Ltd. (“Ningbo Robotics”), issued a seven-year convertible note (the “Subsidiary Convertible Note”) with the principal amount of RMB500,000 (equivalent to US$75,037) to an investor (the “Subsidiary Convertible Note Holder”). The Subsidiary Convertible Note Holder is entitled to receive annual interest equal to the outstanding principal multiplied by the latest five-year loan prime rate (“LPR”) published by China Foreign Exchange Trade System plus 79.8% per annum, i.e., LPR*(1+79.8%) (“interest rate”) on June 30 every year until the expiration of the Subsidiary Convertible Note.</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Conversion:</w:t>
      </w:r>
    </w:p>
    <w:p>
      <w:pPr>
        <w:spacing w:after="0" w:line="185" w:lineRule="exact"/>
        <w:rPr>
          <w:sz w:val="20"/>
          <w:szCs w:val="20"/>
          <w:color w:val="auto"/>
        </w:rPr>
      </w:pPr>
    </w:p>
    <w:p>
      <w:pPr>
        <w:jc w:val="both"/>
        <w:ind w:left="1000" w:hanging="317"/>
        <w:spacing w:after="0" w:line="261" w:lineRule="auto"/>
        <w:tabs>
          <w:tab w:leader="none" w:pos="10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Convertible Note Holder has the right to convert the Subsidiary Convertible Note to the subsidiary’s equity within 7 years from the issuance date (i.e., convertible before June 8, 2029), if the agreed financial performance of Ningbo Robotics achieved. All outstanding interest shall be paid in cash immediately before the conversion. The conversion price is RMB 135 per ordinary share of Ningbo Robotics (1 paid in capital equal to 1 share), subject to anti-dilution adjustment.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Redemption:</w:t>
      </w:r>
    </w:p>
    <w:p>
      <w:pPr>
        <w:spacing w:after="0" w:line="198" w:lineRule="exact"/>
        <w:rPr>
          <w:sz w:val="20"/>
          <w:szCs w:val="20"/>
          <w:color w:val="auto"/>
        </w:rPr>
      </w:pPr>
    </w:p>
    <w:p>
      <w:pPr>
        <w:jc w:val="both"/>
        <w:ind w:left="1000" w:right="20" w:hanging="317"/>
        <w:spacing w:after="0" w:line="252" w:lineRule="auto"/>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Ningbo Robotics’ immediate parent company, a subsidiary of the VIE and the VIE have the right to redeem all or part of the Subsidiary Convertible Note at any time within 7 years from the issuance date (i.e., before June 8, 2029), giving written notice to the Subsidiary Convertible Note Holder at least 15 working days in advance. The redemption price equals to</w:t>
      </w:r>
    </w:p>
    <w:p>
      <w:pPr>
        <w:jc w:val="both"/>
        <w:ind w:left="10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principal to be redeemed, plus (ii) the principal to be redeemed × interest rate ÷ 365 × the number of days from the issuance date to the redemption date corresponding to the principal to be redeemed, less (iii) the interest already paid for the principal to be redeemed.</w:t>
      </w:r>
    </w:p>
    <w:p>
      <w:pPr>
        <w:spacing w:after="0" w:line="145"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Ningbo Robotics’ immediate parent company and the VIE shall redeem all outstanding principal amount of Subsidiary Convertible Note at maturity (i.e., June 8, 2029). The redemption price at maturity is equal to (i) the outstanding principal, plus (ii) the outstanding principal × interest rate × 7 years, less (iii) the interest already paid for the outstanding principal. If Ningbo Robotics’ immediate parent company and the VIE delay in payments, 0.05% penalty per day of the overdue redemption price shall be paid to the Subsidiary Convertible Note Holder.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left="1000" w:hanging="317"/>
        <w:spacing w:after="0" w:line="252" w:lineRule="auto"/>
        <w:tabs>
          <w:tab w:leader="none" w:pos="10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any occurrence of events of default, the Subsidiary Convertible Note Holder has the right to require Ningbo Robotics’ immediate parent company and the VIE to redeem all outstanding principal amount of the Subsidiary Convertible Note and settle the unpaid interest immediately. The redemption price upon the occurrence of events of default equals to (i) the outstanding principal, plus (ii) the outstanding principal × interest rate ÷ 365 × the number of days from the issuance date to the redemption date, less (iii) the interest already paid for the outstanding principal. If the Ningbo Robotics’ immediate parent company or the VIE delay in payments, 0.05% penalty per day of the overdue redemption price shall be paid to the Subsidiary Convertible Note Holder. During the years ended December 31, 2023 and 2022, no default event was occurred.</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WFOE provide a joint and several liability guarantee for the Subsidiary Convertible Note.</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Group elected the fair value option for the Subsidiary Convertible Note, including the component related to accrued interest. The Group believes the fair value option best reflects the economics of the underlying transaction. The Subsidiary Convertible Note was recognized at fair value at the issuance date and is measured subsequently at fair value. Changes in fair value of the Subsidiary Convertible Note was US$9,327, US$5,154 and nil for the years ended December 31, 2023, 2022 and 2021, among which, changes in fair value due to the instrument-specific credit risk of US$6,951, US$890 and nil was recognized in other comprehensive loss and all other changes in fair values of US$2,376, US$4,264 and nil was recognized as “Changes in fair values of mandatorily redeemable noncontrolling interest, exchangeable notes and convertible notes, excluding impact of instrument-specific credit risk” in the consolidated and combined statement of comprehensive loss for the year ended December 31, 2023, 2022 and 2021, respectively.</w:t>
      </w:r>
    </w:p>
    <w:p>
      <w:pPr>
        <w:spacing w:after="0" w:line="1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Group adopted a scenario-weighted average method to estimate the fair value of the Subsidiary Convertible Note, based on an analysis of future values of the settlement of the obligation, assuming various outcomes. The probability weightings assigned to certain potential scenarios were based on management’s assessment of the probability of settlement of the liability in cash or shares and an assessment of the timing of settlement. In each scenario, the obligation valuation was based on the contractually agreed cash payment or equivalent equity discounted to each valuation date. The fair value of the Subsidiary Convertible Note is estimated with the following key assumptions used:</w:t>
      </w:r>
    </w:p>
    <w:p>
      <w:pPr>
        <w:spacing w:after="0" w:line="208"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5360" w:type="dxa"/>
            <w:vAlign w:val="bottom"/>
          </w:tcPr>
          <w:p>
            <w:pPr>
              <w:spacing w:after="0"/>
              <w:rPr>
                <w:sz w:val="16"/>
                <w:szCs w:val="16"/>
                <w:color w:val="auto"/>
              </w:rPr>
            </w:pPr>
          </w:p>
        </w:tc>
        <w:tc>
          <w:tcPr>
            <w:tcW w:w="258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8"/>
        </w:trPr>
        <w:tc>
          <w:tcPr>
            <w:tcW w:w="536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r>
      <w:tr>
        <w:trPr>
          <w:trHeight w:val="223"/>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 2.73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conversion</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12.00 %</w:t>
            </w: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 yields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4.85%-5.84 %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 – 8.92 %</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Convertible Notes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2023, the Company issued the following convertible notes (“2023 Convertible Notes”).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 Pre-IPO Notes</w:t>
      </w:r>
    </w:p>
    <w:p>
      <w:pPr>
        <w:spacing w:after="0" w:line="23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2023, the Company entered into convertible note purchase agreements with the certain investors (“Convertible Note Purchase Agreements”), pursuant to which the Company agreed to issue US$23,500 aggregate principal amount of unsecured convertible notes (the “Pre-IPO Notes”) with maturity date being the date that is one year following the issue date, which can be extended by the investors for an additional six months. One of the investors of Pre-IPO Notes, a related party controlled by the Controlling Shareholder of the Company, agreed to subscribe a convertible note for a cash consideration of US$9,500 and has not been issued as of December 31, 2023. As of December 31, 2023, the Pre-IPO Notes of US $14,000 have been issued. The Pre-IPO Notes bear a simple interest rate of 8% per annum. Pursuant to the terms of the Convertible Note Purchase Agreements, if the consummation of the Merger Transaction occurs prior to the maturity date, all of the then outstanding principal amount and any accrued but unpaid interest (as applicable) of the Pre-IPO Notes will be automatically converted into fully paid and non-assessable ordinary shares of the Company upon consummation of the Merger Transaction at a conversion price equal to the lesser of (A) US$10.00, and (B) the lowest per share price at which any of the Company’s ordinary shares are issued in connection with PIPE investments, if any.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ii) Momenta Note</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April 28, 2023, the Company entered into a convertible note purchase agreement with Momenta Global Limited, a related party of Momenta (Suzhou) Technology Limited Company, pursuant to which the Company agreed to issue to Momenta Global Limited a convertible note for a purchase price equal to US$ equivalent of RMB80,000 as calculated based on the US$/RMB central parity rate set by the People’s Bank of China as of the issue date (the “Momenta Note”) with maturity date being the date that is one year following the issue date. The Momenta Note in the principal amount of US$11,297 has been issued by the Company on May 30, 2023 following the Group’s acquisition of Momenta’s 40% equity interest in Ningbo Robotics for a cash consideration of RMB80,000 pursuant to Momenta’s redemption right under the shareholders’ agreement of Ningbo Robotics as mentioned in note 18. The Momenta Note bears</w:t>
      </w:r>
    </w:p>
    <w:p>
      <w:pPr>
        <w:spacing w:after="0" w:line="3" w:lineRule="exact"/>
        <w:rPr>
          <w:sz w:val="20"/>
          <w:szCs w:val="20"/>
          <w:color w:val="auto"/>
        </w:rPr>
      </w:pPr>
    </w:p>
    <w:p>
      <w:pPr>
        <w:jc w:val="both"/>
        <w:ind w:firstLine="8"/>
        <w:spacing w:after="0" w:line="248" w:lineRule="auto"/>
        <w:tabs>
          <w:tab w:leader="none" w:pos="25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simple interest rate of 8% per annum, if the consummation of the Business Combination fails to occur on or prior to November 12, 2023 due to reasons not attributable to Momenta Global Limited, or (b) no interest, under any other circumstance. According to the terms of the Momenta Note, if the consummation of the Business Combination occurs on or prior to the maturity date, all of the then outstanding principal amount and any accrued but unpaid interest (as applicable) of the Momenta Note shall be automatically converted into such number of fully paid and non-assessable ordinary shares of the Company, at a conversion price equal to the lesser of (A) US$10.00 and (B) the lowest per share price at which any ordinary shares of the Company are issued in any PIPE investment. If the consummation of the Business Combination fails to occur on or prior to the maturity date, Momenta Global Limited shall be entitled to request redemption of the then outstanding amount of the Momenta Note and the Company shall make payment of the redemption price in an amount equal to the outstanding principal amount and the accrued interest (as applicable) to Momenta Global Limited promptly (and in any event within two business days after the maturity date)(“Partial Redemption Price”). In addition, each of the Company and Momenta Global Limited has a voluntary redemption right to partially redeem or request redemption of the Momenta Note at any time during the period beginning from July 1, 2023 and ending on the date on which the Momenta Note has been fully converted into the Company’s ordinary shares, at a redemption price that is equal to 50% of the principal amount plus any accrued but unpaid interest (as applicable) (the “Partial Redemption Price”) by providing written notice to the other party, and the Company shall make payment of the Partial Redemption Price to Momenta Global Limited within ten business days following delivery or receipt of such written notice, as the case may be.</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11, 2023, the Company exercised such voluntary redemption right and subsequently made a payment of the Partial Redemption Price of US$ 5,648 to Momenta Global Limited.</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Group elected the fair value option for 2023 Convertible Notes, including the component related to accrued interest. The Group believes the fair value option best reflects the economics of the underlying transaction. The 2023 Convertible Notes were recognized at fair value at the issuance date and are measured subsequently at fair value. Changes in fair value of the 2023 Convertible Notes was US$628, nil and nil for the years ended December 31, 2023, 2022 and 2021, among which, changes in fair value due to the instrument-specific credit risk of US$12, nil and nil was recognized in other comprehensive loss and all other changes in fair values of US$616, nil and nil was recognized as “Changes in fair values of mandatorily redeemable noncontrolling interest, exchangeable notes and convertible notes, excluding impact of instrument-specific credit risk” in the consolidated and combined statements of comprehensive loss for the years ended December 31, 2023, 2022 and 2021, respectively.</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adopted a scenario-weighted average method to estimate the fair values of the 2023 Convertible Notes, based on an analysis of future values of the settlement of the obligation, assuming various outcomes. The probability weightings assigned to certain potential scenarios were based on management’s assessment of the probability of settlement of the liability in cash or shares and an assessment of the timing of settlement. In each scenario, the obligation valuation was based on the contractually agreed cash payment or equivalent equity discounted to each valuation date. The fair values of 2023 Convertible Notes are estimated with the following key assumptions used:</w:t>
      </w:r>
    </w:p>
    <w:p>
      <w:pPr>
        <w:spacing w:after="0" w:line="223"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5.51%-5.52 %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conversion</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 yields</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7.01%-8.47 %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DEFERRED INCOME</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7"/>
        </w:trPr>
        <w:tc>
          <w:tcPr>
            <w:tcW w:w="4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Asset-related    R&amp;D-related</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44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subsidy</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subsidy</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7"/>
        </w:trPr>
        <w:tc>
          <w:tcPr>
            <w:tcW w:w="44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8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6"/>
                <w:szCs w:val="16"/>
                <w:color w:val="auto"/>
              </w:rPr>
            </w:pPr>
          </w:p>
        </w:tc>
      </w:tr>
      <w:tr>
        <w:trPr>
          <w:trHeight w:val="230"/>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541,592</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541,592</w:t>
            </w:r>
          </w:p>
        </w:tc>
        <w:tc>
          <w:tcPr>
            <w:tcW w:w="20" w:type="dxa"/>
            <w:vAlign w:val="bottom"/>
          </w:tcPr>
          <w:p>
            <w:pPr>
              <w:spacing w:after="0"/>
              <w:rPr>
                <w:sz w:val="19"/>
                <w:szCs w:val="19"/>
                <w:color w:val="auto"/>
              </w:rPr>
            </w:pPr>
          </w:p>
        </w:tc>
      </w:tr>
      <w:tr>
        <w:trPr>
          <w:trHeight w:val="229"/>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grants received during the year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279,052</w:t>
            </w: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279,052</w:t>
            </w:r>
          </w:p>
        </w:tc>
        <w:tc>
          <w:tcPr>
            <w:tcW w:w="20" w:type="dxa"/>
            <w:vAlign w:val="bottom"/>
          </w:tcPr>
          <w:p>
            <w:pPr>
              <w:spacing w:after="0"/>
              <w:rPr>
                <w:sz w:val="19"/>
                <w:szCs w:val="19"/>
                <w:color w:val="auto"/>
              </w:rPr>
            </w:pPr>
          </w:p>
        </w:tc>
      </w:tr>
      <w:tr>
        <w:trPr>
          <w:trHeight w:val="230"/>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as income during the year</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(490,461)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(490,461)</w:t>
            </w:r>
          </w:p>
        </w:tc>
        <w:tc>
          <w:tcPr>
            <w:tcW w:w="20" w:type="dxa"/>
            <w:vAlign w:val="bottom"/>
          </w:tcPr>
          <w:p>
            <w:pPr>
              <w:spacing w:after="0"/>
              <w:rPr>
                <w:sz w:val="19"/>
                <w:szCs w:val="19"/>
                <w:color w:val="auto"/>
              </w:rPr>
            </w:pPr>
          </w:p>
        </w:tc>
      </w:tr>
      <w:tr>
        <w:trPr>
          <w:trHeight w:val="229"/>
        </w:trPr>
        <w:tc>
          <w:tcPr>
            <w:tcW w:w="6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20" w:type="dxa"/>
            <w:vAlign w:val="bottom"/>
          </w:tcPr>
          <w:p>
            <w:pPr>
              <w:spacing w:after="0"/>
              <w:rPr>
                <w:sz w:val="19"/>
                <w:szCs w:val="19"/>
                <w:color w:val="auto"/>
              </w:rPr>
            </w:pPr>
          </w:p>
        </w:tc>
      </w:tr>
      <w:tr>
        <w:trPr>
          <w:trHeight w:val="223"/>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282,322</w:t>
            </w:r>
          </w:p>
        </w:tc>
        <w:tc>
          <w:tcPr>
            <w:tcW w:w="1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57,974</w:t>
            </w:r>
          </w:p>
        </w:tc>
        <w:tc>
          <w:tcPr>
            <w:tcW w:w="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340,296</w:t>
            </w:r>
          </w:p>
        </w:tc>
        <w:tc>
          <w:tcPr>
            <w:tcW w:w="20" w:type="dxa"/>
            <w:vAlign w:val="bottom"/>
          </w:tcPr>
          <w:p>
            <w:pPr>
              <w:spacing w:after="0"/>
              <w:rPr>
                <w:sz w:val="19"/>
                <w:szCs w:val="19"/>
                <w:color w:val="auto"/>
              </w:rPr>
            </w:pPr>
          </w:p>
        </w:tc>
      </w:tr>
      <w:tr>
        <w:trPr>
          <w:trHeight w:val="22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Recognized as income during the year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(54,954)</w:t>
            </w:r>
          </w:p>
        </w:tc>
        <w:tc>
          <w:tcPr>
            <w:tcW w:w="20" w:type="dxa"/>
            <w:vAlign w:val="bottom"/>
          </w:tcPr>
          <w:p>
            <w:pPr>
              <w:spacing w:after="0"/>
              <w:rPr>
                <w:sz w:val="19"/>
                <w:szCs w:val="19"/>
                <w:color w:val="auto"/>
              </w:rPr>
            </w:pPr>
          </w:p>
        </w:tc>
      </w:tr>
      <w:tr>
        <w:trPr>
          <w:trHeight w:val="229"/>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(23,872)</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(26,892)</w:t>
            </w:r>
          </w:p>
        </w:tc>
        <w:tc>
          <w:tcPr>
            <w:tcW w:w="20" w:type="dxa"/>
            <w:vAlign w:val="bottom"/>
          </w:tcPr>
          <w:p>
            <w:pPr>
              <w:spacing w:after="0"/>
              <w:rPr>
                <w:sz w:val="19"/>
                <w:szCs w:val="19"/>
                <w:color w:val="auto"/>
              </w:rPr>
            </w:pPr>
          </w:p>
        </w:tc>
      </w:tr>
      <w:tr>
        <w:trPr>
          <w:trHeight w:val="223"/>
        </w:trPr>
        <w:tc>
          <w:tcPr>
            <w:tcW w:w="6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258,450</w:t>
            </w:r>
          </w:p>
        </w:tc>
        <w:tc>
          <w:tcPr>
            <w:tcW w:w="18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258,450</w:t>
            </w:r>
          </w:p>
        </w:tc>
        <w:tc>
          <w:tcPr>
            <w:tcW w:w="20" w:type="dxa"/>
            <w:vAlign w:val="bottom"/>
          </w:tcPr>
          <w:p>
            <w:pPr>
              <w:spacing w:after="0"/>
              <w:rPr>
                <w:sz w:val="19"/>
                <w:szCs w:val="19"/>
                <w:color w:val="auto"/>
              </w:rPr>
            </w:pPr>
          </w:p>
        </w:tc>
      </w:tr>
      <w:tr>
        <w:trPr>
          <w:trHeight w:val="223"/>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Subsidy received during the year</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16,345</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16,345</w:t>
            </w:r>
          </w:p>
        </w:tc>
        <w:tc>
          <w:tcPr>
            <w:tcW w:w="20" w:type="dxa"/>
            <w:vAlign w:val="bottom"/>
          </w:tcPr>
          <w:p>
            <w:pPr>
              <w:spacing w:after="0"/>
              <w:rPr>
                <w:sz w:val="19"/>
                <w:szCs w:val="19"/>
                <w:color w:val="auto"/>
              </w:rPr>
            </w:pPr>
          </w:p>
        </w:tc>
      </w:tr>
      <w:tr>
        <w:trPr>
          <w:trHeight w:val="229"/>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Recognized as income during the year</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(4,698)</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20" w:type="dxa"/>
            <w:vAlign w:val="bottom"/>
          </w:tcPr>
          <w:p>
            <w:pPr>
              <w:spacing w:after="0"/>
              <w:rPr>
                <w:sz w:val="19"/>
                <w:szCs w:val="19"/>
                <w:color w:val="auto"/>
              </w:rPr>
            </w:pPr>
          </w:p>
        </w:tc>
      </w:tr>
      <w:tr>
        <w:trPr>
          <w:trHeight w:val="22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270,097</w:t>
            </w: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270,097</w:t>
            </w:r>
          </w:p>
        </w:tc>
        <w:tc>
          <w:tcPr>
            <w:tcW w:w="2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2023, 2022 and 2021, the Group received specific subsidies of US$16,345, nil and US$279,052 for compensating the expenditures on the construction of the Group’s corporate buildings and plant (“asset-related subsidy”), respectively. Since the corporate buildings and plant are still under construction as of December 31, 2023, the Group has not recognized any government grants relating to these subsidies in profit or loss.</w:t>
      </w:r>
    </w:p>
    <w:p>
      <w:pPr>
        <w:spacing w:after="0" w:line="1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2018, the Group received a specific subsidy of US$755,581 relating to the Group’s R&amp;D expenditures. During the years ended December 31, 2023, 2022 and 2021, the Group recognized government grants of nil, US$54,954 and US$490,461 for the R&amp;D expenses incurred under this subsidy, respectively.</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received government grants of US$4,077, US$870 and US$233 with no future related costs required during the years ended December 31, 2023, 2022 and 2021, which were directly recognized as government grants in the consolidated and combined statements of comprehensive loss for the years ended December 31, 2023,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REDEEMABLE CONVERTIBLE PREFERRED SHARES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activities with respect to the redeemable convertible preferred shares are as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Series Pre-A</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5"/>
        </w:trPr>
        <w:tc>
          <w:tcPr>
            <w:tcW w:w="3920" w:type="dxa"/>
            <w:vAlign w:val="bottom"/>
          </w:tcPr>
          <w:p>
            <w:pPr>
              <w:spacing w:after="0"/>
              <w:rPr>
                <w:sz w:val="16"/>
                <w:szCs w:val="16"/>
                <w:color w:val="auto"/>
              </w:rPr>
            </w:pPr>
          </w:p>
        </w:tc>
        <w:tc>
          <w:tcPr>
            <w:tcW w:w="204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Preferred Shares  </w:t>
            </w:r>
          </w:p>
        </w:tc>
        <w:tc>
          <w:tcPr>
            <w:tcW w:w="20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8"/>
        </w:trPr>
        <w:tc>
          <w:tcPr>
            <w:tcW w:w="392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US$ </w:t>
            </w:r>
          </w:p>
        </w:tc>
        <w:tc>
          <w:tcPr>
            <w:tcW w:w="140" w:type="dxa"/>
            <w:vAlign w:val="bottom"/>
          </w:tcPr>
          <w:p>
            <w:pPr>
              <w:spacing w:after="0"/>
              <w:rPr>
                <w:sz w:val="16"/>
                <w:szCs w:val="16"/>
                <w:color w:val="auto"/>
              </w:rPr>
            </w:pPr>
          </w:p>
        </w:tc>
        <w:tc>
          <w:tcPr>
            <w:tcW w:w="1080" w:type="dxa"/>
            <w:vAlign w:val="bottom"/>
            <w:tcBorders>
              <w:top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US$ </w:t>
            </w:r>
          </w:p>
        </w:tc>
        <w:tc>
          <w:tcPr>
            <w:tcW w:w="140" w:type="dxa"/>
            <w:vAlign w:val="bottom"/>
          </w:tcPr>
          <w:p>
            <w:pPr>
              <w:spacing w:after="0"/>
              <w:rPr>
                <w:sz w:val="16"/>
                <w:szCs w:val="16"/>
                <w:color w:val="auto"/>
              </w:rPr>
            </w:pPr>
          </w:p>
        </w:tc>
        <w:tc>
          <w:tcPr>
            <w:tcW w:w="108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2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 and 2022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preferred 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35,552,179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153,126</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27,343,520</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190,723</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62,895,699</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343,849</w:t>
            </w:r>
          </w:p>
        </w:tc>
      </w:tr>
      <w:tr>
        <w:trPr>
          <w:trHeight w:val="22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Re-designation of ordinary shares into preferred</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4"/>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5,332,827</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23,650</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5,332,827</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23,650</w:t>
            </w:r>
          </w:p>
        </w:tc>
      </w:tr>
      <w:tr>
        <w:trPr>
          <w:trHeight w:val="22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convertible preferred</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23"/>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40,885,006</w:t>
            </w: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177,284</w:t>
            </w:r>
          </w:p>
        </w:tc>
        <w:tc>
          <w:tcPr>
            <w:tcW w:w="1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27,343,520</w:t>
            </w:r>
          </w:p>
        </w:tc>
        <w:tc>
          <w:tcPr>
            <w:tcW w:w="1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191,125</w:t>
            </w:r>
          </w:p>
        </w:tc>
        <w:tc>
          <w:tcPr>
            <w:tcW w:w="1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68,228,526</w:t>
            </w: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368,409</w:t>
            </w:r>
          </w:p>
        </w:tc>
      </w:tr>
      <w:tr>
        <w:trPr>
          <w:trHeight w:val="22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convertible preferred</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15,121</w:t>
            </w:r>
          </w:p>
        </w:tc>
      </w:tr>
      <w:tr>
        <w:trPr>
          <w:trHeight w:val="223"/>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40,885,006</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184,509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27,343,520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199,021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68,228,526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383,530</w:t>
            </w:r>
          </w:p>
        </w:tc>
      </w:tr>
      <w:tr>
        <w:trPr>
          <w:trHeight w:val="20"/>
        </w:trPr>
        <w:tc>
          <w:tcPr>
            <w:tcW w:w="3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58"/>
        </w:trPr>
        <w:tc>
          <w:tcPr>
            <w:tcW w:w="3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F-51</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47"/>
        </w:trPr>
        <w:tc>
          <w:tcPr>
            <w:tcW w:w="39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Pre-A Preferred Shares</w:t>
      </w:r>
    </w:p>
    <w:p>
      <w:pPr>
        <w:spacing w:after="0" w:line="18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During February to July 2022, the Company issued 35,552,179 Series Pre-A redeemable convertible preferred shares (“Series Pre-A Preferred Shares”) to two entities designated by an investor (“Pre-A Investor A”) for an aggregated consideration of US$153,126, among which US$129,681 was settled by cash and US$23,445 was settled by the Series Pre-A Note issued in November 2021 as mentioned in note 15.</w:t>
      </w:r>
    </w:p>
    <w:p>
      <w:pPr>
        <w:spacing w:after="0" w:line="1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March 18, 2022, an ordinary shareholder of the Company, who is also a member of management, entered into a share purchase agreement with an investor (“Pre-A Investor B”), pursuant to which the ordinary shareholder sold its 5,332,827 ordinary shares to the Pre-A Investor B with a cash consideration of RMB150,000 (equivalent to US$23,650). On March 22, 2022, the Company’s 5,332,827 ordinary shares were redesignated as Series Pre-A Preferred Shares. The Company considered the redesignation, in substance, was effectively a repurchase and retirement of the ordinary shares and simultaneously an issuance of Series Pre-A Preferred Shares. The excess of the ordinary shares’ fair value over their par value in the amount of US$13,024 was charged to additional paid-in capital. The excess of the preferred shares’ fair value over the ordinary shares’ fair value in the amount of US$10,625 was recognized as share-based compensation expenses, included in “General and administrative expenses” in the consolidated and combined statement of comprehensive loss for the year ended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Shares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During October to December 2022, the Company issued 27,343,520 Series A redeemable convertible preferred shares (“Series A Preferred Shares”) to several investors for an aggregated consideration of US$187,734, among which US $130,304 was settled by cash and the remaining US$57,430 was exchanged by the WFOE Exchangeable Notes issued in November 2021 as mentioned in note</w:t>
      </w:r>
    </w:p>
    <w:p>
      <w:pPr>
        <w:spacing w:after="0" w:line="1" w:lineRule="exact"/>
        <w:rPr>
          <w:sz w:val="20"/>
          <w:szCs w:val="20"/>
          <w:color w:val="auto"/>
        </w:rPr>
      </w:pPr>
    </w:p>
    <w:p>
      <w:pPr>
        <w:ind w:firstLine="8"/>
        <w:spacing w:after="0" w:line="260" w:lineRule="auto"/>
        <w:tabs>
          <w:tab w:leader="none" w:pos="29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the investors of Series A Preferred Shares is Northpole GLY 3 LP, a related party controlled by one of the Company’s directors, subscribed 2,818,400 shares for a cash consideration of US$20,000.</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preferences and privileges of the Series Pre-A and Series A redeemable convertible preferred shares are as follows: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Redemption Rights</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holders of redeemable convertible preferred shares have the right to require the Company to redeem their investments, at any time upon the earlier occurrence of:</w:t>
      </w:r>
    </w:p>
    <w:p>
      <w:pPr>
        <w:spacing w:after="0" w:line="121" w:lineRule="exact"/>
        <w:rPr>
          <w:sz w:val="20"/>
          <w:szCs w:val="20"/>
          <w:color w:val="auto"/>
        </w:rPr>
      </w:pPr>
    </w:p>
    <w:p>
      <w:pPr>
        <w:ind w:left="1000" w:hanging="317"/>
        <w:spacing w:after="0"/>
        <w:tabs>
          <w:tab w:leader="none" w:pos="1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Company to complete a Qualified IPO on or before October 11, 2027;</w:t>
      </w:r>
    </w:p>
    <w:p>
      <w:pPr>
        <w:spacing w:after="0" w:line="27" w:lineRule="exact"/>
        <w:rPr>
          <w:rFonts w:ascii="Times New Roman" w:cs="Times New Roman" w:eastAsia="Times New Roman" w:hAnsi="Times New Roman"/>
          <w:sz w:val="18"/>
          <w:szCs w:val="18"/>
          <w:color w:val="auto"/>
        </w:rPr>
      </w:pPr>
    </w:p>
    <w:p>
      <w:pPr>
        <w:jc w:val="both"/>
        <w:ind w:left="1000" w:hanging="317"/>
        <w:spacing w:after="0" w:line="250" w:lineRule="auto"/>
        <w:tabs>
          <w:tab w:leader="none" w:pos="1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as defined in the shareholder agreement by Founders Offshore Vehicle or any entity of the Group, which has not been cured within ninety (90) days after being requested by relevant holders of redeemable convertible preferred shares;</w:t>
      </w:r>
    </w:p>
    <w:p>
      <w:pPr>
        <w:spacing w:after="0" w:line="1" w:lineRule="exact"/>
        <w:rPr>
          <w:rFonts w:ascii="Times New Roman" w:cs="Times New Roman" w:eastAsia="Times New Roman" w:hAnsi="Times New Roman"/>
          <w:sz w:val="18"/>
          <w:szCs w:val="18"/>
          <w:color w:val="auto"/>
        </w:rPr>
      </w:pPr>
    </w:p>
    <w:p>
      <w:pPr>
        <w:ind w:left="1000" w:right="20" w:hanging="317"/>
        <w:spacing w:after="0" w:line="260" w:lineRule="auto"/>
        <w:tabs>
          <w:tab w:leader="none" w:pos="1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dishonesty of Founders Offshore Vehicle, which results in material adverse effect to the operation of the Group and cannot be effectively remedied within twenty (20) business days.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redemption price for each issued and outstanding redeemable convertible preferred share held, shall be an amount equal to</w:t>
      </w:r>
    </w:p>
    <w:p>
      <w:pPr>
        <w:spacing w:after="0" w:line="27" w:lineRule="exact"/>
        <w:rPr>
          <w:sz w:val="20"/>
          <w:szCs w:val="20"/>
          <w:color w:val="auto"/>
        </w:rPr>
      </w:pPr>
    </w:p>
    <w:p>
      <w:pPr>
        <w:jc w:val="both"/>
        <w:ind w:firstLine="8"/>
        <w:spacing w:after="0" w:line="253" w:lineRule="auto"/>
        <w:tabs>
          <w:tab w:leader="none" w:pos="21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issuance price, plus (ii) interest at a simple rate of eight percent (8%) per annum accrued on the issuance price during the period from the issuance date to the redemption payment date, however, that the portion relevant to the Pre-A Investor A’s initial investment amount of RMB 150,000 shall accrue the interest from November 29, 2021, minus (iii) the amount of the dividends received, plus (iv) all declared but unpaid dividends.</w:t>
      </w:r>
    </w:p>
    <w:p>
      <w:pPr>
        <w:spacing w:after="0" w:line="14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assets or funds of the Company which are legally available on the date that any redemption price is due are insufficient to pay in full all redemption price, those assets or funds which are legally available shall nonetheless be paid and applied in the following preferential sequence: (i) firstly, to the extent permitted by applicable law to pay all redemption price due on such date on the Series A Preferred Shares in proportion to the full amounts to which the holders of Series A Preferred Shares to which such redemption price are due would otherwise be respectively entitled thereon; (ii) secondly, following the full payment of the relevant redemption price to the holders of Series A Preferred Shares, to the extent permitted by applicable law to pay all redemption price due on such date on the Series Pre-A Preferred Shares in proportion to the full amounts to which the holders of Series Pre-A Preferred Shares to which such redemption price are due would otherwise be respectively entitled thereon.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October 11, 2022, the Company and holders of Series Pre-A Preferred Shares agreed to extend the redemption date of the Series Pre-A Preferred Shares from February 28, 2027 to October 11, 2027. The Company determines the modification to the terms of Series Pre-A Preferred Shares represents a modification, because the difference of the fair values of the redeemable convertible preferred shares immediately before and after the amendment is less than 10%, therefore the Company applied modification accounting by analogy to the modification guidance contained in ASC 718-20, Compensation — Stock Compensation, and the modification that results in a decrease in the fair value of the modified preferred shares was not recognized. The fair value of Series Pre-A Preferred Shares before and after the modification were determined by management with the assistance of a third-party valuation firm.</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used the following assumptions in the model:</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4880" w:type="dxa"/>
            <w:vAlign w:val="bottom"/>
          </w:tcPr>
          <w:p>
            <w:pPr>
              <w:spacing w:after="0"/>
              <w:rPr>
                <w:sz w:val="16"/>
                <w:szCs w:val="16"/>
                <w:color w:val="auto"/>
              </w:rPr>
            </w:pPr>
          </w:p>
        </w:tc>
        <w:tc>
          <w:tcPr>
            <w:tcW w:w="158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October 11, 2022 –</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October 11, 2022 –</w:t>
            </w:r>
          </w:p>
        </w:tc>
      </w:tr>
      <w:tr>
        <w:trPr>
          <w:trHeight w:val="195"/>
        </w:trPr>
        <w:tc>
          <w:tcPr>
            <w:tcW w:w="4880" w:type="dxa"/>
            <w:vAlign w:val="bottom"/>
          </w:tcPr>
          <w:p>
            <w:pPr>
              <w:spacing w:after="0"/>
              <w:rPr>
                <w:sz w:val="16"/>
                <w:szCs w:val="16"/>
                <w:color w:val="auto"/>
              </w:rPr>
            </w:pPr>
          </w:p>
        </w:tc>
        <w:tc>
          <w:tcPr>
            <w:tcW w:w="158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before modification</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after modification</w:t>
            </w:r>
          </w:p>
        </w:tc>
      </w:tr>
      <w:tr>
        <w:trPr>
          <w:trHeight w:val="228"/>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61.52 %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60.26 %</w:t>
            </w:r>
          </w:p>
        </w:tc>
      </w:tr>
      <w:tr>
        <w:trPr>
          <w:trHeight w:val="23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0.00 %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2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w:t>
            </w:r>
          </w:p>
        </w:tc>
        <w:tc>
          <w:tcPr>
            <w:tcW w:w="15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2.22 – 4.39 years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2.22 – 5.00 years</w:t>
            </w:r>
          </w:p>
        </w:tc>
      </w:tr>
      <w:tr>
        <w:trPr>
          <w:trHeight w:val="22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ordinary share</w:t>
            </w:r>
          </w:p>
        </w:tc>
        <w:tc>
          <w:tcPr>
            <w:tcW w:w="15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US$3.79</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US$3.66</w:t>
            </w:r>
          </w:p>
        </w:tc>
      </w:tr>
    </w:tbl>
    <w:p>
      <w:pPr>
        <w:spacing w:after="0" w:line="21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risk-free interest rate is based on the yields of China government bonds with a maturity period close to the expected remaining life of the redeemable convertible preferred shares. The expected volatility was estimated based on the historical volatility of comparable peer public companies with a time horizon close to the expected terms of the Company’s redeemable convertible preferred shares. Expected dividend yield is zero as the Company does not anticipate any dividend payments in the foreseeable future. Expected terms are the remaining contract life of the redeemable convertible preferred shares. The estimated fair value was determined using the back-solve method based on the equity allocation model.</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redeemable convertible preferred share may, at the option of the holders, be converted at any time after the date of issuance of such redeemable convertible preferred share into fully-paid and non-assessable ordinary shares at an initial conversion ratio of 1:1 subject to adjustment for share division, share combination, share dividend, reorganization, mergers, consolidations, reclassifications, exchanges, substitutions, recapitalization or similar events. Each redeemable convertible preferred share shall automatically be converted into ordinary shares, at the applicable then-effective conversion price upon the closing of a Qualified IPO.</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redeemable convertible preferred share issued and outstanding shall be entitled to the number of votes equal to the number of ordinary shares into which such redeemable convertible preferred share could be converted at the record date for determination of the shareholders entitled to vote on such matters.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the holders of redeemable convertible preferred shares are entitled to receive the dividends on pro-rata basis according to the relative number of shares held by them on an as-converted basis.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Liquidation Preferences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the event of any liquidation event, including (i) the liquidation, dissolution or winding up of the Company, whether voluntary or involuntary; or (ii) trade sale, which means whether in a single transaction or series of related transactions, any of the following transactions: (a) the merger, acquisition or similar transaction of the Group (whether by a sale of equity, merger, consolidation, scheme of arrangement or amalgamation) in which the shareholders of the Company immediately prior to such transaction or series of transactions will cease to own a majority of the voting power of the surviving or resulting entity immediately after the consummation of such transaction or series of transactions; or (b) the sale, lease, exclusive license or other disposition of all or substantially all of the assets of the Group or the licensing of all or substantially all of the Group’s intellectual property, the holders of redeemable convertible preferred shares shall be entitled to receive, prior and in preference to any distribution or payment shall be made to the holders of any ordinary shares, the liquidation preference amount per share is equal to (i) 100% of the issuance price, plus (ii) interest at a simple rate of eight percent (8%) per annum accrued on the issuance price during the period from the issuance date to the liquidation payment date, however, that the portion relevant to the Pre-A Investor A’s initial investment amount of RMB 150,000 shall accrue the interest from November 29, 2021, plus (iii) any declared but unpaid dividends, plus (iv) interest at a simple rate of three percent (3%) per annum accrued on the WFOE Exchangeable Notes during the period from November 5, 2021 to the issuance date, only applicable to the WFOE Exchangeable Notes Holder.</w:t>
      </w:r>
    </w:p>
    <w:p>
      <w:pPr>
        <w:spacing w:after="0" w:line="1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Company’s available funds and assets are insufficient for the full payment of liquidation preference amounts to all holders of redeemable convertible preferred shares, then the Company’s entire available funds and assets shall be distributed ratably among the holders of redeemable convertible preferred shares in proportion to the aggregate liquidation preference amounts such holder is otherwise entitled to receive.</w:t>
      </w:r>
    </w:p>
    <w:p>
      <w:pPr>
        <w:spacing w:after="0" w:line="1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Liquidation preference is as follows in sequence: Series A Preferred Shares, Series Pre-A Preferred Shares. After distribution or payment in full of the liquidation preference amounts for Series A Preferred Shares and Series Pre-A Preferred Shares, the holders of ordinary shares shall be entitled to receive liquidation amount that equals to the corresponding investment amount paid by the relevant holders of ordinary shares to the Company. After distribution or payment in full of above liquidation amounts, the remaining available funds and assets, if any, shall be distributed ratably among the holders of ordinary shares and Series Pre-A Preferred Shares in proportion to the relative number of ordinary shares held by such shareholders on an as converted basis.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Performance Adjustment Mechanism</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that the Group fails to achieve the agreed milestones, including mass production of Eletre no later than June 30, 2023 and mass production of Emeya (Type 133) no later than June 30, 2024 (collectively as “SOP Milestones”) as requested by the Pre-A Investor A, for every six (6) months that the Group is in delay to achieve the SOP Milestones, the Company shall issue to the Pre-A Investor A additional number of Series Pre-A Preferred Shares at nominal price (the total consideration shall be RMB 1) that equals to 0.5% of the then issued and outstanding shares of the Company immediately prior to such issuance (on a fully-diluted basis), provided that the aggregate maximum number of Series Pre-A Preferred Shares to be issued and obtained by the Pre-A Investor A shall be no more than 2% of the Series Pre-A Preferred Shares then held by the Pre-A Investor A acquired under the Series Pre-A Preferred Share purchase agreement (collectively referred to “warrant”).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of Redeemable Convertible Preferred Shares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classified the redeemable convertible preferred shares as mezzanine equity in the consolidated balance sheets as they are contingently redeemable upon the occurrence of certain events outside of the Company’s control.</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concluded the embedded conversion and redemption option did not need to be bifurcated pursuant to ASC 815 because these terms do not permit net settlement, nor they can be readily settled net by a means outside the contract, nor they can provide for delivery of an asset that puts the holders in a position not substantially different from net settlement.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also determined that the warrant granted to Pre-A Investor A is a freestanding instrument that was accounted for as a warrant liability, as the warrant could be legally detachable and separately exercisable from the Series Pre-A Preferred Shares. At initial recognition, proceeds were first allocated to the warrant based on its fair value and then the residual to the Series Pre-A Preferred Shares. For subsequent measurement, the Company recorded the changes in fair value of warrant liability in the consolidated and combined statements of comprehensive loss. The Company expects that the agreed Milestones will be achieved, thus the Company concludes that the fair value of the warrant liability is minimal as of the issuance date and December 31, 2023 and 2022, respectively. The SOP Milestones for Eletre and Emeya were achieved in December 31, 2022 and January 2024, respectively, therefore no additional Series Pre-A Preferred Shares shall be issued.</w:t>
      </w:r>
    </w:p>
    <w:p>
      <w:pPr>
        <w:spacing w:after="0" w:line="15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the Company has adopted ASU 2020-06 on January 1, 2021, the Company did not assess whether the redeemable convertible preferred shares contain beneficial conversion features.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changes in the redemption value immediately as they occur and adjust the carrying value of redeemable convertible preferred shares to their maximum redemption amount at the end of each reporting period, as if it were also the redemption date for redeemable convertible preferred shares.</w:t>
      </w:r>
    </w:p>
    <w:p>
      <w:pPr>
        <w:spacing w:after="0" w:line="13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mentioned above, the Series A Preferred Shares issued to the WFOE Exchangeable Notes Holder was exchanged by the WFOE Exchangeable Notes issued in November 2021. The Company evaluated accounting of the exchange under ASC 470-50 and determined that they qualified for extinguishment accounting. As such the Company derecognized the carrying amount of the WFOE Exchangeable Notes of US$60,419 and recognized Series A Preferred Shares of US$60,419. Upon exchange, the accumulated recognized other comprehensive loss relating to fair value changes of the WFOE Exchangeable Notes due to instrument-specific credit risk of US$64 was recycled to the consolidated and combined statements of comprehensive loss. During the year ended December 31, 2022, the Company did not record any increase in the carrying amount of Series A Preferred Shares issued to the WFOE Exchangeable Notes Holder as its redemption value was lower than its initial carrying amount.</w:t>
      </w:r>
    </w:p>
    <w:p>
      <w:pPr>
        <w:spacing w:after="0" w:line="1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the Company’s redeemable convertible preferred shares are denominated in RMB other than the functional currency of the Company, i.e., US$, the measurement of redemption value incorporates the effect of exchange rates on the functional currency amount of the redemption feature. The foreign currency exchange rates are considered in that measurement and their effect either increases or reduces the effect dividends on income available to ordinary shareholders and reported loss per share.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MANDATORILY REDEEMABLE NONCONTROLLING INTEREST</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2"/>
        </w:trPr>
        <w:tc>
          <w:tcPr>
            <w:tcW w:w="54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40"/>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30"/>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mandatorily redeemable noncontrolling interest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20" w:type="dxa"/>
            <w:vAlign w:val="bottom"/>
          </w:tcPr>
          <w:p>
            <w:pPr>
              <w:spacing w:after="0"/>
              <w:rPr>
                <w:sz w:val="19"/>
                <w:szCs w:val="19"/>
                <w:color w:val="auto"/>
              </w:rPr>
            </w:pPr>
          </w:p>
        </w:tc>
      </w:tr>
      <w:tr>
        <w:trPr>
          <w:trHeight w:val="225"/>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values of mandatorily redeemable noncontrolling interest, excluding impact of instrument-specific credit</w:t>
            </w: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w:t>
            </w:r>
          </w:p>
        </w:tc>
        <w:tc>
          <w:tcPr>
            <w:tcW w:w="84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tcPr>
          <w:p>
            <w:pPr>
              <w:spacing w:after="0"/>
              <w:rPr>
                <w:sz w:val="20"/>
                <w:szCs w:val="20"/>
                <w:color w:val="auto"/>
              </w:rPr>
            </w:pPr>
          </w:p>
        </w:tc>
      </w:tr>
      <w:tr>
        <w:trPr>
          <w:trHeight w:val="230"/>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fair values of mandatorily redeemable noncontrolling interest due to the instrument-specific credit risk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r>
      <w:tr>
        <w:trPr>
          <w:trHeight w:val="230"/>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r>
      <w:tr>
        <w:trPr>
          <w:trHeight w:val="223"/>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6,593</w:t>
            </w:r>
          </w:p>
        </w:tc>
        <w:tc>
          <w:tcPr>
            <w:tcW w:w="20" w:type="dxa"/>
            <w:vAlign w:val="bottom"/>
          </w:tcPr>
          <w:p>
            <w:pPr>
              <w:spacing w:after="0"/>
              <w:rPr>
                <w:sz w:val="19"/>
                <w:szCs w:val="19"/>
                <w:color w:val="auto"/>
              </w:rPr>
            </w:pPr>
          </w:p>
        </w:tc>
      </w:tr>
      <w:tr>
        <w:trPr>
          <w:trHeight w:val="225"/>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values of mandatorily redeemable noncontrolling interest, excluding impact of instrument-specific credit</w:t>
            </w: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w:t>
            </w:r>
          </w:p>
        </w:tc>
        <w:tc>
          <w:tcPr>
            <w:tcW w:w="84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20" w:type="dxa"/>
            <w:vAlign w:val="bottom"/>
          </w:tcPr>
          <w:p>
            <w:pPr>
              <w:spacing w:after="0"/>
              <w:rPr>
                <w:sz w:val="20"/>
                <w:szCs w:val="20"/>
                <w:color w:val="auto"/>
              </w:rPr>
            </w:pPr>
          </w:p>
        </w:tc>
      </w:tr>
      <w:tr>
        <w:trPr>
          <w:trHeight w:val="230"/>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fair values of mandatorily redeemable noncontrolling interest due to the instrument-specific credit risk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r>
      <w:tr>
        <w:trPr>
          <w:trHeight w:val="230"/>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 w:type="dxa"/>
            <w:vAlign w:val="bottom"/>
          </w:tcPr>
          <w:p>
            <w:pPr>
              <w:spacing w:after="0"/>
              <w:rPr>
                <w:sz w:val="19"/>
                <w:szCs w:val="19"/>
                <w:color w:val="auto"/>
              </w:rPr>
            </w:pPr>
          </w:p>
        </w:tc>
      </w:tr>
      <w:tr>
        <w:trPr>
          <w:trHeight w:val="223"/>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11,381</w:t>
            </w:r>
          </w:p>
        </w:tc>
        <w:tc>
          <w:tcPr>
            <w:tcW w:w="20" w:type="dxa"/>
            <w:vAlign w:val="bottom"/>
          </w:tcPr>
          <w:p>
            <w:pPr>
              <w:spacing w:after="0"/>
              <w:rPr>
                <w:sz w:val="19"/>
                <w:szCs w:val="19"/>
                <w:color w:val="auto"/>
              </w:rPr>
            </w:pPr>
          </w:p>
        </w:tc>
      </w:tr>
      <w:tr>
        <w:trPr>
          <w:trHeight w:val="225"/>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values of mandatorily redeemable noncontrolling interest, excluding impact of instrument-specific credit</w:t>
            </w: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w:t>
            </w:r>
          </w:p>
        </w:tc>
        <w:tc>
          <w:tcPr>
            <w:tcW w:w="84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0"/>
                <w:szCs w:val="20"/>
                <w:color w:val="auto"/>
              </w:rPr>
            </w:pPr>
          </w:p>
        </w:tc>
      </w:tr>
      <w:tr>
        <w:trPr>
          <w:trHeight w:val="229"/>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of mandatorily redeemable noncontrolling interest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20" w:type="dxa"/>
            <w:vAlign w:val="bottom"/>
          </w:tcPr>
          <w:p>
            <w:pPr>
              <w:spacing w:after="0"/>
              <w:rPr>
                <w:sz w:val="19"/>
                <w:szCs w:val="19"/>
                <w:color w:val="auto"/>
              </w:rPr>
            </w:pPr>
          </w:p>
        </w:tc>
      </w:tr>
      <w:tr>
        <w:trPr>
          <w:trHeight w:val="230"/>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r>
      <w:tr>
        <w:trPr>
          <w:trHeight w:val="223"/>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12, 2021, the Company’s VIE and Momenta (Suzhou) Technology Limited Company (“Momenta”) incorporated Ningbo Robotics. The VIE and Momenta hold 60% and 40% equity interest and invested US$9,449 and US$6,299 in Ningbo Robotics, respectively.</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shareholder agreement entered by the VIE and Momenta:</w:t>
      </w:r>
    </w:p>
    <w:p>
      <w:pPr>
        <w:spacing w:after="0" w:line="198" w:lineRule="exact"/>
        <w:rPr>
          <w:sz w:val="20"/>
          <w:szCs w:val="20"/>
          <w:color w:val="auto"/>
        </w:rPr>
      </w:pPr>
    </w:p>
    <w:p>
      <w:pPr>
        <w:jc w:val="both"/>
        <w:ind w:left="340" w:hanging="332"/>
        <w:spacing w:after="0" w:line="258" w:lineRule="auto"/>
        <w:tabs>
          <w:tab w:leader="none" w:pos="3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any disagreement or disputes arising between Ningbo Robotics and Momenta, Momenta has the right to require WFOE or VIE or the entity designated by WFOE or VIE to acquire the 40% equity interest in Ningbo Robotics at the consideration of RMB40,000 in cash.</w:t>
      </w:r>
    </w:p>
    <w:p>
      <w:pPr>
        <w:spacing w:after="0" w:line="15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Momenta is required to sell its 40% equity interest in Ningbo Robotics to WFOE or VIE or the entity designated by WFOE or VIE no later than the third anniversary date of the incorporation of Ningbo Robotics. The redemption price between the date of incorporation and the first anniversary of Ningbo Robotics is RMB40,000, between the first anniversary and the second anniversary of the incorporation Ningbo Robotics is RMB80,000, and between the second anniversary and the third anniversary of the incorporation Ningbo Robotics is RMB120,000. At the sole discretion of Momenta, Momenta is entitled to elect either to redeem in cash or exchange for the Company’s shares with the equivalent monetary value.</w:t>
      </w:r>
    </w:p>
    <w:p>
      <w:pPr>
        <w:spacing w:after="0" w:line="14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Board of Directors approved the Company’s Qualified IPO within the third anniversary date of the incorporation of Ningbo Robotics, Momenta is required to sell its 40% equity interest in Ningbo Robotics at the consideration same as the mechanism mentioned in 2). At the sole discretion of Momenta, Momenta is entitled to elect either to redeem in cash or exchange for the Company’s shares with the equivalent monetary value.</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March 2022, the VIE transfers its 60% equity interest of Ningbo Robotics to its wholly owned subsidiary, Sanya Lotus.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is contractually obligated to repurchase the 40% noncontrolling interests (“NCI”) held by Momenta within the three years from its incorporation. The NCI, together with the embedded repurchase contract, is accounted for as a liability and recorded as “Mandatorily redeemable noncontrolling interest” in the Company’s consolidated balance sheets.</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28, 2023, the Group and Momenta entered into an agreement, pursuant to which, the Group redeemed Momenta’s 40% equity interest in Ningbo Robotics for a cash consideration of RMB80,000 (equivalent to US$11,554) pursuant to Momenta’s redemption right under the shareholders’ agreement of Ningbo Robotics (the “Robotics Redemption”). As mentioned in note 15, on May 30, 2023, the Company issued a convertible note to Momenta Global Limited, a related party of Momenta, following the Robotics Redemption.</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elected the fair value option to account for the mandatorily redeemable noncontrolling interest. The Group believes the fair value option best reflects the economics of the underlying transaction. Changes in fair values due to the instrument-specific credit risk of nil, US$30 and US$13 were debited/ (credited) in other comprehensive income (loss) and all other changes in fair values of US$108, US$5,565 and US$302 were recognized as “Changes in fair values of mandatorily redeemable noncontrolling interest, exchangeable notes and convertible notes, excluding impact of instrument-specific credit risk” in the consolidated and combined statements of comprehensive loss for the years ended December 31, 2023, 2022 and 2021, respectively.</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redemption, the accumulated recognized other comprehensive income (loss) relating to fair value changes of the mandatorily redeemable noncontrolling interest due to instrument-specific credit risk of US$17 was recycled to the consolidated and combined statements of comprehensive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adopted a scenario-weighted average method to determine the fair value of the mandatorily redeemable noncontrolling interest, based on an analysis of future values of the settlement of the obligation, assuming various outcomes. The probability weightings assigned to certain potential scenarios were based on management’s assessment of the probability of settlement of the liability in cash or shares and an assessment of the timing of settlement. In each scenario, the obligation valuation was based on the contractually agreed cash payment or equivalent equity discounted to each valuation date. The fair value of the mandatorily redeemable noncontrolling interest is estimated with the following key assumptions used: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00" w:type="dxa"/>
            <w:vAlign w:val="bottom"/>
          </w:tcPr>
          <w:p>
            <w:pPr>
              <w:spacing w:after="0"/>
              <w:rPr>
                <w:sz w:val="16"/>
                <w:szCs w:val="16"/>
                <w:color w:val="auto"/>
              </w:rPr>
            </w:pPr>
          </w:p>
        </w:tc>
        <w:tc>
          <w:tcPr>
            <w:tcW w:w="16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5"/>
        </w:trPr>
        <w:tc>
          <w:tcPr>
            <w:tcW w:w="83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r>
      <w:tr>
        <w:trPr>
          <w:trHeight w:val="228"/>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Bond yields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 – 7.37 %</w:t>
            </w:r>
          </w:p>
        </w:tc>
      </w:tr>
      <w:tr>
        <w:trPr>
          <w:trHeight w:val="23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0.33-1.86</w:t>
            </w:r>
          </w:p>
        </w:tc>
        <w:tc>
          <w:tcPr>
            <w:tcW w:w="160" w:type="dxa"/>
            <w:vAlign w:val="bottom"/>
            <w:shd w:val="clear" w:color="auto" w:fill="CCEEFF"/>
          </w:tcPr>
          <w:p>
            <w:pPr>
              <w:spacing w:after="0"/>
              <w:rPr>
                <w:sz w:val="19"/>
                <w:szCs w:val="19"/>
                <w:color w:val="auto"/>
              </w:rPr>
            </w:pPr>
          </w:p>
        </w:tc>
      </w:tr>
    </w:tbl>
    <w:p>
      <w:pPr>
        <w:spacing w:after="0" w:line="234" w:lineRule="exact"/>
        <w:rPr>
          <w:sz w:val="20"/>
          <w:szCs w:val="20"/>
          <w:color w:val="auto"/>
        </w:rPr>
      </w:pPr>
    </w:p>
    <w:p>
      <w:pPr>
        <w:ind w:left="660" w:right="4240" w:hanging="652"/>
        <w:spacing w:after="0" w:line="528" w:lineRule="auto"/>
        <w:tabs>
          <w:tab w:leader="none" w:pos="660" w:val="left"/>
        </w:tabs>
        <w:numPr>
          <w:ilvl w:val="0"/>
          <w:numId w:val="1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NON-CURRENT LIABILITIES – THIRD PARTIES </w:t>
      </w:r>
      <w:r>
        <w:rPr>
          <w:rFonts w:ascii="Times New Roman" w:cs="Times New Roman" w:eastAsia="Times New Roman" w:hAnsi="Times New Roman"/>
          <w:sz w:val="17"/>
          <w:szCs w:val="17"/>
          <w:color w:val="auto"/>
        </w:rPr>
        <w:t>Other non-current liabilities – third parties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8"/>
        </w:trPr>
        <w:tc>
          <w:tcPr>
            <w:tcW w:w="24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7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29"/>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from third parties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15,824</w:t>
            </w:r>
          </w:p>
        </w:tc>
      </w:tr>
      <w:tr>
        <w:trPr>
          <w:trHeight w:val="23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Conditional and refundable government grants (i)</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77,654</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103,403</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15,824</w:t>
            </w:r>
          </w:p>
        </w:tc>
      </w:tr>
      <w:tr>
        <w:trPr>
          <w:trHeight w:val="20"/>
        </w:trPr>
        <w:tc>
          <w:tcPr>
            <w:tcW w:w="2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5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63" w:lineRule="exact"/>
        <w:rPr>
          <w:sz w:val="20"/>
          <w:szCs w:val="20"/>
          <w:color w:val="auto"/>
        </w:rPr>
      </w:pPr>
    </w:p>
    <w:p>
      <w:pPr>
        <w:jc w:val="both"/>
        <w:ind w:left="980" w:firstLine="648"/>
        <w:spacing w:after="0" w:line="256" w:lineRule="auto"/>
        <w:tabs>
          <w:tab w:leader="none" w:pos="1952"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was awarded grants from governments and conditional on the operation performance and tax contribution in certain specified regions in the next few years. The government grants have been received and recognized as other non-current liabilities, which will be released to government grants in the consolidated and combined statements of comprehensive loss when the conditions attached for operation performance and tax contribution are satisfied. As of December 31, 2023, the Group estimated that the conditions attached for operation performance and tax contribution would be not probable to be satisfied, thus the Group classify these liabilities as other non-current liabilities.</w:t>
      </w:r>
    </w:p>
    <w:p>
      <w:pPr>
        <w:spacing w:after="0" w:line="19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incorporation on August 9, 2021, the Company issued 191,981,772 ordinary shares to the Founders Offshore Vehicle at US$0.70 per share with total consideration of US$133,683 to the Company, which was fully paid up as of December 31, 2023. As mentioned in Note 17, on March 18, 2022, an ordinary shareholder of the Company, sold its 5,332,827 ordinary shares at US$4.43 per share to Pre-A Investor B with a cash consideration of US$23,650. The Company considered the redesignation, in substance, was effectively a repurchase and retirement of the ordinary shares and simultaneously an issuance of Series Pre-A Preferred Shares.</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11, 2021, the Company issued 95,990,886 ordinary shares to Lotus Technology International Investment Limited, ultimately 100% owned by Geely Holding, at US$0.70 with total consideration of US$67,566, which was fully paid as of December 31, 2022.</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24, 2021, Etika, through Lotus HK, subscribed for 33.33% equity interest in WFOE with total consideration of RMB650,100 (equivalent to US$100,690) and paid up on September 28, 2021. On November 11, 2021, the Company issued 143,986,329 ordinary shares to Etika Automotive SDN BHD (“Etika”) through exchange of 100% equity interest in Lotus Advanced Technology Limited (“Lotus HK”) held by Etika.</w:t>
      </w:r>
    </w:p>
    <w:p>
      <w:pPr>
        <w:spacing w:after="0" w:line="1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24, 2021, the Company issued 47,995,443 ordinary shares to LGIL for the “Lotus” trademark licenses with a fair value of US$116,041 licensed by Group Lotus Limited, a wholly owned subsidiary of LGIL.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noted in Note 1(b), following the Merger Transaction, the Company’s Articles were amended. As such, the shares and corresponding capital amounts and loss per share prior to the Merger have been retroactively adjusted. The new authorized shares of the Company is US$50 divided into 5,000,000,000 shares comprising of ordinary shares with par value of US$0.00001 each. The number of shares issued and outstanding as of December 31, 2023 and 2022 is 474,621,603 ordinary shares.</w:t>
      </w:r>
    </w:p>
    <w:p>
      <w:pPr>
        <w:spacing w:after="0" w:line="196" w:lineRule="exact"/>
        <w:rPr>
          <w:sz w:val="20"/>
          <w:szCs w:val="20"/>
          <w:color w:val="auto"/>
        </w:rPr>
      </w:pPr>
    </w:p>
    <w:p>
      <w:pPr>
        <w:ind w:left="660" w:hanging="652"/>
        <w:spacing w:after="0"/>
        <w:tabs>
          <w:tab w:leader="none" w:pos="66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31, 2023, the Group entered into a distribution agreement with LCL, a wholly owned subsidiary of LGIL and ultimately controlled by the Controlling Shareholder of the Company, pursuant to which, the Group was appointed as the exclusive global distributor to distribute certain models of vehicles and to provide after-sale services and brand, marketing and public relations for such vehicles distributed by it since January 31, 2023, for a cash consideration of GBP18,055 (equivalent to US$22,296).</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 determined that the acquisition of distribution right did not result in a change in the reporting entity and was accounted for prospectively from the date of the transfer. The acquisition of the distribution right was accounted for as a transaction between entities under common control, with the asset recognized at the historical cost of the ultimate parent. The difference between purchase price of US$22,296 and historical cost of nil was recorded as a distribution to shareholders in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NON-CONTROLLING INTEREST</w:t>
      </w:r>
    </w:p>
    <w:p>
      <w:pPr>
        <w:spacing w:after="0" w:line="20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May 2023, the Company incorporated Hangzhou Kingway Technology Co., Ltd. (“Kingway Technology”), in which the Company held 100% equity interest with total cash contribution of US$4,857.</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2023, a related party ultimately controlled by the Controlling Shareholder of the Company and a third party made capital contributions of US$4,182 and US$278 to Kingway Technology, respectively. As a result, the Company’s equity interest in Kingway Technology decreased to 54.3% according to the Articles of Association of Kingway Technology. The Group recorded an increase in additional paid-in capital of US$968 due to the change of the Company’s its equity interest in Kingway Technology.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INCOME TAX</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Income tax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income or capital gain. Additionally, the Cayman Islands does not impose a withholding tax on payments of dividends to shareholders.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current Hong Kong Inland Revenue Ordinance, the Company’s Hong Kong subsidiary is subject to Hong Kong profits tax at the rate of 16.5% on its taxable income generated from the operations in Hong Kong. The first HK$2 million of assessable profits earned by a company will be taxed at 8.25% whilst the remaining profits will continue to be taxed at 16.5%. There is an anti-fragmentation measure where each group will have to elect only one company in the group to benefit from the progressive anti-fragmentation two-tier rates.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PRC, excluding Hong Kong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Group’s PRC subsidiaries and consolidated VIEs are subject to the PRC Enterprise Income Tax Law (“EIT Law”) and are taxed at the statutory income tax rate of 25%, unless otherwise specified.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Under the EIT Law and its implementation rules, an enterprise established outside the PRC with a “place of effective management” within the PRC is considered a PRC resident enterprise for PRC enterprise income tax purposes. A PRC resident enterprise is generally subject to certain PRC tax reporting obligations and a uniform 25% enterprise income tax rate on its worldwide income. The implementation rules to the EIT Law provide that non-resident legal entities are considered PRC residents if substantial and overall management and control over the manufacturing and business operations, personnel, accounting, properties, etc., occurs within the PRC. Despite the present uncertainties resulting from the limited PRC tax guidance on the issue, the Company does not believe that the legal entities organized outside the PRC should be treated as residents for EIT Law purposes. If the PRC tax authorities subsequently determine that the Company and its subsidiaries registered outside the PRC are deemed resident enterprises, the Company and its subsidiaries registered outside the PRC will be subject to the PRC income tax at a rate of 25%.</w:t>
      </w:r>
    </w:p>
    <w:p>
      <w:pPr>
        <w:spacing w:after="0" w:line="16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Dividends paid to non-PRC-resident corporate investor from profits earned by the PRC subsidiaries after January 1, 2008 would be subject to a withholding tax. The EIT law and its relevant regulations impose a withholding tax at 10%, unless reduced by a tax treaty or agreement, for dividends distributed by a PRC-resident enterprise to its non-PRC-resident corporate investor for earnings generated beginning on January 1, 2008.</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Countries</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maximum applicable income tax rates of other countries where the Company’s subsidiaries having significant operations in the years ended December 31, 2023, 2022 and 2021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1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2480" w:type="dxa"/>
            <w:vAlign w:val="bottom"/>
            <w:tcBorders>
              <w:bottom w:val="single" w:sz="8" w:color="CCEEFF"/>
            </w:tcBorders>
          </w:tcPr>
          <w:p>
            <w:pPr>
              <w:spacing w:after="0"/>
              <w:rPr>
                <w:sz w:val="16"/>
                <w:szCs w:val="16"/>
                <w:color w:val="auto"/>
              </w:rPr>
            </w:pPr>
          </w:p>
        </w:tc>
        <w:tc>
          <w:tcPr>
            <w:tcW w:w="45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r>
      <w:tr>
        <w:trPr>
          <w:trHeight w:val="223"/>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0"/>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Corporation tax*</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15.825 %</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15.825 %</w:t>
            </w: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15.825 %</w:t>
            </w:r>
          </w:p>
        </w:tc>
      </w:tr>
      <w:tr>
        <w:trPr>
          <w:trHeight w:val="230"/>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Trade tax*</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14.35 %</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14.35 %</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13.825 %</w:t>
            </w:r>
          </w:p>
        </w:tc>
      </w:tr>
      <w:tr>
        <w:trPr>
          <w:trHeight w:val="230"/>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UK**</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25 %</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25.8 %</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25.8 %</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25.8 %</w:t>
            </w:r>
          </w:p>
        </w:tc>
      </w:tr>
      <w:tr>
        <w:trPr>
          <w:trHeight w:val="115"/>
        </w:trPr>
        <w:tc>
          <w:tcPr>
            <w:tcW w:w="2480" w:type="dxa"/>
            <w:vAlign w:val="bottom"/>
            <w:tcBorders>
              <w:bottom w:val="single" w:sz="8" w:color="auto"/>
            </w:tcBorders>
          </w:tcPr>
          <w:p>
            <w:pPr>
              <w:spacing w:after="0"/>
              <w:rPr>
                <w:sz w:val="10"/>
                <w:szCs w:val="10"/>
                <w:color w:val="auto"/>
              </w:rPr>
            </w:pPr>
          </w:p>
        </w:tc>
        <w:tc>
          <w:tcPr>
            <w:tcW w:w="4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63" w:lineRule="exact"/>
        <w:rPr>
          <w:sz w:val="20"/>
          <w:szCs w:val="20"/>
          <w:color w:val="auto"/>
        </w:rPr>
      </w:pPr>
    </w:p>
    <w:p>
      <w:pPr>
        <w:jc w:val="both"/>
        <w:ind w:firstLine="656"/>
        <w:spacing w:after="0" w:line="261" w:lineRule="auto"/>
        <w:tabs>
          <w:tab w:leader="none" w:pos="129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corporate tax rate excludes trade tax, which rate depends on the municipality in which Lotus GmbH conducts its business. Trade Tax is calculated by determining the Trade Tax Base with 3.5% of the trade income and applying the tax factor which differs according to the specific municipality in Germany and equals 410%, 410% and 395% for the municipality of Raunheim in 2023, 2022 and 2021, respectively.</w:t>
      </w:r>
    </w:p>
    <w:p>
      <w:pPr>
        <w:spacing w:after="0" w:line="139" w:lineRule="exact"/>
        <w:rPr>
          <w:sz w:val="20"/>
          <w:szCs w:val="20"/>
          <w:color w:val="auto"/>
        </w:rPr>
      </w:pPr>
    </w:p>
    <w:p>
      <w:pPr>
        <w:ind w:left="660" w:right="3220" w:hanging="4"/>
        <w:spacing w:after="0" w:line="485" w:lineRule="auto"/>
        <w:tabs>
          <w:tab w:leader="none" w:pos="130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corporate income tax rate changed from 19% to 25% since April 2023. The components of loss before income taxes are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940" w:type="dxa"/>
            <w:vAlign w:val="bottom"/>
            <w:tcBorders>
              <w:bottom w:val="single" w:sz="8" w:color="auto"/>
            </w:tcBorders>
            <w:gridSpan w:val="5"/>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8"/>
        </w:trPr>
        <w:tc>
          <w:tcPr>
            <w:tcW w:w="35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35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PRC, excluding Hong Kong</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(514,816)</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(652,302)</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(113,598)</w:t>
            </w:r>
          </w:p>
        </w:tc>
      </w:tr>
      <w:tr>
        <w:trPr>
          <w:trHeight w:val="22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r>
      <w:tr>
        <w:trPr>
          <w:trHeight w:val="23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UK</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(46,774)</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3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(749,142)</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(724,271)</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(108,678)</w:t>
            </w:r>
          </w:p>
        </w:tc>
      </w:tr>
      <w:tr>
        <w:trPr>
          <w:trHeight w:val="20"/>
        </w:trPr>
        <w:tc>
          <w:tcPr>
            <w:tcW w:w="35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58"/>
        </w:trPr>
        <w:tc>
          <w:tcPr>
            <w:tcW w:w="3580" w:type="dxa"/>
            <w:vAlign w:val="bottom"/>
          </w:tcPr>
          <w:p>
            <w:pPr>
              <w:spacing w:after="0"/>
              <w:rPr>
                <w:sz w:val="24"/>
                <w:szCs w:val="24"/>
                <w:color w:val="auto"/>
              </w:rPr>
            </w:pPr>
          </w:p>
        </w:tc>
        <w:tc>
          <w:tcPr>
            <w:tcW w:w="444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F-59</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60"/>
        </w:trPr>
        <w:tc>
          <w:tcPr>
            <w:tcW w:w="35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income tax expense for the years ended December 31, 2023, 2022 and 2021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3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188"/>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69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−The PRC, excluding Hong Kong</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Germany</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 UK</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Netherlands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 Cayman Islands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Hong Kong</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Others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tax provision</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The PRC, excluding Hong Kong</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 Germany</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UK</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 Netherlands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Cayman Islands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 Hong Kong</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1,853</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actual income tax expense reported in the consolidated and combined statements of comprehensive loss for the years ended December 31, 2023, 2022 and 2021 differs from the amount computed by applying the PRC income tax rate of 25% to loss before income taxes due to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28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9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expected income tax benefit at the PRC statutory tax rate of 25%</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(187,286)</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(181,068)</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Effect on tax rates in different tax jurisdiction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Preferential tax rate impact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(423)</w:t>
            </w:r>
          </w:p>
        </w:tc>
        <w:tc>
          <w:tcPr>
            <w:tcW w:w="12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non-deductible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R&amp;D expenses additional deduction</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(17,732)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(3,068)</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202,586</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177,715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filing difference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Actual income tax expense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F-60</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Deferred income taxes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the deferred tax assets (liabilities) balances as of December 31, 2023 and 2022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21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8"/>
        </w:trPr>
        <w:tc>
          <w:tcPr>
            <w:tcW w:w="782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183"/>
        </w:trPr>
        <w:tc>
          <w:tcPr>
            <w:tcW w:w="7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 Deferred tax assets: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 carryforwards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186,642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78,971</w:t>
            </w:r>
          </w:p>
        </w:tc>
        <w:tc>
          <w:tcPr>
            <w:tcW w:w="20" w:type="dxa"/>
            <w:vAlign w:val="bottom"/>
          </w:tcPr>
          <w:p>
            <w:pPr>
              <w:spacing w:after="0"/>
              <w:rPr>
                <w:sz w:val="19"/>
                <w:szCs w:val="19"/>
                <w:color w:val="auto"/>
              </w:rPr>
            </w:pP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23,271</w:t>
            </w:r>
          </w:p>
        </w:tc>
        <w:tc>
          <w:tcPr>
            <w:tcW w:w="20" w:type="dxa"/>
            <w:vAlign w:val="bottom"/>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Deferral of tax deduction of R&amp;D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308,850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263,384</w:t>
            </w:r>
          </w:p>
        </w:tc>
        <w:tc>
          <w:tcPr>
            <w:tcW w:w="20" w:type="dxa"/>
            <w:vAlign w:val="bottom"/>
          </w:tcPr>
          <w:p>
            <w:pPr>
              <w:spacing w:after="0"/>
              <w:rPr>
                <w:sz w:val="19"/>
                <w:szCs w:val="19"/>
                <w:color w:val="auto"/>
              </w:rPr>
            </w:pP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31,633</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29,201</w:t>
            </w:r>
          </w:p>
        </w:tc>
        <w:tc>
          <w:tcPr>
            <w:tcW w:w="20" w:type="dxa"/>
            <w:vAlign w:val="bottom"/>
          </w:tcPr>
          <w:p>
            <w:pPr>
              <w:spacing w:after="0"/>
              <w:rPr>
                <w:sz w:val="19"/>
                <w:szCs w:val="19"/>
                <w:color w:val="auto"/>
              </w:rPr>
            </w:pP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Exchangeable notes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20" w:type="dxa"/>
            <w:vAlign w:val="bottom"/>
          </w:tcPr>
          <w:p>
            <w:pPr>
              <w:spacing w:after="0"/>
              <w:rPr>
                <w:sz w:val="19"/>
                <w:szCs w:val="19"/>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Mandatorily redeemable noncontrolling interest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0" w:type="dxa"/>
            <w:vAlign w:val="bottom"/>
          </w:tcPr>
          <w:p>
            <w:pPr>
              <w:spacing w:after="0"/>
              <w:rPr>
                <w:sz w:val="19"/>
                <w:szCs w:val="19"/>
                <w:color w:val="auto"/>
              </w:rPr>
            </w:pP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0" w:type="dxa"/>
            <w:vAlign w:val="bottom"/>
          </w:tcPr>
          <w:p>
            <w:pPr>
              <w:spacing w:after="0"/>
              <w:rPr>
                <w:sz w:val="19"/>
                <w:szCs w:val="19"/>
                <w:color w:val="auto"/>
              </w:rPr>
            </w:pP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Deferral of tax deduction of advertising expenses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20" w:type="dxa"/>
            <w:vAlign w:val="bottom"/>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Property, equipment and software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19"/>
                <w:szCs w:val="19"/>
                <w:color w:val="auto"/>
              </w:rPr>
            </w:pP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 w:type="dxa"/>
            <w:vAlign w:val="bottom"/>
          </w:tcPr>
          <w:p>
            <w:pPr>
              <w:spacing w:after="0"/>
              <w:rPr>
                <w:sz w:val="19"/>
                <w:szCs w:val="19"/>
                <w:color w:val="auto"/>
              </w:rPr>
            </w:pPr>
          </w:p>
        </w:tc>
      </w:tr>
      <w:tr>
        <w:trPr>
          <w:trHeight w:val="230"/>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19,102</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20" w:type="dxa"/>
            <w:vAlign w:val="bottom"/>
          </w:tcPr>
          <w:p>
            <w:pPr>
              <w:spacing w:after="0"/>
              <w:rPr>
                <w:sz w:val="19"/>
                <w:szCs w:val="19"/>
                <w:color w:val="auto"/>
              </w:rPr>
            </w:pPr>
          </w:p>
        </w:tc>
      </w:tr>
      <w:tr>
        <w:trPr>
          <w:trHeight w:val="22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gross deferred tax assets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591,377</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410,165</w:t>
            </w:r>
          </w:p>
        </w:tc>
        <w:tc>
          <w:tcPr>
            <w:tcW w:w="20" w:type="dxa"/>
            <w:vAlign w:val="bottom"/>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(390,737)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(202,715)</w:t>
            </w:r>
          </w:p>
        </w:tc>
        <w:tc>
          <w:tcPr>
            <w:tcW w:w="20" w:type="dxa"/>
            <w:vAlign w:val="bottom"/>
          </w:tcPr>
          <w:p>
            <w:pPr>
              <w:spacing w:after="0"/>
              <w:rPr>
                <w:sz w:val="19"/>
                <w:szCs w:val="19"/>
                <w:color w:val="auto"/>
              </w:rPr>
            </w:pPr>
          </w:p>
        </w:tc>
      </w:tr>
      <w:tr>
        <w:trPr>
          <w:trHeight w:val="223"/>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200,640</w:t>
            </w:r>
          </w:p>
        </w:tc>
        <w:tc>
          <w:tcPr>
            <w:tcW w:w="2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207,450</w:t>
            </w:r>
          </w:p>
        </w:tc>
        <w:tc>
          <w:tcPr>
            <w:tcW w:w="20" w:type="dxa"/>
            <w:vAlign w:val="bottom"/>
          </w:tcPr>
          <w:p>
            <w:pPr>
              <w:spacing w:after="0"/>
              <w:rPr>
                <w:sz w:val="19"/>
                <w:szCs w:val="19"/>
                <w:color w:val="auto"/>
              </w:rPr>
            </w:pP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(155,717)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(178,090)</w:t>
            </w:r>
          </w:p>
        </w:tc>
        <w:tc>
          <w:tcPr>
            <w:tcW w:w="20" w:type="dxa"/>
            <w:vAlign w:val="bottom"/>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(41,476)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(29,201)</w:t>
            </w:r>
          </w:p>
        </w:tc>
        <w:tc>
          <w:tcPr>
            <w:tcW w:w="20" w:type="dxa"/>
            <w:vAlign w:val="bottom"/>
          </w:tcPr>
          <w:p>
            <w:pPr>
              <w:spacing w:after="0"/>
              <w:rPr>
                <w:sz w:val="19"/>
                <w:szCs w:val="19"/>
                <w:color w:val="auto"/>
              </w:rPr>
            </w:pPr>
          </w:p>
        </w:tc>
      </w:tr>
      <w:tr>
        <w:trPr>
          <w:trHeight w:val="223"/>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(200,640)</w:t>
            </w:r>
          </w:p>
        </w:tc>
        <w:tc>
          <w:tcPr>
            <w:tcW w:w="2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(207,576)</w:t>
            </w:r>
          </w:p>
        </w:tc>
        <w:tc>
          <w:tcPr>
            <w:tcW w:w="20" w:type="dxa"/>
            <w:vAlign w:val="bottom"/>
          </w:tcPr>
          <w:p>
            <w:pPr>
              <w:spacing w:after="0"/>
              <w:rPr>
                <w:sz w:val="19"/>
                <w:szCs w:val="19"/>
                <w:color w:val="auto"/>
              </w:rPr>
            </w:pP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2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89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deferred taxes noted above are classified as follows in the Company’s consolidated balance sheets:</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3"/>
        </w:trPr>
        <w:tc>
          <w:tcPr>
            <w:tcW w:w="7820" w:type="dxa"/>
            <w:vAlign w:val="bottom"/>
          </w:tcPr>
          <w:p>
            <w:pPr>
              <w:spacing w:after="0"/>
              <w:rPr>
                <w:sz w:val="24"/>
                <w:szCs w:val="24"/>
                <w:color w:val="auto"/>
              </w:rPr>
            </w:pPr>
          </w:p>
        </w:tc>
        <w:tc>
          <w:tcPr>
            <w:tcW w:w="21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7"/>
        </w:trPr>
        <w:tc>
          <w:tcPr>
            <w:tcW w:w="782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183"/>
        </w:trPr>
        <w:tc>
          <w:tcPr>
            <w:tcW w:w="7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19"/>
                <w:szCs w:val="19"/>
                <w:color w:val="auto"/>
              </w:rPr>
            </w:pPr>
          </w:p>
        </w:tc>
      </w:tr>
      <w:tr>
        <w:trPr>
          <w:trHeight w:val="223"/>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2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valuation allowance is provided against deferred income tax assets when the Group determines that it is more-likely-than-not that the deferred income tax assets will not be utilized in the foreseeable future. In making such determination, the Group evaluates a variety of factors including the Group’s operating history, accumulated deficit, existence of taxable temporary differences and reversal periods.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2023, the valuation allowances of US$390,737 were related to the deferred income tax assets of the certain subsidiaries of the Company which were in loss position. These entities were in a cumulative loss position, which is a significant negative indicator to overcome that sufficient income will be generated over the periods in which the deferred income tax assets are deductible or utilized. The ultimate realization of deferred income tax assets is dependent upon the generation of future taxable income during the periods in which those temporary differences become deductible or utilized. Management considers the scheduled reversal of deferred income tax liabilities, projected future taxable income and tax planning strategies in making this assessment.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valuation allowance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32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188"/>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69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202,715</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Addition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215,886</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177,715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29,784</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(25,934)</w:t>
            </w: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390,737</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202,715</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32,914</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the net operating loss carryforwards of the Company’s subsidiaries and VIEs in the PRC amounted to US$470,713, which can be carried forward for five years to offset future taxable profit. The net operating loss carryforwards of the Company’s subsidiaries and VIEs in the PRC, excluding Hong Kong, will expire during the period from year 2026 to year 2028, if unused by the following year-end: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7"/>
        </w:trPr>
        <w:tc>
          <w:tcPr>
            <w:tcW w:w="87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0"/>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43,523</w:t>
            </w:r>
          </w:p>
        </w:tc>
      </w:tr>
      <w:tr>
        <w:trPr>
          <w:trHeight w:val="230"/>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151,292</w:t>
            </w:r>
          </w:p>
        </w:tc>
      </w:tr>
      <w:tr>
        <w:trPr>
          <w:trHeight w:val="229"/>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275,898</w:t>
            </w:r>
          </w:p>
        </w:tc>
      </w:tr>
      <w:tr>
        <w:trPr>
          <w:trHeight w:val="223"/>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470,713</w:t>
            </w:r>
          </w:p>
        </w:tc>
      </w:tr>
      <w:tr>
        <w:trPr>
          <w:trHeight w:val="20"/>
        </w:trPr>
        <w:tc>
          <w:tcPr>
            <w:tcW w:w="8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the net operating loss carryforwards of the Company’s subsidiaries incorporated in Netherlands amounted to US$94,088. Operating losses can be carried forward without time limitation but are available to offset the first EUR 1,000 of taxable profits and 50% of taxable profits in excess of this of the current fiscal year.</w:t>
      </w:r>
    </w:p>
    <w:p>
      <w:pPr>
        <w:spacing w:after="0" w:line="14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net operating loss carryforwards of the Company’s subsidiaries incorporated in UK amounted to US$140,725. Operating losses can be carried forward without time limitation but the annual limit of utilization of carryforward loss, without any cash tax impact, is GBP 5,000.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NET LOSS PER SHARE</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basic and diluted net loss per ordinary share computation and provides a reconciliation of the numerator and denominator for the years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68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(742,001)</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(723,921)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redeemable convertible preferred shares</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(15,121)</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Numerator for basic and diluted net loss per ordinary share calculation</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(757,122)</w:t>
            </w:r>
          </w:p>
        </w:tc>
        <w:tc>
          <w:tcPr>
            <w:tcW w:w="18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(724,831)</w:t>
            </w:r>
          </w:p>
        </w:tc>
        <w:tc>
          <w:tcPr>
            <w:tcW w:w="2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Weighted average number of ordinary shares, basic and diluted</w:t>
            </w:r>
            <w:r>
              <w:rPr>
                <w:rFonts w:ascii="Times New Roman" w:cs="Times New Roman" w:eastAsia="Times New Roman" w:hAnsi="Times New Roman"/>
                <w:sz w:val="26"/>
                <w:szCs w:val="26"/>
                <w:color w:val="auto"/>
                <w:vertAlign w:val="superscript"/>
              </w:rPr>
              <w:t>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474,621,603</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475,805,054</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334,127,181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Denominator for basic and diluted net loss per ordinary share calculation</w:t>
            </w:r>
            <w:r>
              <w:rPr>
                <w:rFonts w:ascii="Times New Roman" w:cs="Times New Roman" w:eastAsia="Times New Roman" w:hAnsi="Times New Roman"/>
                <w:sz w:val="25"/>
                <w:szCs w:val="25"/>
                <w:b w:val="1"/>
                <w:bCs w:val="1"/>
                <w:color w:val="auto"/>
                <w:vertAlign w:val="superscript"/>
              </w:rPr>
              <w:t>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474,621,603</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475,805,054</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334,127,181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 attributable to ordinary shareholders</w:t>
            </w: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 – Basic and diluted </w:t>
            </w:r>
            <w:r>
              <w:rPr>
                <w:rFonts w:ascii="Times New Roman" w:cs="Times New Roman" w:eastAsia="Times New Roman" w:hAnsi="Times New Roman"/>
                <w:sz w:val="26"/>
                <w:szCs w:val="26"/>
                <w:color w:val="auto"/>
                <w:vertAlign w:val="superscript"/>
              </w:rPr>
              <w:t>1</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3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Shares outstanding for all periods reflect the adjustment for Recapitalization.</w:t>
      </w:r>
    </w:p>
    <w:p>
      <w:pPr>
        <w:spacing w:after="0" w:line="15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the purposes of calculating loss per share for the years ended December 31, 2023, 2022 and 2021, the weighted average number of ordinary shares outstanding used in the calculation has been retrospectively adjusted to reflect the Recapitalization (see note 1(b)), as if the Recapitalization had occurred at the beginning of the earliest period presented.</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following outstanding potentially dilutive ordinary share equivalents adjusted to reflect the effect of Recapitalization have been excluded from the computation of diluted net loss per share attributable to ordinary shareholders for the years presented due to their antidilutive effect: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188"/>
        </w:trPr>
        <w:tc>
          <w:tcPr>
            <w:tcW w:w="24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shares (note 17)</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68,228,526</w:t>
            </w: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68,228,526</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Exchangeable notes (i)</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36,709,165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34,459,983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12,547,642</w:t>
            </w:r>
          </w:p>
        </w:tc>
      </w:tr>
      <w:tr>
        <w:trPr>
          <w:trHeight w:val="22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Pre-A Note (ii)</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5,332,827</w:t>
            </w:r>
          </w:p>
        </w:tc>
      </w:tr>
      <w:tr>
        <w:trPr>
          <w:trHeight w:val="23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 Convertible notes (iii)</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2,029,407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Mandatorily redeemable noncontrolling interest (iv)</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1,148,666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627,382</w:t>
            </w:r>
          </w:p>
        </w:tc>
      </w:tr>
      <w:tr>
        <w:trPr>
          <w:trHeight w:val="23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options(v)</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10,073,233</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10,378,710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Warrant(vi)</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711,044</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711,044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117,751,375</w:t>
            </w: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114,926,929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18,507,851</w:t>
            </w:r>
          </w:p>
        </w:tc>
      </w:tr>
      <w:tr>
        <w:trPr>
          <w:trHeight w:val="20"/>
        </w:trPr>
        <w:tc>
          <w:tcPr>
            <w:tcW w:w="24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r>
    </w:tbl>
    <w:p>
      <w:pPr>
        <w:spacing w:after="0" w:line="63" w:lineRule="exact"/>
        <w:rPr>
          <w:sz w:val="20"/>
          <w:szCs w:val="20"/>
          <w:color w:val="auto"/>
        </w:rPr>
      </w:pPr>
    </w:p>
    <w:p>
      <w:pPr>
        <w:jc w:val="both"/>
        <w:ind w:firstLine="656"/>
        <w:spacing w:after="0" w:line="261" w:lineRule="auto"/>
        <w:tabs>
          <w:tab w:leader="none" w:pos="129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potentially dilutive ordinary shares equivalent after Recapitalization on as-if-converted basis, calculated by the fixed monetary value of RMB2,600,000 (equivalent of US$367,092), RMB2,400,000 (equivalent of US$344,600) and RMB800,000 (equivalent of US$125,476) divided by the fixed conversion price of US$10 per share as of December 31, 2023, 2022 and 2021, respectively.</w:t>
      </w:r>
    </w:p>
    <w:p>
      <w:pPr>
        <w:spacing w:after="0" w:line="13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potentially dilutive ordinary shares equivalent after Recapitalization on as-if-converted basis, calculated by the fixed monetary value of RMB150,000 (equivalent of US$21,178) divided by the then conversion price after Recapitalization as of December 31, 2021.</w:t>
      </w:r>
    </w:p>
    <w:p>
      <w:pPr>
        <w:spacing w:after="0" w:line="13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the conversion of 2023 Convertible Notes as mentioned in note 15 is not included in the calculation of basic or diluted loss per share, as the conversion is contingent upon the consummation of the Business Combination, which was not satisfied as of the period end.</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56"/>
        <w:spacing w:after="0" w:line="258" w:lineRule="auto"/>
        <w:tabs>
          <w:tab w:leader="none" w:pos="129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potentially dilutive ordinary shares equivalent after Recapitalization on as-if-converted basis, calculated by the fixed monetary value of RMB80,000 (equivalent of US$11,487)and RMB40,000 (equivalent of US$6,274) divided by the fixed conversion price of US$10 per share as of December 31, 2022 and 2021, respectively.</w:t>
      </w:r>
    </w:p>
    <w:p>
      <w:pPr>
        <w:spacing w:after="0" w:line="14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and 2022, 10,073,233 and 10,378,710 outstanding share options, respectively, are not included in the calculation of basic or diluted loss per share, as the issuance of such awards is contingent upon a Qualified IPO, which was not satisfied as of the year end.</w:t>
      </w:r>
    </w:p>
    <w:p>
      <w:pPr>
        <w:spacing w:after="0" w:line="13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and 2022, the warrant to purchase maximum 711,044 and 711,044 Series Pre-A Preferred Shares after Recapitalization is not included in the calculation of basic or diluted loss per share, as the issuance of such shares is contingent upon a qualifying event, which was not satisfied as of the year end.</w:t>
      </w:r>
    </w:p>
    <w:p>
      <w:pPr>
        <w:spacing w:after="0" w:line="13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or conversion of Lightning Speed Exchangeable Notes or Subsidiary Convertible Note to its respective equity holders as mentioned in note 14 and note 15, respectively, have no effect on the number of the Company’s outstanding ordinary shares. The potential common shares of Lightning Speed and Ningbo Robotics, subsidiaries of the Company, were excluded from the computation of diluted net loss per share attributable to ordinary shareholders for the periods presented due to their antidilutive effect.</w:t>
      </w:r>
    </w:p>
    <w:p>
      <w:pPr>
        <w:spacing w:after="0" w:line="13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the put options as mentioned in note 12 are not included in the calculation of basic or diluted loss per share, as the issuance of such shares is contingent on the satisfaction of exercise condition, which was not satisfied as of the period end.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REVENUES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Group’s revenues are disaggregated by service lines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3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188"/>
        </w:trPr>
        <w:tc>
          <w:tcPr>
            <w:tcW w:w="35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35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line</w:t>
            </w:r>
          </w:p>
        </w:tc>
        <w:tc>
          <w:tcPr>
            <w:tcW w:w="3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Sales of goods – third parties</w:t>
            </w:r>
          </w:p>
        </w:tc>
        <w:tc>
          <w:tcPr>
            <w:tcW w:w="3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 BEV lifestyle models</w:t>
            </w:r>
          </w:p>
        </w:tc>
        <w:tc>
          <w:tcPr>
            <w:tcW w:w="4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464,172</w:t>
            </w: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 – Sports cars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183,160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 Others</w:t>
            </w:r>
          </w:p>
        </w:tc>
        <w:tc>
          <w:tcPr>
            <w:tcW w:w="4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2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656,726</w:t>
            </w:r>
          </w:p>
        </w:tc>
        <w:tc>
          <w:tcPr>
            <w:tcW w:w="2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goods – related parties</w:t>
            </w:r>
          </w:p>
        </w:tc>
        <w:tc>
          <w:tcPr>
            <w:tcW w:w="3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 – BEV lifestyle models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 Sports cars</w:t>
            </w:r>
          </w:p>
        </w:tc>
        <w:tc>
          <w:tcPr>
            <w:tcW w:w="4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 – Others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Subtotal</w:t>
            </w:r>
          </w:p>
        </w:tc>
        <w:tc>
          <w:tcPr>
            <w:tcW w:w="34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660,158</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1,186</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r>
      <w:tr>
        <w:trPr>
          <w:trHeight w:val="22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3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 – related parties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 third parties</w:t>
            </w:r>
          </w:p>
        </w:tc>
        <w:tc>
          <w:tcPr>
            <w:tcW w:w="4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Subtotal</w:t>
            </w:r>
          </w:p>
        </w:tc>
        <w:tc>
          <w:tcPr>
            <w:tcW w:w="346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18,850</w:t>
            </w:r>
          </w:p>
        </w:tc>
        <w:tc>
          <w:tcPr>
            <w:tcW w:w="2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8,371</w:t>
            </w:r>
          </w:p>
        </w:tc>
        <w:tc>
          <w:tcPr>
            <w:tcW w:w="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3,318</w:t>
            </w:r>
          </w:p>
        </w:tc>
      </w:tr>
      <w:tr>
        <w:trPr>
          <w:trHeight w:val="223"/>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679,008</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9,557</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3,687</w:t>
            </w:r>
          </w:p>
        </w:tc>
      </w:tr>
      <w:tr>
        <w:trPr>
          <w:trHeight w:val="20"/>
        </w:trPr>
        <w:tc>
          <w:tcPr>
            <w:tcW w:w="3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58"/>
        </w:trPr>
        <w:tc>
          <w:tcPr>
            <w:tcW w:w="3520" w:type="dxa"/>
            <w:vAlign w:val="bottom"/>
          </w:tcPr>
          <w:p>
            <w:pPr>
              <w:spacing w:after="0"/>
              <w:rPr>
                <w:sz w:val="24"/>
                <w:szCs w:val="24"/>
                <w:color w:val="auto"/>
              </w:rPr>
            </w:pPr>
          </w:p>
        </w:tc>
        <w:tc>
          <w:tcPr>
            <w:tcW w:w="45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F-64</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47"/>
        </w:trPr>
        <w:tc>
          <w:tcPr>
            <w:tcW w:w="35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Group’s revenues by geographic areas (based on the locations of customers):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18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29"/>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419,448</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8,816</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9"/>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26,390</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Belgium</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20,701</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13,729</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47,683</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679,008</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9,557</w:t>
            </w: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3,687</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4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4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40" w:type="dxa"/>
            <w:vAlign w:val="bottom"/>
            <w:gridSpan w:val="2"/>
          </w:tcPr>
          <w:p>
            <w:pPr>
              <w:spacing w:after="0"/>
              <w:rPr>
                <w:sz w:val="15"/>
                <w:szCs w:val="15"/>
                <w:color w:val="auto"/>
              </w:rPr>
            </w:pPr>
          </w:p>
        </w:tc>
        <w:tc>
          <w:tcPr>
            <w:tcW w:w="320" w:type="dxa"/>
            <w:vAlign w:val="bottom"/>
            <w:gridSpan w:val="2"/>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30"/>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Contract liabilities – third parties</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0" w:type="dxa"/>
            <w:vAlign w:val="bottom"/>
          </w:tcPr>
          <w:p>
            <w:pPr>
              <w:spacing w:after="0"/>
              <w:rPr>
                <w:sz w:val="1"/>
                <w:szCs w:val="1"/>
                <w:color w:val="auto"/>
              </w:rPr>
            </w:pPr>
          </w:p>
        </w:tc>
      </w:tr>
      <w:tr>
        <w:trPr>
          <w:trHeight w:val="230"/>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Contract liabilities – related parties*</w:t>
            </w: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Contract liabilities – third parties</w:t>
            </w: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 liabilities, current and non-current</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7,851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firstLine="8"/>
        <w:spacing w:after="0" w:line="282" w:lineRule="auto"/>
        <w:tabs>
          <w:tab w:leader="none" w:pos="32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is included in accrued expenses and other current liabilities — related parties in the consolidated balance sheets as of December 31, 2023 and 2022.</w:t>
      </w:r>
    </w:p>
    <w:p>
      <w:pPr>
        <w:spacing w:after="0" w:line="13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Among the balance of contract liabilities of US$7,851 as of December 31, 2022, US$ 5,438 was recognized as revenue during the year ended December 31, 2023.</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contract liabilities relate to up-front payments from the Group’s customers for purchase of vehicles or services in advance of transfer of the control of the products and services under the contract. Amounts that are expected to be recognized as revenues within one-year are included as current contract liabilities with the remaining balance recognized as other non-current liabilities.</w:t>
      </w:r>
    </w:p>
    <w:p>
      <w:pPr>
        <w:spacing w:after="0" w:line="14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expects that US$333,985 of transaction price allocated to unsatisfied performance obligation as of December 31, 2023 will be recognized as revenues within one year. The remaining US$12,067 will be recognized over the remaining contract periods over 1 to 10 years.</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has elected, as a practical expedient, not to disclose the transaction price allocated to unsatisfied or partially unsatisfied performance obligations that are part of a contract that has an original expected duration of one year or less.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FAIR VALUE MEASUREMENT</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on a recurring basis include derivative assets, investment securities, exchangeable notes, convertible notes, mandatorily redeemable noncontrolling interest and put option liabilities.</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set the major financial instruments measured at fair value, by level within the fair value hierarchy as of December 31, 2023 and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5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40" w:type="dxa"/>
            <w:vAlign w:val="bottom"/>
          </w:tcPr>
          <w:p>
            <w:pPr>
              <w:spacing w:after="0"/>
              <w:rPr>
                <w:sz w:val="16"/>
                <w:szCs w:val="16"/>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6"/>
              </w:rPr>
              <w:t>US$</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6"/>
              </w:rPr>
              <w:t>US$</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 Assets</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80" w:type="dxa"/>
            <w:vAlign w:val="bottom"/>
          </w:tcPr>
          <w:p>
            <w:pPr>
              <w:spacing w:after="0"/>
              <w:rPr>
                <w:sz w:val="19"/>
                <w:szCs w:val="19"/>
                <w:color w:val="auto"/>
              </w:rPr>
            </w:pP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101,912</w:t>
            </w: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101,912</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Exchangeable notes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454,316</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454,316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5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40" w:type="dxa"/>
            <w:vAlign w:val="bottom"/>
          </w:tcPr>
          <w:p>
            <w:pPr>
              <w:spacing w:after="0"/>
              <w:rPr>
                <w:sz w:val="16"/>
                <w:szCs w:val="16"/>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6"/>
              </w:rPr>
              <w:t>US$</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6"/>
              </w:rPr>
              <w:t>US$</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 Assets</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180" w:type="dxa"/>
            <w:vAlign w:val="bottom"/>
          </w:tcPr>
          <w:p>
            <w:pPr>
              <w:spacing w:after="0"/>
              <w:rPr>
                <w:sz w:val="23"/>
                <w:szCs w:val="23"/>
                <w:color w:val="auto"/>
              </w:rPr>
            </w:pP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76,770</w:t>
            </w: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76,770</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Exchangeable notes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427,112</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427,112</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Mandatorily redeemable noncontrolling interest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Techniques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Derivative asset: Derivative asset represents forward currency contracts. The fair value is estimated by discounting the difference between the contractual forward price and the current available forward price for the residual maturity of the contract using observable market rates.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Investment securities: On May 13, 2022, the Group purchased a one-year convertible note (the “Note”) with the principal of US$10,000 issued by ECARX Holdings Inc. (“Ecarx”), which is a related party controlled by the Controlling Shareholder of the Company and listed in NASDAQ on December 21, 2022. Upon the listing of Ecarx, the Note was automatically converted to the Class A ordinary shares of Ecarx (the “listed equity securities”) at conversion price of US$9.5 per share. The Group classifies the listed equity securities as investments with readily determinable fair values and reported at fair value. As such the Group derecognized the carrying amount of the Note of US$11,316 and recognized the listed equity securities of US$11,316 at fair value on December 21, 2022. The Group values the listed equity securities using quoted prices for the underlying securities in active markets and accordingly, the Group classifies the valuation techniques that use these inputs as Level 1. As of December 31, 2023 and 2022, the Group’s equity securities were US$3,326 and US$8,411, respectively. The Group recorded the fair value loss of US$5,085 and US$2,905 and nil in “Investment (loss) income, net” in the consolidated and combined statements of comprehensive loss for the year ended December 31, 2023, 2022 and 2021, respectively.</w:t>
      </w:r>
    </w:p>
    <w:p>
      <w:pPr>
        <w:spacing w:after="0" w:line="1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Put option liabilities, exchangeable notes, convertible notes and mandatorily redeemable noncontrolling interest,: As the Group’s put option liabilities, exchangeable notes, convertible notes and mandatorily redeemable noncontrolling interest are not traded in an active market with readily observable quoted prices, the Group uses significant unobservable inputs (Level 3) to measure the fair value of the put option liabilities, exchangeable notes, convertible notes and mandatorily redeemable noncontrolling interest at inception and at each subsequent balance sheet date. See notes 12, 14, 15 and 18 for information about the significant unobservable inputs used in the respective fair value measurements.</w:t>
      </w:r>
    </w:p>
    <w:p>
      <w:pPr>
        <w:spacing w:after="0" w:line="1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other financial assets and liabilities of the Group primarily consist of cash, restricted cash, accounts receivable, loan receivables and other receivables included in prepayments and other current assets and other non-current assets, short-term borrowings, accounts payable, other payables included in accrued expenses and other current liabilities and other non-current liabilities and operating lease liabilities. As of December 31, 2023 and 2022, the fair values of financial assets and liabilities included in non-current assets, operating leases liabilities and other non-current liabilities approximated to their carrying values, which were due to that the underlying interest rates approximated to the market rates for similar instruments with similar maturities. As of December 31, 2023 and 2022, the carrying amounts of other financial instruments approximated to their fair values due to short term maturity of these instruments.</w:t>
      </w:r>
    </w:p>
    <w:p>
      <w:pPr>
        <w:spacing w:after="0" w:line="14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Group’s non-financial assets, such as property, equipment and software and intangible assets, would be measured at fair value only if they were determined to be impaired.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SHARE-BASED COMPENSATION</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s shareholders approved and adopted a share incentive plan in September 2022, or the 2022 Share Incentive Plan, for the purpose of attracting and retaining the best available personnel, providing additional incentives to employees, directors and consultants, and promoting the success of the Group’s business. Under the 2022 Share Incentive Plan, the Company is authorized to grant options. The maximum aggregate number of ordinary shares that may be issued pursuant to all awards under the 2022 Share Incentive Plan is 51,550,661. During the years ended December 31,2023 and 2022, 775,561 and 10,378,710 options were granted under the 2022 Share Incentive Plan, among which, nil and 312,292 share options were granted to non-employee service providers for providing operation consultation and business development services, and nil and 1,028,126 share options were granted to employees of an entity ultimately controlled by the Controlling Shareholder of the Company, respectively. No share option had been granted to directors or officers during the years ended December 31,2023 and 2022.</w:t>
      </w:r>
    </w:p>
    <w:p>
      <w:pPr>
        <w:spacing w:after="0" w:line="15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 options granted under the 2022 Share Incentive Plan have a contractual term of ten years and have varying vesting terms that requires the grantees to render services for a period ranged from nil to three years under which the grantees earn an entitlement to vest over such stipulated services period. The share awards are only exercisable subject to the grantee’s continuous service and the consummation of a Qualified IPO by the Group.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share options activities for the years ended December 31, 2023 and 2022 is presented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74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74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8"/>
        </w:trPr>
        <w:tc>
          <w:tcPr>
            <w:tcW w:w="5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4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January 1, 2022</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10,378,710</w:t>
            </w: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10,378,710</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775,561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(1,081,038)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10,073,233</w:t>
            </w: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8.82</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60,831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no share options were exercisable since their exercisability is subject to the occurrence of a Qualified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IPO.</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2023, for the cumulative options granted to employees and non-employee service providers to purchase 9,132,593 shares, nil share-based compensation expense was recognized for these awards as the qualifying event was not probable as of December 31, 2023. The total unrecognized share-based compensation expense relating to these awards as of December 31, 2023 was US$ 18,776, of which US$ 16,243 was based on the degree of service period that had been completed as of December 31, 2023. The Group will recognize compensation expenses relating to the awards cumulatively upon the consummation of a Qualified IPO.</w:t>
      </w:r>
    </w:p>
    <w:p>
      <w:pPr>
        <w:spacing w:after="0" w:line="1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for the cumulative options granted to employees of an entity controlled by the Controlling Shareholder of the Company to purchase 940,640 shares, the Group elects to recognize the fair value of these options as dividends to the shareholder. The total fair value relating to these awards was US$ 2,101. Note that the company under common control is providing sports cars to the Group and the Group pays the purchase price at market rates, so no compensation expense is reflected for these grants.</w:t>
      </w:r>
    </w:p>
    <w:p>
      <w:pPr>
        <w:spacing w:after="0" w:line="13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the options granted are estimated on the dates of grant using the binomial option pricing model with the following assumptions used: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gridSpan w:val="4"/>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89"/>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Grant dates:</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r>
      <w:tr>
        <w:trPr>
          <w:trHeight w:val="223"/>
        </w:trPr>
        <w:tc>
          <w:tcPr>
            <w:tcW w:w="64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Risk-free interest rate</w:t>
            </w:r>
            <w:r>
              <w:rPr>
                <w:rFonts w:ascii="Times New Roman" w:cs="Times New Roman" w:eastAsia="Times New Roman" w:hAnsi="Times New Roman"/>
                <w:sz w:val="25"/>
                <w:szCs w:val="25"/>
                <w:color w:val="auto"/>
                <w:vertAlign w:val="superscript"/>
              </w:rPr>
              <w:t>(i)</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 4.79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 4.15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0"/>
        </w:trPr>
        <w:tc>
          <w:tcPr>
            <w:tcW w:w="65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Expected volatility</w:t>
            </w:r>
            <w:r>
              <w:rPr>
                <w:rFonts w:ascii="Times New Roman" w:cs="Times New Roman" w:eastAsia="Times New Roman" w:hAnsi="Times New Roman"/>
                <w:sz w:val="26"/>
                <w:szCs w:val="26"/>
                <w:color w:val="auto"/>
                <w:vertAlign w:val="superscript"/>
              </w:rPr>
              <w:t>(ii)</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54.06% – 54.48 %</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56.13% – 56.32 %</w:t>
            </w:r>
          </w:p>
        </w:tc>
      </w:tr>
      <w:tr>
        <w:trPr>
          <w:trHeight w:val="230"/>
        </w:trPr>
        <w:tc>
          <w:tcPr>
            <w:tcW w:w="65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Expected dividend yield</w:t>
            </w:r>
            <w:r>
              <w:rPr>
                <w:rFonts w:ascii="Times New Roman" w:cs="Times New Roman" w:eastAsia="Times New Roman" w:hAnsi="Times New Roman"/>
                <w:sz w:val="26"/>
                <w:szCs w:val="26"/>
                <w:color w:val="auto"/>
                <w:vertAlign w:val="superscript"/>
              </w:rPr>
              <w:t>(iii)</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29"/>
        </w:trPr>
        <w:tc>
          <w:tcPr>
            <w:tcW w:w="65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Exercise multiple</w:t>
            </w:r>
            <w:r>
              <w:rPr>
                <w:rFonts w:ascii="Times New Roman" w:cs="Times New Roman" w:eastAsia="Times New Roman" w:hAnsi="Times New Roman"/>
                <w:sz w:val="26"/>
                <w:szCs w:val="26"/>
                <w:color w:val="auto"/>
                <w:vertAlign w:val="superscript"/>
              </w:rPr>
              <w:t>(iv)</w:t>
            </w:r>
          </w:p>
        </w:tc>
        <w:tc>
          <w:tcPr>
            <w:tcW w:w="1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2.20 – 2.80</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2.20 – 2.80</w:t>
            </w:r>
          </w:p>
        </w:tc>
      </w:tr>
      <w:tr>
        <w:trPr>
          <w:trHeight w:val="230"/>
        </w:trPr>
        <w:tc>
          <w:tcPr>
            <w:tcW w:w="65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Expected terms</w:t>
            </w:r>
            <w:r>
              <w:rPr>
                <w:rFonts w:ascii="Times New Roman" w:cs="Times New Roman" w:eastAsia="Times New Roman" w:hAnsi="Times New Roman"/>
                <w:sz w:val="26"/>
                <w:szCs w:val="26"/>
                <w:color w:val="auto"/>
                <w:vertAlign w:val="superscript"/>
              </w:rPr>
              <w:t>(v)</w:t>
            </w:r>
          </w:p>
        </w:tc>
        <w:tc>
          <w:tcPr>
            <w:tcW w:w="1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 years</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 years</w:t>
            </w:r>
          </w:p>
        </w:tc>
      </w:tr>
      <w:tr>
        <w:trPr>
          <w:trHeight w:val="355"/>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underlying ordinary share</w:t>
            </w:r>
            <w:r>
              <w:rPr>
                <w:rFonts w:ascii="Times New Roman" w:cs="Times New Roman" w:eastAsia="Times New Roman" w:hAnsi="Times New Roman"/>
                <w:sz w:val="26"/>
                <w:szCs w:val="26"/>
                <w:color w:val="auto"/>
                <w:vertAlign w:val="superscript"/>
              </w:rPr>
              <w:t>(vi)</w:t>
            </w:r>
          </w:p>
        </w:tc>
        <w:tc>
          <w:tcPr>
            <w:tcW w:w="1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9"/>
              </w:rPr>
              <w:t>US$5.91 – US$8.93</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US$3.61 – US$4.11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156845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52" w:lineRule="exact"/>
        <w:rPr>
          <w:sz w:val="20"/>
          <w:szCs w:val="20"/>
          <w:color w:val="auto"/>
        </w:rPr>
      </w:pPr>
    </w:p>
    <w:p>
      <w:pPr>
        <w:ind w:right="20" w:firstLine="656"/>
        <w:spacing w:after="0" w:line="282" w:lineRule="auto"/>
        <w:tabs>
          <w:tab w:leader="none" w:pos="129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was estimated based on the yield to maturity of U.S. treasury bonds denominated in US$ for a term consistent with the expected term of the Company’s options in effect at the valuation date.</w:t>
      </w:r>
    </w:p>
    <w:p>
      <w:pPr>
        <w:spacing w:after="0" w:line="121"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was estimated based on the historical volatility of comparable peer public companies with a time horizon close to the expected term of the Company’s options.</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is zero as the Company does not anticipate any dividend payments in the foreseeable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firstLine="656"/>
        <w:spacing w:after="0" w:line="255" w:lineRule="auto"/>
        <w:tabs>
          <w:tab w:leader="none" w:pos="1296"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exercise multiple was estimated as the average ratio of the stock price to the exercise price of when employees or nonemployees would decide to voluntarily exercise their vested options. As the Company did not have sufficient information of past employees or nonemployees exercise history, it was estimated by referencing to a widely-accepted academic research publication.</w:t>
      </w:r>
    </w:p>
    <w:p>
      <w:pPr>
        <w:spacing w:after="0" w:line="14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is the contract life of the share options.</w:t>
      </w:r>
    </w:p>
    <w:p>
      <w:pPr>
        <w:spacing w:after="0" w:line="19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fair value was determined using the discounted cash flow method based on the equity allocation</w:t>
      </w:r>
    </w:p>
    <w:p>
      <w:pPr>
        <w:spacing w:after="0" w:line="27"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model.</w:t>
      </w:r>
    </w:p>
    <w:p>
      <w:pPr>
        <w:spacing w:after="0" w:line="174"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Group has future minimum purchase commitment related to the purchase of vehicles, research and development services and other operating expenses. Total purchase obligations contracted but not yet reflected in the consolidated and combined financial statements as of December 31, 2023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860" w:type="dxa"/>
            <w:vAlign w:val="bottom"/>
          </w:tcPr>
          <w:p>
            <w:pPr>
              <w:spacing w:after="0"/>
              <w:rPr>
                <w:sz w:val="16"/>
                <w:szCs w:val="16"/>
                <w:color w:val="auto"/>
              </w:rPr>
            </w:pPr>
          </w:p>
        </w:tc>
      </w:tr>
      <w:tr>
        <w:trPr>
          <w:trHeight w:val="195"/>
        </w:trPr>
        <w:tc>
          <w:tcPr>
            <w:tcW w:w="698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8"/>
        </w:trPr>
        <w:tc>
          <w:tcPr>
            <w:tcW w:w="698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29"/>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commitment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179,490</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182,001</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capital expenditures contracted but not yet reflected in the consolidated and combined financial statements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860" w:type="dxa"/>
            <w:vAlign w:val="bottom"/>
          </w:tcPr>
          <w:p>
            <w:pPr>
              <w:spacing w:after="0"/>
              <w:rPr>
                <w:sz w:val="16"/>
                <w:szCs w:val="16"/>
                <w:color w:val="auto"/>
              </w:rPr>
            </w:pPr>
          </w:p>
        </w:tc>
      </w:tr>
      <w:tr>
        <w:trPr>
          <w:trHeight w:val="195"/>
        </w:trPr>
        <w:tc>
          <w:tcPr>
            <w:tcW w:w="24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7"/>
        </w:trPr>
        <w:tc>
          <w:tcPr>
            <w:tcW w:w="24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30"/>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 commitment(i)</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59,304</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59,568</w:t>
            </w:r>
          </w:p>
        </w:tc>
      </w:tr>
      <w:tr>
        <w:trPr>
          <w:trHeight w:val="20"/>
        </w:trPr>
        <w:tc>
          <w:tcPr>
            <w:tcW w:w="24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r>
    </w:tbl>
    <w:p>
      <w:pPr>
        <w:spacing w:after="0" w:line="76" w:lineRule="exact"/>
        <w:rPr>
          <w:sz w:val="20"/>
          <w:szCs w:val="20"/>
          <w:color w:val="auto"/>
        </w:rPr>
      </w:pPr>
    </w:p>
    <w:p>
      <w:pPr>
        <w:ind w:left="980" w:firstLine="648"/>
        <w:spacing w:after="0" w:line="266" w:lineRule="auto"/>
        <w:tabs>
          <w:tab w:leader="none" w:pos="195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capital commitment on the construction of the Group’s corporate buildings, leasehold improvements,molds and tooling.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RELATED PARTY TRANSACTIONS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Related parties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 Names of the major related parties</w:t>
            </w:r>
          </w:p>
        </w:tc>
        <w:tc>
          <w:tcPr>
            <w:tcW w:w="300" w:type="dxa"/>
            <w:vAlign w:val="bottom"/>
            <w:tcBorders>
              <w:bottom w:val="single" w:sz="8" w:color="CCEEFF"/>
            </w:tcBorders>
          </w:tcPr>
          <w:p>
            <w:pPr>
              <w:spacing w:after="0"/>
              <w:rPr>
                <w:sz w:val="16"/>
                <w:szCs w:val="16"/>
                <w:color w:val="auto"/>
              </w:rPr>
            </w:pPr>
          </w:p>
        </w:tc>
        <w:tc>
          <w:tcPr>
            <w:tcW w:w="500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4"/>
                <w:szCs w:val="14"/>
                <w:b w:val="1"/>
                <w:bCs w:val="1"/>
                <w:color w:val="auto"/>
              </w:rPr>
              <w:t>Nature of relationship</w:t>
            </w:r>
          </w:p>
        </w:tc>
        <w:tc>
          <w:tcPr>
            <w:tcW w:w="0" w:type="dxa"/>
            <w:vAlign w:val="bottom"/>
          </w:tcPr>
          <w:p>
            <w:pPr>
              <w:spacing w:after="0"/>
              <w:rPr>
                <w:sz w:val="1"/>
                <w:szCs w:val="1"/>
                <w:color w:val="auto"/>
              </w:rPr>
            </w:pPr>
          </w:p>
        </w:tc>
      </w:tr>
      <w:tr>
        <w:trPr>
          <w:trHeight w:val="18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Geely Holding</w:t>
            </w:r>
          </w:p>
        </w:tc>
        <w:tc>
          <w:tcPr>
            <w:tcW w:w="300" w:type="dxa"/>
            <w:vAlign w:val="bottom"/>
            <w:shd w:val="clear" w:color="auto" w:fill="CCEEFF"/>
          </w:tcPr>
          <w:p>
            <w:pPr>
              <w:spacing w:after="0"/>
              <w:rPr>
                <w:sz w:val="16"/>
                <w:szCs w:val="16"/>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Ningbo Geely R&amp;D</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Zhejiang Liankong Technologies Co., Ltd. (“Zhejiang Liankong”)</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LGIL</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Founders Onshore Vehicle</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Geely HK</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Wuhan Geely Auto Parts Co., Ltd. (“Wuhan Geely Auto Parts”)</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39"/>
        </w:trPr>
        <w:tc>
          <w:tcPr>
            <w:tcW w:w="46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Zhejiang Geely Automobile Co., Ltd. Wuhan Branch (“Geely Auto Wuhan</w:t>
            </w:r>
          </w:p>
        </w:tc>
        <w:tc>
          <w:tcPr>
            <w:tcW w:w="53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07"/>
        </w:trPr>
        <w:tc>
          <w:tcPr>
            <w:tcW w:w="4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Branch”)</w:t>
            </w:r>
          </w:p>
        </w:tc>
        <w:tc>
          <w:tcPr>
            <w:tcW w:w="5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Ecarx</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ECARX (Hubei) Technology Co., Ltd. (“Hubei Ecarx”)</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Hubei ECARX Technology Co., Ltd.</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LCL</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Beijing Lotus Cars Sales Co., Ltd.</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Geely UK Limited</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Volvo Car Corporation</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Zhejiang Jirun Automobile Co., Ltd.</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Zhejiang Geely Automobile Co., Ltd.</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Hangzhou Xuanyu Human Resources Co., Ltd.</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Zhejiang Geely Business Service Co., Ltd.</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China Euro Vehicle Technology AB</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Radar New Energy Automobile (Zhejiang) Co., Ltd.</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Geely Automobile Group Co., Ltd.</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Lynk &amp; Co Sales Netherlands BV</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Geely Automobile Research Institute (Ningbo) Co., Ltd.</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JChin (Shanghai) Mechanical and Electrical Equipment Co., Ltd.</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Polestar Automotive China Distribution Co., Ltd.</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Hangzhou Fenghua Souvenir Co.,Ltd.</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Zhejiang Jisu procurement management Co., Ltd.</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Zhejiang Huanfu Technology Co.,Ltd.</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Chengdu Jinluda Automobile Sales Service Co., Ltd.</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which is under significant influence of the Company</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Hangzhou Luhongyuan Automobile Sales Service Co., Ltd.</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which is under significant influence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Hubei Changjiang Chegu Industry Investment Fund Partnership</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which is under significant influence of the Company</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Wuxi Stardrive Technology Co., Ltd.</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which is under significant influence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Zhejiang Xitumeng Digital Technology Co., Ltd.</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that the controlling shareholder of the Company has significant influence</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Northpole GLY 3 LP</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controlled by one of the directors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Lotus Cars USA Inc.</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Lynk &amp; Co Investment Co., Ltd.</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Hangzhou Geely EVUN Technology Co., Ltd.</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Jizhi Culture Creative Co., Ltd.</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Volvo Personvagnar Aktiebolag</w:t>
            </w: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Entity controlled by the controlling shareholder of the Company</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RENAULT S.A.S</w:t>
            </w:r>
          </w:p>
        </w:tc>
        <w:tc>
          <w:tcPr>
            <w:tcW w:w="5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Entity that the controlling shareholder of the Company has significant influence</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2022 and 2021, in addition to the related party transactions disclosed in note 12 of Put Option Liabilities, note 14 of Exchangeable Notes, note 15 of Convertible Notes, note 17 of Redeemable Convertible Preferred Shares and note 20 of Ordinary Shares to the financial statements, the Group entered into the following significant related party transactions.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Significant related party transactions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2022 and 2021, the Group entered into the following significant related party transactions: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28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3"/>
        </w:trPr>
        <w:tc>
          <w:tcPr>
            <w:tcW w:w="69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of services(i)</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Sales of goods(i)</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2"/>
        </w:trPr>
        <w:tc>
          <w:tcPr>
            <w:tcW w:w="6980" w:type="dxa"/>
            <w:vAlign w:val="bottom"/>
          </w:tcPr>
          <w:p>
            <w:pPr>
              <w:spacing w:after="0"/>
              <w:rPr>
                <w:sz w:val="24"/>
                <w:szCs w:val="24"/>
                <w:color w:val="auto"/>
              </w:rPr>
            </w:pPr>
          </w:p>
        </w:tc>
        <w:tc>
          <w:tcPr>
            <w:tcW w:w="228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3"/>
        </w:trPr>
        <w:tc>
          <w:tcPr>
            <w:tcW w:w="69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behalf of related parties ((ii).a)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receipts by related parties on behalf of the Group ((ii).a)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200" w:type="dxa"/>
            <w:vAlign w:val="bottom"/>
          </w:tcPr>
          <w:p>
            <w:pPr>
              <w:spacing w:after="0"/>
              <w:rPr>
                <w:sz w:val="19"/>
                <w:szCs w:val="19"/>
                <w:color w:val="auto"/>
              </w:rPr>
            </w:pPr>
          </w:p>
        </w:tc>
        <w:tc>
          <w:tcPr>
            <w:tcW w:w="12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related parties ((ii).b)</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loans due from related parties ((ii).b)</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products and services ((iii).a)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852,623</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products and services for R&amp;D activities ((iii).b)</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134,721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167,012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47,442</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equipment and software ((iii).c)</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Payment by related parties on behalf of the Group ((iii).d)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 ((iii).e)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Deposits received from related party suppliers ((iii).f)</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the distribution right ((iii).g)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22,296</w:t>
            </w: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borrowing due to related parties (iv)</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borrowing from related party (iv)</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right-of-use assets (v)</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lease liabilities (v)</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Geely License (vi)</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288,948</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trademark licenses (vii)</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116,041</w:t>
            </w:r>
          </w:p>
        </w:tc>
        <w:tc>
          <w:tcPr>
            <w:tcW w:w="0" w:type="dxa"/>
            <w:vAlign w:val="bottom"/>
          </w:tcPr>
          <w:p>
            <w:pPr>
              <w:spacing w:after="0"/>
              <w:rPr>
                <w:sz w:val="1"/>
                <w:szCs w:val="1"/>
                <w:color w:val="auto"/>
              </w:rPr>
            </w:pPr>
          </w:p>
        </w:tc>
      </w:tr>
      <w:tr>
        <w:trPr>
          <w:trHeight w:val="225"/>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Payment of consideration for acquiring Lotus Tech Innovation Centre GmbH under common</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control (viii)</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purchase of a short-term investment (ix)</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78"/>
        </w:trPr>
        <w:tc>
          <w:tcPr>
            <w:tcW w:w="698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F-71</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 Significant related party balances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balances mainly arising from the above transactions as of December 31, 2023 and 2022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8"/>
        </w:trPr>
        <w:tc>
          <w:tcPr>
            <w:tcW w:w="78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7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 related parties (i)</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w:t>
            </w: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 related parties* (i)</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 – related parties (ii)</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28,744</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w:t>
            </w: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 related parties ((ii).c)</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payable-related parties ((iii).a)</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340,419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 related parties (iii)</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289,845</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183,216</w:t>
            </w: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 – related parties ((iii).f)</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related parties, current* (v)</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related parties, non-current (v)</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 Investment securities – related parties (ix)</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65405</wp:posOffset>
            </wp:positionV>
            <wp:extent cx="156845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0">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73" w:lineRule="exact"/>
        <w:rPr>
          <w:sz w:val="20"/>
          <w:szCs w:val="20"/>
          <w:color w:val="auto"/>
        </w:rPr>
      </w:pPr>
    </w:p>
    <w:p>
      <w:pPr>
        <w:ind w:right="180" w:firstLine="8"/>
        <w:spacing w:after="0" w:line="282" w:lineRule="auto"/>
        <w:tabs>
          <w:tab w:leader="none" w:pos="3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items are included in accrued expenses and other current liabilities — related parties in the consolidated balance sheets as of December 31, 2023 and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198" w:lineRule="exact"/>
        <w:rPr>
          <w:sz w:val="20"/>
          <w:szCs w:val="20"/>
          <w:color w:val="auto"/>
        </w:rPr>
      </w:pPr>
    </w:p>
    <w:p>
      <w:pPr>
        <w:jc w:val="both"/>
        <w:ind w:left="660" w:hanging="652"/>
        <w:spacing w:after="0" w:line="253" w:lineRule="auto"/>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sold sports cars, BEV lifestyle models, auto parts and peripheral products and provided R&amp;D services and other consulting services to a number of related parties. The Group provided services to related parties amounting to US$12,573, US$8,344 and US$3,280 for the years ended December 31, 2023, 2022 and 2021, respectively. The Group sold sports cars, BEV lifestyle models, auto parts and peripheral products to related parties amounting to US$3,432, US$23 and nil for the years end December 31, 2023, 2022 and 2021, respectively. Accounts receivable due from related parties arising from sales of goods and provision of services were US$22,430 and US$8,545 as of December 31, 2023 and 2022, respectively. As of December 31, 2023 and 2022, receipts in advance of US$1 and US$8 were included in contract liabilities – related parties, respectively.</w:t>
      </w:r>
    </w:p>
    <w:p>
      <w:pPr>
        <w:spacing w:after="0" w:line="146"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and other current assets – related parties other non-current assets – related parties of the Group are arising from transactions related to purchase of products and services (see note (iii).a), loans to related parties, and cash receipts on behalf of the Group as follows.</w:t>
      </w:r>
    </w:p>
    <w:p>
      <w:pPr>
        <w:spacing w:after="0" w:line="155"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made payments of US$4,022, US$244 and nil on behalf of related parties for the years ended December 31, 2023, 2022 and 2021, respectively. Related parties collected cash receipts of US$3,695, nil and nil on behalf of the Group for the years ended December 31, 2023, 2022 and 2021, respectively. As of December 31, 2023 and 2022, receivables of US$4,271 and USD$244 was included in prepayments and other current assets – related parties, respectively.</w:t>
      </w:r>
    </w:p>
    <w:p>
      <w:pPr>
        <w:spacing w:after="0" w:line="146"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2023, 2022 and 2021, the Group provided unsecured short-term loans of US$1,227, US$2,310 and nil, respectively, to related parties with interest rates of 3.65%-4.5% per annum. The Group recognized interest income of US$122, US$24 and nil for the years ended December 31, 2023, 2022 and 2021, respectively. As of December 31, 2023 and 2022, the receivable for the loan principal and interest of US$3,010 and US$2,369 was included in prepayments and other current assets – related parties, respectively.</w:t>
      </w:r>
    </w:p>
    <w:p>
      <w:pPr>
        <w:spacing w:after="0" w:line="146"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mentioned in note ((iii).a) and note ((iii).c) below, the amounts of prepayments to related parties for purchase of vehicles, auto parts and peripheral products of US$21,404 and US$6,119 were included in prepayments and other current assets – related parties as of December 31, 2023 and 2022, respectively. The amounts of prepayments to relate party for purchase of equipment of US$2,706 and nil was included in other non-current assets-related parties as of December 31, 2023 and 2022, respectively.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left="1000" w:right="20" w:hanging="317"/>
        <w:spacing w:after="0" w:line="266" w:lineRule="auto"/>
        <w:tabs>
          <w:tab w:leader="none" w:pos="10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mentioned in note ((iii).e), the amounts of prepayments to related parties for short-term lease agreements of US$82 and nil were included in prepayments and other current assets – related parties as of December 31, 2023 and 2022, respectively.</w:t>
      </w:r>
    </w:p>
    <w:p>
      <w:pPr>
        <w:spacing w:after="0" w:line="148"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1, 2023, upon the adoption of ASC 326 as mentioned in note 2(j), the expected credit loss provision for prepayments and other current assets – related parties not under common control was US$12. For the year ended December 31, 2023, the Group recorded US$11 in expected credit losses for prepayments and other current assets – related parties not under common control in general and administrative expenses. As of December 31, 2023, the expected credit loss provision recorded in prepayments and other current assets – related parties not under common control was US$23.</w:t>
      </w:r>
    </w:p>
    <w:p>
      <w:pPr>
        <w:spacing w:after="0" w:line="146"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 related parties, accrued expenses and other current liabilities – related parties and other non-current liabilities– related parties are arising from transactions related to purchase of products and services, purchase of equipment and software, and payments by related parties on behalf of the Group as follows.</w:t>
      </w:r>
    </w:p>
    <w:p>
      <w:pPr>
        <w:spacing w:after="0" w:line="135"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purchased sports cars, BEV lifestyle models, auto parts, peripheral products, commercial services relating to sales of sports cars and BEV lifestyle models and other consulting services from related parties. During the years ended December 31, 2023, 2022 and 2021, these purchases amounted to US$852,623, US$44,347 and US$14,259, among which, US$549,893, US$839 and US$ 331 were recognized as cost of goods sold for the years ended December 31, 2023, 2022 and 2021, respectively. As of December 31, 2023 and 2022, purchases including sports cars, BEVs lifestyle models, auto parts and peripheral products of US$248,331 and US$21,880 were recorded as inventories, respectively.</w:t>
      </w:r>
    </w:p>
    <w:p>
      <w:pPr>
        <w:spacing w:after="0" w:line="147"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amounts due to related parties for purchase of office materials, commercial services relating to sales of sports cars and BEV lifestyle models and other consulting services of US$27,660 and US$8,684 were included in accrued expenses and other current liabilities – related parties, respectively.</w:t>
      </w:r>
    </w:p>
    <w:p>
      <w:pPr>
        <w:spacing w:after="0" w:line="14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amounts due to related parties for purchase of sports cars, BEV lifestyle models, auto parts and peripheral products of US$340,419 and US$5,770 was included in accounts payable-related parties, respectively.</w:t>
      </w:r>
    </w:p>
    <w:p>
      <w:pPr>
        <w:spacing w:after="0" w:line="135" w:lineRule="exact"/>
        <w:rPr>
          <w:sz w:val="20"/>
          <w:szCs w:val="20"/>
          <w:color w:val="auto"/>
        </w:rPr>
      </w:pPr>
    </w:p>
    <w:p>
      <w:pPr>
        <w:jc w:val="both"/>
        <w:ind w:left="1000" w:hanging="317"/>
        <w:spacing w:after="0" w:line="261" w:lineRule="auto"/>
        <w:tabs>
          <w:tab w:leader="none" w:pos="10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purchased products and services from related parties for R&amp;D activities. The Group recoded R&amp;D expenses of US$134,721, US$167,012 and US$47,442 during the years ended December 31, 2023, 2022 and 2021, respectively. As of December 31, 2023 and 2022, the amounts due to related partis for purchase of products and services for R&amp;D activities of US$217,256 and US$162,942 were included in accrued expenses and other current liabilities – related parties, respectively.</w:t>
      </w:r>
    </w:p>
    <w:p>
      <w:pPr>
        <w:spacing w:after="0" w:line="139"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purchased equipment and software of US$11,223, US$42,798 and US$6,255 from related parties for the years ended December 31, 2023, 2022 and 2021, respectively. As of December 31, 2023 and 2022, the amounts due to related parties for purchase of equipment and software of US$19,786 and US$8,366 were included in accrued expenses and other current liabilities – related parties, respectively.</w:t>
      </w:r>
    </w:p>
    <w:p>
      <w:pPr>
        <w:spacing w:after="0" w:line="146"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parties paid US$14,514 and US$2,952 on behalf of the Group in association with travelling expenses, staff salary and social welfare, and other miscellaneous expenses, of which US$1,605 and US$2,952 were included in accrued expenses and other current liabilities – related parties as of December 31, 2023 and 2022, respectively.</w:t>
      </w:r>
    </w:p>
    <w:p>
      <w:pPr>
        <w:spacing w:after="0" w:line="13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entered into short-term lease agreements with related parties to rent office spaces. During the years ended December 31, 2023, 2022 and 2021, the Group incurred short-term lease costs of US$765, US$347 and US$ 243, respectively. As of December 31, 2023 and 2022, payables for short-term leases of US$323 and US$272, respectively, were included in accrued expenses and other current liabilities – related parties, respectively.</w:t>
      </w:r>
    </w:p>
    <w:p>
      <w:pPr>
        <w:spacing w:after="0" w:line="139"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received deposits of US$251, US$1,584 and nil from related parties for the years ended December 31, 2023, 2022 and 2021, respectively. As of December 31, 2023 and 2022, US$168 and nil were included in accrued expenses and other current liabilities – related parties, and US$1,634 and US$1,584 was included in other non-current liabilities-related parties,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jc w:val="both"/>
        <w:ind w:left="1000" w:hanging="317"/>
        <w:spacing w:after="0" w:line="253" w:lineRule="auto"/>
        <w:tabs>
          <w:tab w:leader="none" w:pos="100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31, 2023, the Group entered into a distribution agreement with LCL, a wholly owned subsidiary of LGIL and ultimately controlled by the Controlling Shareholder of the Company, pursuant to which the Group was appointed as the exclusive global distributor to distribute certain models of vehicles and to provide after-sale services and brand, marketing and public relations for such vehicles distributed by it since January 31, 2023, for a cash consideration of GBP18,055 (equivalent to US$22,296). As of December 31, 2023, payable for the distribution right of US$23,047 was included in accrued expenses and other current liabilities – related parties.</w:t>
      </w:r>
    </w:p>
    <w:p>
      <w:pPr>
        <w:spacing w:after="0" w:line="148"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Company’s subsidiary, Lotus Tech UK, borrowed a one-year unsecured loan from a related party with the principal amount of US$10,211,bearing an interest rate of 2% per annum, which was renewed to be mature on August 31, 2022. The borrowing was repaid in August 2022. During the years ended December 31, 2022 and 2021, the Group incurred interest expenses of US$90 and US$220, respectively.</w:t>
      </w:r>
    </w:p>
    <w:p>
      <w:pPr>
        <w:spacing w:after="0" w:line="159"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entered into lease agreements with related parties to rent office spaces and parking spaces. During the years ended December 31, 2023, 2022 and 2021, the Group recognized right-of-use assets of US$12,166, US$214 and US$1,333 from related parties, respectively. The Group paid lease liabilities of US$269, US$98 and US$545 during the years ended December 31, 2023, 2022 and 2021, respectively. As of December 31, 2023 and 2022, current operating lease liabilities were US$840 and US$13, respectively, and non-current operating lease liabilities were US$12,064 and US$170, respectively.</w:t>
      </w:r>
    </w:p>
    <w:p>
      <w:pPr>
        <w:spacing w:after="0" w:line="160" w:lineRule="exact"/>
        <w:rPr>
          <w:rFonts w:ascii="Times New Roman" w:cs="Times New Roman" w:eastAsia="Times New Roman" w:hAnsi="Times New Roman"/>
          <w:sz w:val="18"/>
          <w:szCs w:val="18"/>
          <w:color w:val="auto"/>
        </w:rPr>
      </w:pPr>
    </w:p>
    <w:p>
      <w:pPr>
        <w:jc w:val="both"/>
        <w:ind w:left="660" w:right="20" w:hanging="652"/>
        <w:spacing w:after="0" w:line="255" w:lineRule="auto"/>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12, 2021, the Group entered into a license agreement with Zhejiang Liankong, a subsidiary of Geely Holding. Under the terms of the agreement, the Group received a non-exclusive, perpetual, irrevocable and non-sublicensable license for the electric automotive chassis and autonomous driving technology platform (the “Geely License”) with consideration of US$288,948.</w:t>
      </w:r>
    </w:p>
    <w:p>
      <w:pPr>
        <w:spacing w:after="0" w:line="15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Geely License is contractually restricted to be used in certain R&amp;D projects of the Group. The Group concludes that the Geely License has no alternative future use, therefore the cost of the license has been expensed as research and development expenses in the consolidated and combined statement of comprehensive loss for the year ended December 31, 2021.</w:t>
      </w:r>
    </w:p>
    <w:p>
      <w:pPr>
        <w:spacing w:after="0" w:line="13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2021, the Group obtained the trademark licenses (Note 7), from Group Lotus Limited, a related party controlled by Geely Holding, by issuing the Company’s 47,995,443 ordinary shares to LGIL, a related party controlled by Geely Holding.</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 2021, the Company, through its subsidiary, Lotus Technology Innovative Limited, entered into an equity transfer agreement, pursuant to which, Lotus Technology Innovative Limited agreed to acquire 100% equity interest in Lotus Tech Innovation Centre GmbH from a related party, Geely UK Limited, at the consideration of US$15,512, which was settled in June 2022. The transaction was accounted for as common control transaction and completed in June 2022.</w:t>
      </w:r>
    </w:p>
    <w:p>
      <w:pPr>
        <w:spacing w:after="0" w:line="1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13, 2022, the Company purchased a one-year convertible note (the “Note”) with the principal of US$10,000 issued by Ecarx. Upon the listing of Ecarx on December 21, 2022, the Note was automatically converted to the Class A ordinary shares of Ecarx (the “listed equity securities”) at conversion price of US$9.5 per share. As of December 31, 2023 and 2022, the fair value of listed equity securities was US$3,326 and US$8,411, respectively.</w:t>
      </w:r>
    </w:p>
    <w:p>
      <w:pPr>
        <w:spacing w:after="0" w:line="13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 Manufacturing agreement with the Geely Group</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entered into a manufacturing agreement with Geely Auto Wuhan Branch and Wuhan Geely Auto Parts (collectively</w:t>
      </w:r>
    </w:p>
    <w:p>
      <w:pPr>
        <w:spacing w:after="0" w:line="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“OEMs”), for the manufacture of the Group’s electrical vehicles for 10 years starting from June 21, 2022. Pursuant to the manufacturing agreement, the Group commissioned OEMs for the production of electrical vehicles and agreed to authorize OEMs to access the Group’s technologies for the production of such models. The Group is mainly responsible for the design and development of the models, designation of suppliers, product announcement, and ensuring consistency with global standards of the Lotus brand. The Group also provides OEMs the necessary intellectual properties for the manufacture of electrical vehicles. OEMs are mainly responsible for the procurement and inspection of raw materials, production planning, production quality control, logistics and transportation of manufactured vehicles, and construction and operation of the manufacturing plant. Particularly, quality control is carried out in accordance with the Group’s quality assurance framework and approved by OEMs. In addition, OEMs are responsible for obtaining certificates for the manufactured vehicles.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4" w:lineRule="exact"/>
        <w:rPr>
          <w:sz w:val="20"/>
          <w:szCs w:val="20"/>
          <w:color w:val="auto"/>
        </w:rPr>
      </w:pPr>
    </w:p>
    <w:p>
      <w:pPr>
        <w:ind w:left="1300" w:hanging="644"/>
        <w:spacing w:after="0"/>
        <w:tabs>
          <w:tab w:leader="none" w:pos="130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Lotus Application Entrusted Operation &amp; Maintenance Contract with Wuhan Quanqing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entered into an application entrusted operation &amp; maintenance contract with Wuhan Quanqing, in May 2023. Pursuant to the contract, the Group will pay Wuhan Quanqing certain service fee for the entrusted daily operation and maintenance service provided by Wuhan Quanqing for the Group’s Lotus App. As of December 31, 2023, nil service fee has been incurred.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 SUBSEQUENT EVENTS</w:t>
      </w:r>
    </w:p>
    <w:p>
      <w:pPr>
        <w:spacing w:after="0" w:line="189" w:lineRule="exact"/>
        <w:rPr>
          <w:sz w:val="20"/>
          <w:szCs w:val="20"/>
          <w:color w:val="auto"/>
        </w:rPr>
      </w:pPr>
    </w:p>
    <w:p>
      <w:pPr>
        <w:ind w:left="660" w:hanging="652"/>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Transaction</w:t>
      </w:r>
    </w:p>
    <w:p>
      <w:pPr>
        <w:spacing w:after="0" w:line="18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22, 2024, the Merger Transaction was consummated as disclosed in note 1(b).</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Investments</w:t>
      </w:r>
    </w:p>
    <w:p>
      <w:pPr>
        <w:spacing w:after="0" w:line="19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15, 2024, the Group entered into a new PIPE investment agreement with an investor as disclosed in note 13.</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grants of share options</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From January 1, 2024 to March 31, 2024, the Company granted an aggregated number of 5,972,760 share options to employees pursuant to the 2022 Share Incentive Plan, at a weighted average exercise price of US$2.89 per share option.</w:t>
      </w:r>
    </w:p>
    <w:p>
      <w:pPr>
        <w:spacing w:after="0" w:line="162" w:lineRule="exact"/>
        <w:rPr>
          <w:sz w:val="20"/>
          <w:szCs w:val="20"/>
          <w:color w:val="auto"/>
        </w:rPr>
      </w:pPr>
    </w:p>
    <w:p>
      <w:pPr>
        <w:ind w:left="660" w:hanging="652"/>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a related party</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11, 2024, the Company’s subsidiary and a related party, ultimately controlled by the Controlling Shareholder, entered into a loan agreement, agreeing the Company’s subsidiary will provide unsecured loans with total principal amount of GBP 275,000 (equivalent to US$354,000) with term of 5 years and annual interest rate of 6.95%.</w:t>
      </w:r>
    </w:p>
    <w:p>
      <w:pPr>
        <w:spacing w:after="0" w:line="176" w:lineRule="exact"/>
        <w:rPr>
          <w:sz w:val="20"/>
          <w:szCs w:val="20"/>
          <w:color w:val="auto"/>
        </w:rPr>
      </w:pPr>
    </w:p>
    <w:p>
      <w:pPr>
        <w:ind w:left="660" w:hanging="652"/>
        <w:spacing w:after="0"/>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pledge</w:t>
      </w:r>
    </w:p>
    <w:p>
      <w:pPr>
        <w:spacing w:after="0" w:line="18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pledge of the land use right of US$32,653 included in the operating lease right-of-use assets and corporate buildings under construction of US$37,287 included in property, equipment and software as of December 31, 2023 was terminated in April 2024.</w:t>
      </w:r>
    </w:p>
    <w:p>
      <w:pPr>
        <w:spacing w:after="0" w:line="185" w:lineRule="exact"/>
        <w:rPr>
          <w:sz w:val="20"/>
          <w:szCs w:val="20"/>
          <w:color w:val="auto"/>
        </w:rPr>
      </w:pPr>
    </w:p>
    <w:p>
      <w:pPr>
        <w:ind w:left="660" w:hanging="652"/>
        <w:spacing w:after="0"/>
        <w:tabs>
          <w:tab w:leader="none" w:pos="66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PARENT COMPANY ONLY CONDENSED FINANCIAL INFORMATION</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condensed parent company financial information of the Company has been prepared using the same accounting policies as set out in the accompanying consolidated and combined financial statements. For the purposes of presenting the Company’s separate financial information, the Company records its investments in its subsidiaries and VIE under the equity method of accounting. As of December 31, 2023 and 2022, there were no material contingencies, significant provisions of long-term obligations, mandatory dividend or redemption requirements of redeemable stocks or guarantees of the Company, except for those which have been separately disclosed in the consolidated and combined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Parent Company Condensed Balance Sheets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21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8"/>
        </w:trPr>
        <w:tc>
          <w:tcPr>
            <w:tcW w:w="782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33,888</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inter-companies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46,087</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 – third parties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81,662</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 related parties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3,326</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84,988</w:t>
            </w:r>
          </w:p>
        </w:tc>
        <w:tc>
          <w:tcPr>
            <w:tcW w:w="2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367,607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 (DEFICIT)</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20,277</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 third parties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20,991</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losses in excess of investments in subsidiaries and consolidated VIEs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873,881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885,765</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906,756</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383,530</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368,409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358,187</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shareholders</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25,267</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(1,588,773)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(1,205,298)</w:t>
            </w:r>
          </w:p>
        </w:tc>
        <w:tc>
          <w:tcPr>
            <w:tcW w:w="2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deficit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84,988</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F-76</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78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8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NOTES TO THE CONSOLIDATED AND COMBINED FINANCIAL STATEMENTS</w:t>
      </w:r>
    </w:p>
    <w:p>
      <w:pPr>
        <w:ind w:left="25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Parent Company Condensed Statements of Comprehensive Loss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10"/>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(2,983)</w:t>
            </w:r>
          </w:p>
        </w:tc>
        <w:tc>
          <w:tcPr>
            <w:tcW w:w="10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(11,127)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6,979</w:t>
            </w:r>
          </w:p>
        </w:tc>
        <w:tc>
          <w:tcPr>
            <w:tcW w:w="4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2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Investment loss, net</w:t>
            </w: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(5,084)</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(4,242)</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gains (losses), net</w:t>
            </w:r>
          </w:p>
        </w:tc>
        <w:tc>
          <w:tcPr>
            <w:tcW w:w="10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10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(13,068)</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values of convertible notes, excluding impact of instrument-specific credit risk</w:t>
            </w: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tcPr>
          <w:p>
            <w:pPr>
              <w:spacing w:after="0"/>
              <w:rPr>
                <w:sz w:val="19"/>
                <w:szCs w:val="19"/>
                <w:color w:val="auto"/>
              </w:rPr>
            </w:pPr>
          </w:p>
        </w:tc>
        <w:tc>
          <w:tcPr>
            <w:tcW w:w="9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values of put option liabilities</w:t>
            </w:r>
          </w:p>
        </w:tc>
        <w:tc>
          <w:tcPr>
            <w:tcW w:w="10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(2,508)</w:t>
            </w:r>
          </w:p>
        </w:tc>
        <w:tc>
          <w:tcPr>
            <w:tcW w:w="16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losses from subsidiaries and consolidated VIEs</w:t>
            </w: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(737,618)</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(698,323)</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(742,001)</w:t>
            </w: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(723,921)</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w:t>
            </w:r>
          </w:p>
        </w:tc>
        <w:tc>
          <w:tcPr>
            <w:tcW w:w="24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(742,001)</w:t>
            </w: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(723,921)</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convertible notes due to instrument-specific credit risk, net of nil income</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10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(8,650)</w:t>
            </w:r>
          </w:p>
        </w:tc>
        <w:tc>
          <w:tcPr>
            <w:tcW w:w="10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nil income taxes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16,210</w:t>
            </w:r>
          </w:p>
        </w:tc>
        <w:tc>
          <w:tcPr>
            <w:tcW w:w="4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18,669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(734,441)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(706,145)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(c)  Parent Company Condensed Statements of Cash Flows</w:t>
            </w: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10"/>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(used in) operating activities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(347,697)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(113,216)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27,163</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(319,219)</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271,358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at the beginning of the year</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353,107</w:t>
            </w: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81,749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the end of the year</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33,888</w:t>
            </w: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353,107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AMENDED AND RESTATED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a Special Resolution dated 16 January 2024 and effective on 22 February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386080</wp:posOffset>
            </wp:positionV>
            <wp:extent cx="788670" cy="7797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6">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ind w:left="3820"/>
              <w:spacing w:after="0"/>
              <w:rPr>
                <w:sz w:val="20"/>
                <w:szCs w:val="20"/>
                <w:color w:val="auto"/>
              </w:rPr>
            </w:pPr>
            <w:r>
              <w:rPr>
                <w:rFonts w:ascii="Times New Roman" w:cs="Times New Roman" w:eastAsia="Times New Roman" w:hAnsi="Times New Roman"/>
                <w:sz w:val="18"/>
                <w:szCs w:val="18"/>
                <w:i w:val="1"/>
                <w:iCs w:val="1"/>
                <w:color w:val="auto"/>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33" w:right="999" w:bottom="1440" w:gutter="0" w:footer="0" w:header="0"/>
        </w:sectPr>
      </w:pPr>
    </w:p>
    <w:bookmarkStart w:id="271" w:name="page272"/>
    <w:bookmarkEnd w:id="271"/>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AMENDED AND RESTATED MEMORANDUM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(adopted by a Special Resolution dated 16 January 2024 and effective on 22 February 2024)</w:t>
      </w:r>
    </w:p>
    <w:p>
      <w:pPr>
        <w:spacing w:after="0" w:line="225" w:lineRule="exact"/>
        <w:rPr>
          <w:sz w:val="20"/>
          <w:szCs w:val="20"/>
          <w:color w:val="auto"/>
        </w:rPr>
      </w:pPr>
    </w:p>
    <w:p>
      <w:pPr>
        <w:ind w:left="340" w:hanging="332"/>
        <w:spacing w:after="0"/>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Lotus Technology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will be situated at the offices of Maples Corporate Services Limited, PO Box 309, Ugland House, Grand Cayman, KY1-1104, Cayman Islands, or at such other location within the Cayman Islands as the Directors may from time to time determine.</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Companies Act or any other law of the Cayman Islands.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and be capable of exercising all the functions of a natural person of full capacity irrespective of any question of corporate benefit as provided by the Companies Act.</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1"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from effecting and concluding contracts in the Cayman Islands, and exercising in the Cayman Islands all of its powers necessary for the carrying on of its business outside the Cayman Islands.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Shareholder is limited to the amount, if any, unpaid on the Shares held by such Shareholder.</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US$50,000 divided into 5,000,000,000 shares of a par value of US$0.00001 each consisting of (i) 4,500,000,000 Ordinary Shares of a par value of US$0.00001 each, and (ii) 500,000,000 shares of a par value of US$0.00001 each of such class or classes (however designated) as the Board of Directors may determine in accordance with the articles of association of the Company (as amended or substituted from time to time,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Subject to the Companies Act and the Articles, the Company shall have power to redeem or purchase any of its Shares and to increase or reduce its authorized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94"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power contained in the Companies Act to deregister in the Cayman Islands and be registered by way of continuation in some other jurisdictions.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that are not defined in this Memorandum of Association bear the same meanings as those given in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154305</wp:posOffset>
            </wp:positionV>
            <wp:extent cx="788670" cy="7804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7">
                      <a:extLst>
                        <a:ext uri="{28A0092B-C50C-407E-A947-70E740481C1C}"/>
                      </a:extLst>
                    </a:blip>
                    <a:srcRect/>
                    <a:stretch>
                      <a:fillRect/>
                    </a:stretch>
                  </pic:blipFill>
                  <pic:spPr bwMode="auto">
                    <a:xfrm>
                      <a:off x="0" y="0"/>
                      <a:ext cx="78867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2</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7"/>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272" w:name="page273"/>
    <w:bookmarkEnd w:id="272"/>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AMENDED AND RESTATED ARTICLES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a Special Resolution dated 16 January 2024 and effective on 22 February 2024)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A</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regulations contained or incorporated in Table ‘A’ in the First Schedule of the Companies Act shall not apply to the Company and the following Articles shall comprise the Articles of Association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340" w:hanging="332"/>
        <w:spacing w:after="0"/>
        <w:tabs>
          <w:tab w:leader="none" w:pos="3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the following defined terms will have the meanings ascribed to them, if not inconsistent with the subject or context:</w:t>
      </w:r>
    </w:p>
    <w:p>
      <w:pPr>
        <w:spacing w:after="0" w:line="23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“ADS”</w:t>
      </w:r>
      <w:r>
        <w:rPr>
          <w:sz w:val="20"/>
          <w:szCs w:val="20"/>
          <w:color w:val="auto"/>
        </w:rPr>
        <w:tab/>
      </w:r>
      <w:r>
        <w:rPr>
          <w:rFonts w:ascii="Times New Roman" w:cs="Times New Roman" w:eastAsia="Times New Roman" w:hAnsi="Times New Roman"/>
          <w:sz w:val="18"/>
          <w:szCs w:val="18"/>
          <w:color w:val="auto"/>
        </w:rPr>
        <w:t>means an American Depositary Share representing Ordinary Shares;</w:t>
      </w:r>
    </w:p>
    <w:p>
      <w:pPr>
        <w:spacing w:after="0" w:line="225" w:lineRule="exact"/>
        <w:rPr>
          <w:sz w:val="20"/>
          <w:szCs w:val="20"/>
          <w:color w:val="auto"/>
        </w:rPr>
      </w:pPr>
    </w:p>
    <w:p>
      <w:pPr>
        <w:jc w:val="both"/>
        <w:ind w:left="1500" w:hanging="1499"/>
        <w:spacing w:after="0" w:line="253" w:lineRule="auto"/>
        <w:tabs>
          <w:tab w:leader="none" w:pos="1480" w:val="left"/>
        </w:tabs>
        <w:rPr>
          <w:sz w:val="20"/>
          <w:szCs w:val="20"/>
          <w:color w:val="auto"/>
        </w:rPr>
      </w:pPr>
      <w:r>
        <w:rPr>
          <w:rFonts w:ascii="Times New Roman" w:cs="Times New Roman" w:eastAsia="Times New Roman" w:hAnsi="Times New Roman"/>
          <w:sz w:val="18"/>
          <w:szCs w:val="18"/>
          <w:b w:val="1"/>
          <w:bCs w:val="1"/>
          <w:color w:val="auto"/>
        </w:rPr>
        <w:t>“Affiliate”</w:t>
      </w:r>
      <w:r>
        <w:rPr>
          <w:sz w:val="20"/>
          <w:szCs w:val="20"/>
          <w:color w:val="auto"/>
        </w:rPr>
        <w:tab/>
      </w:r>
      <w:r>
        <w:rPr>
          <w:rFonts w:ascii="Times New Roman" w:cs="Times New Roman" w:eastAsia="Times New Roman" w:hAnsi="Times New Roman"/>
          <w:sz w:val="18"/>
          <w:szCs w:val="18"/>
          <w:color w:val="auto"/>
        </w:rPr>
        <w:t>means in respect of a Person, any other Person that, directly or indirectly, through one or more intermediaries, controls, is controlled by, or is under common control with, such Person, and (i) in the case of a natural person, shall include, without limitation, such person’s spouse, parents, children, siblings, mother-in-law, father-in-law, brothers-in-law and sisters-in-law,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 The term “control” shall mean the ownership, directly or indirectly, of shares possessing more than fifty percent (50%) of the voting power of the corporation, partnership or other entity (other than, in the case of a corporation, securities having such power only by reason of the happening of a contingency), or having the power to control the management or elect a majority of members to the board of directors or equivalent decision-making body of such corporation, partnership or other entity;</w:t>
      </w:r>
    </w:p>
    <w:p>
      <w:pPr>
        <w:spacing w:after="0" w:line="19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“Articles”</w:t>
      </w:r>
      <w:r>
        <w:rPr>
          <w:sz w:val="20"/>
          <w:szCs w:val="20"/>
          <w:color w:val="auto"/>
        </w:rPr>
        <w:tab/>
      </w:r>
      <w:r>
        <w:rPr>
          <w:rFonts w:ascii="Times New Roman" w:cs="Times New Roman" w:eastAsia="Times New Roman" w:hAnsi="Times New Roman"/>
          <w:sz w:val="18"/>
          <w:szCs w:val="18"/>
          <w:color w:val="auto"/>
        </w:rPr>
        <w:t>means these articles of association of the Company, as amended or substituted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294005</wp:posOffset>
            </wp:positionV>
            <wp:extent cx="788670" cy="7797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8">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3</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“Board </w:t>
      </w:r>
      <w:r>
        <w:rPr>
          <w:rFonts w:ascii="Times New Roman" w:cs="Times New Roman" w:eastAsia="Times New Roman" w:hAnsi="Times New Roman"/>
          <w:sz w:val="18"/>
          <w:szCs w:val="18"/>
          <w:color w:val="auto"/>
        </w:rPr>
        <w:t>means the board of directors of the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Directors”</w:t>
      </w:r>
    </w:p>
    <w:p>
      <w:pPr>
        <w:spacing w:after="0" w:line="203"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“Chairperson”</w:t>
      </w:r>
      <w:r>
        <w:rPr>
          <w:sz w:val="20"/>
          <w:szCs w:val="20"/>
          <w:color w:val="auto"/>
        </w:rPr>
        <w:tab/>
      </w:r>
      <w:r>
        <w:rPr>
          <w:rFonts w:ascii="Times New Roman" w:cs="Times New Roman" w:eastAsia="Times New Roman" w:hAnsi="Times New Roman"/>
          <w:sz w:val="18"/>
          <w:szCs w:val="18"/>
          <w:color w:val="auto"/>
        </w:rPr>
        <w:t>means the chairperson of the Board;</w:t>
      </w:r>
    </w:p>
    <w:p>
      <w:pPr>
        <w:spacing w:after="0" w:line="225" w:lineRule="exact"/>
        <w:rPr>
          <w:sz w:val="20"/>
          <w:szCs w:val="20"/>
          <w:color w:val="auto"/>
        </w:rPr>
      </w:pPr>
    </w:p>
    <w:p>
      <w:pPr>
        <w:ind w:left="1500" w:right="20" w:hanging="1499"/>
        <w:spacing w:after="0" w:line="282" w:lineRule="auto"/>
        <w:tabs>
          <w:tab w:leader="none" w:pos="1480" w:val="left"/>
        </w:tabs>
        <w:rPr>
          <w:sz w:val="20"/>
          <w:szCs w:val="20"/>
          <w:color w:val="auto"/>
        </w:rPr>
      </w:pPr>
      <w:r>
        <w:rPr>
          <w:rFonts w:ascii="Times New Roman" w:cs="Times New Roman" w:eastAsia="Times New Roman" w:hAnsi="Times New Roman"/>
          <w:sz w:val="18"/>
          <w:szCs w:val="18"/>
          <w:b w:val="1"/>
          <w:bCs w:val="1"/>
          <w:color w:val="auto"/>
        </w:rPr>
        <w:t>“Commission”</w:t>
      </w:r>
      <w:r>
        <w:rPr>
          <w:sz w:val="20"/>
          <w:szCs w:val="20"/>
          <w:color w:val="auto"/>
        </w:rPr>
        <w:tab/>
      </w:r>
      <w:r>
        <w:rPr>
          <w:rFonts w:ascii="Times New Roman" w:cs="Times New Roman" w:eastAsia="Times New Roman" w:hAnsi="Times New Roman"/>
          <w:sz w:val="18"/>
          <w:szCs w:val="18"/>
          <w:color w:val="auto"/>
        </w:rPr>
        <w:t>means the Securities and Exchange Commission of the United States or any other federal agency for the time being administering the Securities Act;</w:t>
      </w:r>
    </w:p>
    <w:p>
      <w:pPr>
        <w:spacing w:after="0" w:line="16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“Communication</w:t>
      </w:r>
      <w:r>
        <w:rPr>
          <w:sz w:val="20"/>
          <w:szCs w:val="20"/>
          <w:color w:val="auto"/>
        </w:rPr>
        <w:tab/>
      </w:r>
      <w:r>
        <w:rPr>
          <w:rFonts w:ascii="Times New Roman" w:cs="Times New Roman" w:eastAsia="Times New Roman" w:hAnsi="Times New Roman"/>
          <w:sz w:val="18"/>
          <w:szCs w:val="18"/>
          <w:color w:val="auto"/>
        </w:rPr>
        <w:t>means video, video-conferencing, internet or online conferencing applications, telephone or tele-conferencing and/or</w:t>
      </w:r>
    </w:p>
    <w:p>
      <w:pPr>
        <w:spacing w:after="0" w:line="31" w:lineRule="exact"/>
        <w:rPr>
          <w:sz w:val="20"/>
          <w:szCs w:val="20"/>
          <w:color w:val="auto"/>
        </w:rPr>
      </w:pPr>
    </w:p>
    <w:p>
      <w:pPr>
        <w:ind w:left="1500" w:right="20" w:hanging="1499"/>
        <w:spacing w:after="0" w:line="260" w:lineRule="auto"/>
        <w:tabs>
          <w:tab w:leader="none" w:pos="1480" w:val="left"/>
        </w:tabs>
        <w:rPr>
          <w:sz w:val="20"/>
          <w:szCs w:val="20"/>
          <w:color w:val="auto"/>
        </w:rPr>
      </w:pPr>
      <w:r>
        <w:rPr>
          <w:rFonts w:ascii="Times New Roman" w:cs="Times New Roman" w:eastAsia="Times New Roman" w:hAnsi="Times New Roman"/>
          <w:sz w:val="18"/>
          <w:szCs w:val="18"/>
          <w:b w:val="1"/>
          <w:bCs w:val="1"/>
          <w:color w:val="auto"/>
        </w:rPr>
        <w:t>Facilities”</w:t>
      </w:r>
      <w:r>
        <w:rPr>
          <w:sz w:val="20"/>
          <w:szCs w:val="20"/>
          <w:color w:val="auto"/>
        </w:rPr>
        <w:tab/>
      </w:r>
      <w:r>
        <w:rPr>
          <w:rFonts w:ascii="Times New Roman" w:cs="Times New Roman" w:eastAsia="Times New Roman" w:hAnsi="Times New Roman"/>
          <w:sz w:val="18"/>
          <w:szCs w:val="18"/>
          <w:color w:val="auto"/>
        </w:rPr>
        <w:t>any other video-communications, internet or online conferencing application or telecommunications facilities by means of which all Persons participating in a meeting are capable of hearing and being heard by each other;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“Companies Act”  </w:t>
      </w:r>
      <w:r>
        <w:rPr>
          <w:rFonts w:ascii="Times New Roman" w:cs="Times New Roman" w:eastAsia="Times New Roman" w:hAnsi="Times New Roman"/>
          <w:sz w:val="18"/>
          <w:szCs w:val="18"/>
          <w:color w:val="auto"/>
        </w:rPr>
        <w:t>means the Companies Act (As Revised) of the Cayman Islands and any statutory amendment or re-enactment thereof;</w:t>
      </w:r>
    </w:p>
    <w:p>
      <w:pPr>
        <w:spacing w:after="0" w:line="22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“Company”</w:t>
      </w:r>
      <w:r>
        <w:rPr>
          <w:sz w:val="20"/>
          <w:szCs w:val="20"/>
          <w:color w:val="auto"/>
        </w:rPr>
        <w:tab/>
      </w:r>
      <w:r>
        <w:rPr>
          <w:rFonts w:ascii="Times New Roman" w:cs="Times New Roman" w:eastAsia="Times New Roman" w:hAnsi="Times New Roman"/>
          <w:sz w:val="18"/>
          <w:szCs w:val="18"/>
          <w:color w:val="auto"/>
        </w:rPr>
        <w:t>means Lotus Technology Inc., a Cayman Islands exempted company;</w:t>
      </w:r>
    </w:p>
    <w:p>
      <w:pPr>
        <w:spacing w:after="0" w:line="22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“Company’s</w:t>
      </w:r>
      <w:r>
        <w:rPr>
          <w:sz w:val="20"/>
          <w:szCs w:val="20"/>
          <w:color w:val="auto"/>
        </w:rPr>
        <w:tab/>
      </w:r>
      <w:r>
        <w:rPr>
          <w:rFonts w:ascii="Times New Roman" w:cs="Times New Roman" w:eastAsia="Times New Roman" w:hAnsi="Times New Roman"/>
          <w:sz w:val="18"/>
          <w:szCs w:val="18"/>
          <w:color w:val="auto"/>
        </w:rPr>
        <w:t>means the main corporate/investor relations website of the Company, the address or domain name of which has been</w:t>
      </w:r>
    </w:p>
    <w:p>
      <w:pPr>
        <w:spacing w:after="0" w:line="31" w:lineRule="exact"/>
        <w:rPr>
          <w:sz w:val="20"/>
          <w:szCs w:val="20"/>
          <w:color w:val="auto"/>
        </w:rPr>
      </w:pPr>
    </w:p>
    <w:p>
      <w:pPr>
        <w:ind w:left="1500" w:right="20" w:hanging="1499"/>
        <w:spacing w:after="0" w:line="260" w:lineRule="auto"/>
        <w:tabs>
          <w:tab w:leader="none" w:pos="1480" w:val="left"/>
        </w:tabs>
        <w:rPr>
          <w:sz w:val="20"/>
          <w:szCs w:val="20"/>
          <w:color w:val="auto"/>
        </w:rPr>
      </w:pPr>
      <w:r>
        <w:rPr>
          <w:rFonts w:ascii="Times New Roman" w:cs="Times New Roman" w:eastAsia="Times New Roman" w:hAnsi="Times New Roman"/>
          <w:sz w:val="18"/>
          <w:szCs w:val="18"/>
          <w:b w:val="1"/>
          <w:bCs w:val="1"/>
          <w:color w:val="auto"/>
        </w:rPr>
        <w:t>Website”</w:t>
      </w:r>
      <w:r>
        <w:rPr>
          <w:sz w:val="20"/>
          <w:szCs w:val="20"/>
          <w:color w:val="auto"/>
        </w:rPr>
        <w:tab/>
      </w:r>
      <w:r>
        <w:rPr>
          <w:rFonts w:ascii="Times New Roman" w:cs="Times New Roman" w:eastAsia="Times New Roman" w:hAnsi="Times New Roman"/>
          <w:sz w:val="18"/>
          <w:szCs w:val="18"/>
          <w:color w:val="auto"/>
        </w:rPr>
        <w:t>disclosed in any registration statement filed by the Company with the Commission in connection with the registration of ADSs, or which has otherwise been notified to the Shareholders;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“Designated Stock </w:t>
      </w:r>
      <w:r>
        <w:rPr>
          <w:rFonts w:ascii="Times New Roman" w:cs="Times New Roman" w:eastAsia="Times New Roman" w:hAnsi="Times New Roman"/>
          <w:sz w:val="18"/>
          <w:szCs w:val="18"/>
          <w:color w:val="auto"/>
        </w:rPr>
        <w:t>means NASDAQ, NYSE or any other internationally recognized stock exchange on which any securities of the</w:t>
      </w:r>
    </w:p>
    <w:p>
      <w:pPr>
        <w:spacing w:after="0" w:line="3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Exchange”</w:t>
      </w:r>
      <w:r>
        <w:rPr>
          <w:sz w:val="20"/>
          <w:szCs w:val="20"/>
          <w:color w:val="auto"/>
        </w:rPr>
        <w:tab/>
      </w:r>
      <w:r>
        <w:rPr>
          <w:rFonts w:ascii="Times New Roman" w:cs="Times New Roman" w:eastAsia="Times New Roman" w:hAnsi="Times New Roman"/>
          <w:sz w:val="18"/>
          <w:szCs w:val="18"/>
          <w:color w:val="auto"/>
        </w:rPr>
        <w:t>Company are listed for the time being;</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“Designated Stock </w:t>
      </w:r>
      <w:r>
        <w:rPr>
          <w:rFonts w:ascii="Times New Roman" w:cs="Times New Roman" w:eastAsia="Times New Roman" w:hAnsi="Times New Roman"/>
          <w:sz w:val="18"/>
          <w:szCs w:val="18"/>
          <w:color w:val="auto"/>
        </w:rPr>
        <w:t>means the relevant code, rules and regulations, as amended, from time to time, applicable as a result of the listing of</w:t>
      </w:r>
      <w:r>
        <w:rPr>
          <w:rFonts w:ascii="Times New Roman" w:cs="Times New Roman" w:eastAsia="Times New Roman" w:hAnsi="Times New Roman"/>
          <w:sz w:val="18"/>
          <w:szCs w:val="18"/>
          <w:b w:val="1"/>
          <w:bCs w:val="1"/>
          <w:color w:val="auto"/>
        </w:rPr>
        <w:t xml:space="preserve"> Exchange Rules” </w:t>
      </w:r>
      <w:r>
        <w:rPr>
          <w:rFonts w:ascii="Times New Roman" w:cs="Times New Roman" w:eastAsia="Times New Roman" w:hAnsi="Times New Roman"/>
          <w:sz w:val="18"/>
          <w:szCs w:val="18"/>
          <w:color w:val="auto"/>
        </w:rPr>
        <w:t>any securities of the Company on the Designated Stock Exchange;</w:t>
      </w:r>
    </w:p>
    <w:p>
      <w:pPr>
        <w:spacing w:after="0" w:line="155" w:lineRule="exact"/>
        <w:rPr>
          <w:sz w:val="20"/>
          <w:szCs w:val="20"/>
          <w:color w:val="auto"/>
        </w:rPr>
      </w:pPr>
    </w:p>
    <w:p>
      <w:pPr>
        <w:ind w:left="1500" w:right="20" w:hanging="1499"/>
        <w:spacing w:after="0" w:line="282" w:lineRule="auto"/>
        <w:tabs>
          <w:tab w:leader="none" w:pos="148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means the directors of the Company for the time being, or as the case may be, the directors assembled as a Board or as a committee thereof;</w:t>
      </w:r>
    </w:p>
    <w:p>
      <w:pPr>
        <w:spacing w:after="0" w:line="16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“electronic”</w:t>
      </w:r>
      <w:r>
        <w:rPr>
          <w:sz w:val="20"/>
          <w:szCs w:val="20"/>
          <w:color w:val="auto"/>
        </w:rPr>
        <w:tab/>
      </w:r>
      <w:r>
        <w:rPr>
          <w:rFonts w:ascii="Times New Roman" w:cs="Times New Roman" w:eastAsia="Times New Roman" w:hAnsi="Times New Roman"/>
          <w:sz w:val="18"/>
          <w:szCs w:val="18"/>
          <w:color w:val="auto"/>
        </w:rPr>
        <w:t>has the meaning given to it in the Electronic Transactions Act;</w:t>
      </w:r>
    </w:p>
    <w:p>
      <w:pPr>
        <w:spacing w:after="0" w:line="22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“electronic </w:t>
      </w:r>
      <w:r>
        <w:rPr>
          <w:rFonts w:ascii="Times New Roman" w:cs="Times New Roman" w:eastAsia="Times New Roman" w:hAnsi="Times New Roman"/>
          <w:sz w:val="18"/>
          <w:szCs w:val="18"/>
          <w:color w:val="auto"/>
        </w:rPr>
        <w:t>means electronic posting to the Company’s Website, electronic transmission to any number, address or internet</w:t>
      </w:r>
      <w:r>
        <w:rPr>
          <w:rFonts w:ascii="Times New Roman" w:cs="Times New Roman" w:eastAsia="Times New Roman" w:hAnsi="Times New Roman"/>
          <w:sz w:val="18"/>
          <w:szCs w:val="18"/>
          <w:b w:val="1"/>
          <w:bCs w:val="1"/>
          <w:color w:val="auto"/>
        </w:rPr>
        <w:t xml:space="preserve"> communication” </w:t>
      </w:r>
      <w:r>
        <w:rPr>
          <w:rFonts w:ascii="Times New Roman" w:cs="Times New Roman" w:eastAsia="Times New Roman" w:hAnsi="Times New Roman"/>
          <w:sz w:val="18"/>
          <w:szCs w:val="18"/>
          <w:color w:val="auto"/>
        </w:rPr>
        <w:t>website or other electronic delivery methods as otherwise decided and approved by not less than two-thirds of the</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vote of the Board;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“electronic record” </w:t>
      </w:r>
      <w:r>
        <w:rPr>
          <w:rFonts w:ascii="Times New Roman" w:cs="Times New Roman" w:eastAsia="Times New Roman" w:hAnsi="Times New Roman"/>
          <w:sz w:val="18"/>
          <w:szCs w:val="18"/>
          <w:color w:val="auto"/>
        </w:rPr>
        <w:t>has the meaning given to it in the Electronic Transactions Act;</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“Electronic </w:t>
      </w:r>
      <w:r>
        <w:rPr>
          <w:rFonts w:ascii="Times New Roman" w:cs="Times New Roman" w:eastAsia="Times New Roman" w:hAnsi="Times New Roman"/>
          <w:sz w:val="18"/>
          <w:szCs w:val="18"/>
          <w:color w:val="auto"/>
        </w:rPr>
        <w:t>means the Electronic Transactions Act (As Revised) of the Cayman Islands and any statutory amendment or re-</w:t>
      </w:r>
      <w:r>
        <w:rPr>
          <w:rFonts w:ascii="Times New Roman" w:cs="Times New Roman" w:eastAsia="Times New Roman" w:hAnsi="Times New Roman"/>
          <w:sz w:val="18"/>
          <w:szCs w:val="18"/>
          <w:b w:val="1"/>
          <w:bCs w:val="1"/>
          <w:color w:val="auto"/>
        </w:rPr>
        <w:t xml:space="preserve">Transactions Act” </w:t>
      </w:r>
      <w:r>
        <w:rPr>
          <w:rFonts w:ascii="Times New Roman" w:cs="Times New Roman" w:eastAsia="Times New Roman" w:hAnsi="Times New Roman"/>
          <w:sz w:val="18"/>
          <w:szCs w:val="18"/>
          <w:color w:val="auto"/>
        </w:rPr>
        <w:t>enactment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249555</wp:posOffset>
            </wp:positionV>
            <wp:extent cx="788670" cy="7797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9">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4</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10020"/>
          </w:cols>
          <w:pgMar w:left="980" w:top="887" w:right="899" w:bottom="1440" w:gutter="0" w:footer="0" w:header="0"/>
        </w:sectPr>
      </w:pPr>
    </w:p>
    <w:bookmarkStart w:id="274" w:name="page275"/>
    <w:bookmarkEnd w:id="274"/>
    <w:p>
      <w:pPr>
        <w:ind w:right="10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“Memorandum of </w:t>
      </w:r>
      <w:r>
        <w:rPr>
          <w:rFonts w:ascii="Times New Roman" w:cs="Times New Roman" w:eastAsia="Times New Roman" w:hAnsi="Times New Roman"/>
          <w:sz w:val="18"/>
          <w:szCs w:val="18"/>
          <w:color w:val="auto"/>
        </w:rPr>
        <w:t>means the Memorandum of Association of the Company, as amended or substituted from time to time;</w:t>
      </w:r>
      <w:r>
        <w:rPr>
          <w:rFonts w:ascii="Times New Roman" w:cs="Times New Roman" w:eastAsia="Times New Roman" w:hAnsi="Times New Roman"/>
          <w:sz w:val="18"/>
          <w:szCs w:val="18"/>
          <w:b w:val="1"/>
          <w:bCs w:val="1"/>
          <w:color w:val="auto"/>
        </w:rPr>
        <w:t xml:space="preserve"> Association”</w:t>
      </w:r>
    </w:p>
    <w:p>
      <w:pPr>
        <w:sectPr>
          <w:pgSz w:w="11900" w:h="16838" w:orient="portrait"/>
          <w:cols w:equalWidth="0" w:num="1">
            <w:col w:w="9920"/>
          </w:cols>
          <w:pgMar w:left="980" w:top="887" w:right="999" w:bottom="1440" w:gutter="0" w:footer="0" w:header="0"/>
        </w:sectPr>
      </w:pP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“Ordinary Resolution”</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a resolution:</w:t>
      </w:r>
    </w:p>
    <w:p>
      <w:pPr>
        <w:spacing w:after="0" w:line="452" w:lineRule="exact"/>
        <w:rPr>
          <w:sz w:val="20"/>
          <w:szCs w:val="20"/>
          <w:color w:val="auto"/>
        </w:rPr>
      </w:pPr>
    </w:p>
    <w:p>
      <w:pPr>
        <w:sectPr>
          <w:pgSz w:w="11900" w:h="16838" w:orient="portrait"/>
          <w:cols w:equalWidth="0" w:num="2">
            <w:col w:w="920" w:space="580"/>
            <w:col w:w="8420"/>
          </w:cols>
          <w:pgMar w:left="980" w:top="887" w:right="999" w:bottom="1440" w:gutter="0" w:footer="0" w:header="0"/>
          <w:type w:val="continuous"/>
        </w:sectPr>
      </w:pPr>
    </w:p>
    <w:p>
      <w:pPr>
        <w:jc w:val="both"/>
        <w:ind w:left="1840" w:hanging="339"/>
        <w:spacing w:after="0" w:line="266" w:lineRule="auto"/>
        <w:tabs>
          <w:tab w:leader="none" w:pos="1820" w:val="left"/>
        </w:tabs>
        <w:rPr>
          <w:sz w:val="20"/>
          <w:szCs w:val="20"/>
          <w:color w:val="auto"/>
        </w:rPr>
      </w:pPr>
      <w:r>
        <w:rPr>
          <w:rFonts w:ascii="Times New Roman" w:cs="Times New Roman" w:eastAsia="Times New Roman" w:hAnsi="Times New Roman"/>
          <w:sz w:val="18"/>
          <w:szCs w:val="18"/>
          <w:color w:val="auto"/>
        </w:rPr>
        <w:t>(a)</w:t>
        <w:tab/>
        <w:t>passed by a simple majority of the votes cast by such Shareholders as, being entitled to do so, vote in person or, where proxies are allowed, by proxy or, in the case of corporations, by their duly authorized representatives, at a general meeting of the Company held in accordance with these Articles; or</w:t>
      </w:r>
    </w:p>
    <w:p>
      <w:pPr>
        <w:spacing w:after="0" w:line="176" w:lineRule="exact"/>
        <w:rPr>
          <w:sz w:val="20"/>
          <w:szCs w:val="20"/>
          <w:color w:val="auto"/>
        </w:rPr>
      </w:pPr>
    </w:p>
    <w:p>
      <w:pPr>
        <w:jc w:val="both"/>
        <w:ind w:left="1840" w:hanging="339"/>
        <w:spacing w:after="0" w:line="266" w:lineRule="auto"/>
        <w:tabs>
          <w:tab w:leader="none" w:pos="1820" w:val="left"/>
        </w:tabs>
        <w:rPr>
          <w:sz w:val="20"/>
          <w:szCs w:val="20"/>
          <w:color w:val="auto"/>
        </w:rPr>
      </w:pPr>
      <w:r>
        <w:rPr>
          <w:rFonts w:ascii="Times New Roman" w:cs="Times New Roman" w:eastAsia="Times New Roman" w:hAnsi="Times New Roman"/>
          <w:sz w:val="18"/>
          <w:szCs w:val="18"/>
          <w:color w:val="auto"/>
        </w:rPr>
        <w:t>(b)</w:t>
        <w:tab/>
        <w:t>approved in writing by all of the Shareholders entitled to vote at a general meeting of the Company in one or more instruments each signed by one or more of such Shareholders and the effective date of the resolution so adopted shall be the date on which the instrument, or the last of such instruments, if more than one, is executed;</w:t>
      </w:r>
    </w:p>
    <w:p>
      <w:pPr>
        <w:sectPr>
          <w:pgSz w:w="11900" w:h="16838" w:orient="portrait"/>
          <w:cols w:equalWidth="0" w:num="1">
            <w:col w:w="9920"/>
          </w:cols>
          <w:pgMar w:left="980" w:top="887" w:right="999" w:bottom="1440" w:gutter="0" w:footer="0" w:header="0"/>
          <w:type w:val="continuous"/>
        </w:sectPr>
      </w:pPr>
    </w:p>
    <w:p>
      <w:pPr>
        <w:spacing w:after="0" w:line="172" w:lineRule="exact"/>
        <w:rPr>
          <w:sz w:val="20"/>
          <w:szCs w:val="20"/>
          <w:color w:val="auto"/>
        </w:rPr>
      </w:pPr>
    </w:p>
    <w:p>
      <w:pPr>
        <w:jc w:val="both"/>
        <w:ind w:left="1500" w:hanging="149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“Ordinary Share” </w:t>
      </w:r>
      <w:r>
        <w:rPr>
          <w:rFonts w:ascii="Times New Roman" w:cs="Times New Roman" w:eastAsia="Times New Roman" w:hAnsi="Times New Roman"/>
          <w:sz w:val="18"/>
          <w:szCs w:val="18"/>
          <w:color w:val="auto"/>
        </w:rPr>
        <w:t>means an ordinary share of a par value of US$0.00001 in the capital of the Company, and having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preferences, privileges and restrictions provided for in the Memorandum of Association and these Articles;</w:t>
      </w:r>
    </w:p>
    <w:p>
      <w:pPr>
        <w:spacing w:after="0" w:line="15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“paid up”</w:t>
      </w:r>
      <w:r>
        <w:rPr>
          <w:sz w:val="20"/>
          <w:szCs w:val="20"/>
          <w:color w:val="auto"/>
        </w:rPr>
        <w:tab/>
      </w:r>
      <w:r>
        <w:rPr>
          <w:rFonts w:ascii="Times New Roman" w:cs="Times New Roman" w:eastAsia="Times New Roman" w:hAnsi="Times New Roman"/>
          <w:sz w:val="17"/>
          <w:szCs w:val="17"/>
          <w:color w:val="auto"/>
        </w:rPr>
        <w:t>means paid up as to the par value in respect of the issue of any Shares and includes credited as paid up;</w:t>
      </w:r>
    </w:p>
    <w:p>
      <w:pPr>
        <w:spacing w:after="0" w:line="225" w:lineRule="exact"/>
        <w:rPr>
          <w:sz w:val="20"/>
          <w:szCs w:val="20"/>
          <w:color w:val="auto"/>
        </w:rPr>
      </w:pPr>
    </w:p>
    <w:p>
      <w:pPr>
        <w:jc w:val="both"/>
        <w:ind w:left="1500" w:hanging="1499"/>
        <w:spacing w:after="0" w:line="282" w:lineRule="auto"/>
        <w:tabs>
          <w:tab w:leader="none" w:pos="1480" w:val="left"/>
        </w:tabs>
        <w:rPr>
          <w:sz w:val="20"/>
          <w:szCs w:val="20"/>
          <w:color w:val="auto"/>
        </w:rPr>
      </w:pPr>
      <w:r>
        <w:rPr>
          <w:rFonts w:ascii="Times New Roman" w:cs="Times New Roman" w:eastAsia="Times New Roman" w:hAnsi="Times New Roman"/>
          <w:sz w:val="18"/>
          <w:szCs w:val="18"/>
          <w:b w:val="1"/>
          <w:bCs w:val="1"/>
          <w:color w:val="auto"/>
        </w:rPr>
        <w:t>“Person”</w:t>
      </w:r>
      <w:r>
        <w:rPr>
          <w:sz w:val="20"/>
          <w:szCs w:val="20"/>
          <w:color w:val="auto"/>
        </w:rPr>
        <w:tab/>
      </w:r>
      <w:r>
        <w:rPr>
          <w:rFonts w:ascii="Times New Roman" w:cs="Times New Roman" w:eastAsia="Times New Roman" w:hAnsi="Times New Roman"/>
          <w:sz w:val="18"/>
          <w:szCs w:val="18"/>
          <w:color w:val="auto"/>
        </w:rPr>
        <w:t>means any natural person, firm, company, joint venture, partnership, corporation, association or other entity (whether or not having a separate legal personality) or any of them as the context so requires;</w:t>
      </w:r>
    </w:p>
    <w:p>
      <w:pPr>
        <w:spacing w:after="0" w:line="162" w:lineRule="exact"/>
        <w:rPr>
          <w:sz w:val="20"/>
          <w:szCs w:val="20"/>
          <w:color w:val="auto"/>
        </w:rPr>
      </w:pPr>
    </w:p>
    <w:p>
      <w:pPr>
        <w:jc w:val="both"/>
        <w:ind w:left="1500" w:hanging="1499"/>
        <w:spacing w:after="0" w:line="256" w:lineRule="auto"/>
        <w:tabs>
          <w:tab w:leader="none" w:pos="1480" w:val="left"/>
        </w:tabs>
        <w:rPr>
          <w:sz w:val="20"/>
          <w:szCs w:val="20"/>
          <w:color w:val="auto"/>
        </w:rPr>
      </w:pPr>
      <w:r>
        <w:rPr>
          <w:rFonts w:ascii="Times New Roman" w:cs="Times New Roman" w:eastAsia="Times New Roman" w:hAnsi="Times New Roman"/>
          <w:sz w:val="18"/>
          <w:szCs w:val="18"/>
          <w:b w:val="1"/>
          <w:bCs w:val="1"/>
          <w:color w:val="auto"/>
        </w:rPr>
        <w:t>“Present”</w:t>
      </w:r>
      <w:r>
        <w:rPr>
          <w:sz w:val="20"/>
          <w:szCs w:val="20"/>
          <w:color w:val="auto"/>
        </w:rPr>
        <w:tab/>
      </w:r>
      <w:r>
        <w:rPr>
          <w:rFonts w:ascii="Times New Roman" w:cs="Times New Roman" w:eastAsia="Times New Roman" w:hAnsi="Times New Roman"/>
          <w:sz w:val="18"/>
          <w:szCs w:val="18"/>
          <w:color w:val="auto"/>
        </w:rPr>
        <w:t>means in respect of any Person, such Person’s presence at a general meeting of Shareholders (or any meeting of the holders of any class of Shares), which may be satisfied by means of such Person or, if a corporation or other non-natural Person, its duly authorized representative (or, in the case of any Shareholder, a proxy which has been validly appointed by such Shareholder in accordance with these Articles), being: (a) physically present at the meeting; or</w:t>
      </w:r>
    </w:p>
    <w:p>
      <w:pPr>
        <w:spacing w:after="0" w:line="3" w:lineRule="exact"/>
        <w:rPr>
          <w:sz w:val="20"/>
          <w:szCs w:val="20"/>
          <w:color w:val="auto"/>
        </w:rPr>
      </w:pPr>
    </w:p>
    <w:p>
      <w:pPr>
        <w:ind w:left="1500" w:right="20" w:firstLine="8"/>
        <w:spacing w:after="0" w:line="260" w:lineRule="auto"/>
        <w:tabs>
          <w:tab w:leader="none" w:pos="176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meeting at which Communication Facilities are permitted in accordance with these Articles, including any Virtual Meeting, connected by means of the use of such Communication Facilities;</w:t>
      </w:r>
    </w:p>
    <w:p>
      <w:pPr>
        <w:sectPr>
          <w:pgSz w:w="11900" w:h="16838" w:orient="portrait"/>
          <w:cols w:equalWidth="0" w:num="1">
            <w:col w:w="9920"/>
          </w:cols>
          <w:pgMar w:left="980" w:top="887" w:right="99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Register of Members of the Company maintained in accordance with the Companies Act;</w:t>
      </w:r>
    </w:p>
    <w:p>
      <w:pPr>
        <w:spacing w:after="0" w:line="200" w:lineRule="exact"/>
        <w:rPr>
          <w:sz w:val="20"/>
          <w:szCs w:val="20"/>
          <w:color w:val="auto"/>
        </w:rPr>
      </w:pPr>
    </w:p>
    <w:p>
      <w:pPr>
        <w:sectPr>
          <w:pgSz w:w="11900" w:h="16838" w:orient="portrait"/>
          <w:cols w:equalWidth="0" w:num="2">
            <w:col w:w="820" w:space="680"/>
            <w:col w:w="8420"/>
          </w:cols>
          <w:pgMar w:left="980" w:top="887" w:right="999" w:bottom="1440" w:gutter="0" w:footer="0" w:header="0"/>
          <w:type w:val="continuous"/>
        </w:sectPr>
      </w:pPr>
    </w:p>
    <w:p>
      <w:pPr>
        <w:spacing w:after="0" w:line="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registered office of the Company as required by the Companies Act;</w:t>
      </w:r>
    </w:p>
    <w:p>
      <w:pPr>
        <w:spacing w:after="0" w:line="437" w:lineRule="exact"/>
        <w:rPr>
          <w:sz w:val="20"/>
          <w:szCs w:val="20"/>
          <w:color w:val="auto"/>
        </w:rPr>
      </w:pPr>
    </w:p>
    <w:p>
      <w:pPr>
        <w:sectPr>
          <w:pgSz w:w="11900" w:h="16838" w:orient="portrait"/>
          <w:cols w:equalWidth="0" w:num="2">
            <w:col w:w="920" w:space="580"/>
            <w:col w:w="8420"/>
          </w:cols>
          <w:pgMar w:left="980" w:top="887"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“Seal”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the common seal of the Company (if adopted) including any facsimile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300355</wp:posOffset>
            </wp:positionV>
            <wp:extent cx="788670" cy="7804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0">
                      <a:extLst>
                        <a:ext uri="{28A0092B-C50C-407E-A947-70E740481C1C}"/>
                      </a:extLst>
                    </a:blip>
                    <a:srcRect/>
                    <a:stretch>
                      <a:fillRect/>
                    </a:stretch>
                  </pic:blipFill>
                  <pic:spPr bwMode="auto">
                    <a:xfrm>
                      <a:off x="0" y="0"/>
                      <a:ext cx="788670" cy="780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 w:space="720"/>
            <w:col w:w="8420"/>
          </w:cols>
          <w:pgMar w:left="980" w:top="887"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5</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87" w:right="999" w:bottom="1440" w:gutter="0" w:footer="0" w:header="0"/>
          <w:type w:val="continuous"/>
        </w:sectPr>
      </w:pPr>
    </w:p>
    <w:bookmarkStart w:id="275" w:name="page276"/>
    <w:bookmarkEnd w:id="2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means any Person appointed by the Directors to perform any of the duties of the secretary of the Company;</w:t>
            </w:r>
          </w:p>
        </w:tc>
      </w:tr>
      <w:tr>
        <w:trPr>
          <w:trHeight w:val="414"/>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means the Securities Act of 1933 of the United States, as amended, or any similar federal statute and the rules and</w:t>
            </w:r>
          </w:p>
        </w:tc>
      </w:tr>
      <w:tr>
        <w:trPr>
          <w:trHeight w:val="234"/>
        </w:trPr>
        <w:tc>
          <w:tcPr>
            <w:tcW w:w="1460" w:type="dxa"/>
            <w:vAlign w:val="bottom"/>
          </w:tcPr>
          <w:p>
            <w:pPr>
              <w:spacing w:after="0"/>
              <w:rPr>
                <w:sz w:val="20"/>
                <w:szCs w:val="20"/>
                <w:color w:val="auto"/>
              </w:rPr>
            </w:pPr>
          </w:p>
        </w:tc>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regulations of the Commission thereunder, all as the same shall be in effect at the time;</w:t>
            </w:r>
          </w:p>
        </w:tc>
      </w:tr>
      <w:tr>
        <w:trPr>
          <w:trHeight w:val="414"/>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means a share in the share capital of the Company. All references to “Shares” herein shall be deemed to be Shares of</w:t>
            </w:r>
          </w:p>
        </w:tc>
      </w:tr>
      <w:tr>
        <w:trPr>
          <w:trHeight w:val="216"/>
        </w:trPr>
        <w:tc>
          <w:tcPr>
            <w:tcW w:w="1460" w:type="dxa"/>
            <w:vAlign w:val="bottom"/>
          </w:tcPr>
          <w:p>
            <w:pPr>
              <w:spacing w:after="0"/>
              <w:rPr>
                <w:sz w:val="18"/>
                <w:szCs w:val="18"/>
                <w:color w:val="auto"/>
              </w:rPr>
            </w:pPr>
          </w:p>
        </w:tc>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any or all classes as the context may require. For the avoidance of doubt in these Articles the expression “Share”</w:t>
            </w:r>
          </w:p>
        </w:tc>
      </w:tr>
      <w:tr>
        <w:trPr>
          <w:trHeight w:val="234"/>
        </w:trPr>
        <w:tc>
          <w:tcPr>
            <w:tcW w:w="1460" w:type="dxa"/>
            <w:vAlign w:val="bottom"/>
          </w:tcPr>
          <w:p>
            <w:pPr>
              <w:spacing w:after="0"/>
              <w:rPr>
                <w:sz w:val="20"/>
                <w:szCs w:val="20"/>
                <w:color w:val="auto"/>
              </w:rPr>
            </w:pPr>
          </w:p>
        </w:tc>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shall include a fraction of a Share;</w:t>
            </w:r>
          </w:p>
        </w:tc>
      </w:tr>
      <w:tr>
        <w:trPr>
          <w:trHeight w:val="432"/>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means a Person who is registered as a holder of one or more Shares in the Register;</w:t>
            </w:r>
          </w:p>
        </w:tc>
      </w:tr>
      <w:tr>
        <w:trPr>
          <w:trHeight w:val="41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Premium</w:t>
            </w:r>
          </w:p>
        </w:tc>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means the share premium account established in accordance with these Articles and the Companies Act;</w:t>
            </w: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320" w:type="dxa"/>
            <w:vAlign w:val="bottom"/>
          </w:tcPr>
          <w:p>
            <w:pPr>
              <w:spacing w:after="0"/>
              <w:rPr>
                <w:sz w:val="20"/>
                <w:szCs w:val="20"/>
                <w:color w:val="auto"/>
              </w:rPr>
            </w:pPr>
          </w:p>
        </w:tc>
        <w:tc>
          <w:tcPr>
            <w:tcW w:w="8140" w:type="dxa"/>
            <w:vAlign w:val="bottom"/>
          </w:tcPr>
          <w:p>
            <w:pPr>
              <w:spacing w:after="0"/>
              <w:rPr>
                <w:sz w:val="20"/>
                <w:szCs w:val="20"/>
                <w:color w:val="auto"/>
              </w:rPr>
            </w:pPr>
          </w:p>
        </w:tc>
      </w:tr>
      <w:tr>
        <w:trPr>
          <w:trHeight w:val="414"/>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means bearing a signature or representation of a signature affixed by mechanical means or an electronic symbol or</w:t>
            </w:r>
          </w:p>
        </w:tc>
      </w:tr>
      <w:tr>
        <w:trPr>
          <w:trHeight w:val="216"/>
        </w:trPr>
        <w:tc>
          <w:tcPr>
            <w:tcW w:w="1460" w:type="dxa"/>
            <w:vAlign w:val="bottom"/>
          </w:tcPr>
          <w:p>
            <w:pPr>
              <w:spacing w:after="0"/>
              <w:rPr>
                <w:sz w:val="18"/>
                <w:szCs w:val="18"/>
                <w:color w:val="auto"/>
              </w:rPr>
            </w:pPr>
          </w:p>
        </w:tc>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process attached to or logically associated with an electronic communication and executed or adopted by a Person</w:t>
            </w:r>
          </w:p>
        </w:tc>
      </w:tr>
      <w:tr>
        <w:trPr>
          <w:trHeight w:val="234"/>
        </w:trPr>
        <w:tc>
          <w:tcPr>
            <w:tcW w:w="1460" w:type="dxa"/>
            <w:vAlign w:val="bottom"/>
          </w:tcPr>
          <w:p>
            <w:pPr>
              <w:spacing w:after="0"/>
              <w:rPr>
                <w:sz w:val="20"/>
                <w:szCs w:val="20"/>
                <w:color w:val="auto"/>
              </w:rPr>
            </w:pPr>
          </w:p>
        </w:tc>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with the intent to sign the electronic communication;</w:t>
            </w:r>
          </w:p>
        </w:tc>
      </w:tr>
      <w:tr>
        <w:trPr>
          <w:trHeight w:val="41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“Special</w:t>
            </w:r>
          </w:p>
        </w:tc>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means a special resolution of the Company passed in accordance with the Companies Act, being a resolution:</w:t>
            </w: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Resolution”</w:t>
            </w:r>
          </w:p>
        </w:tc>
        <w:tc>
          <w:tcPr>
            <w:tcW w:w="320" w:type="dxa"/>
            <w:vAlign w:val="bottom"/>
          </w:tcPr>
          <w:p>
            <w:pPr>
              <w:spacing w:after="0"/>
              <w:rPr>
                <w:sz w:val="20"/>
                <w:szCs w:val="20"/>
                <w:color w:val="auto"/>
              </w:rPr>
            </w:pPr>
          </w:p>
        </w:tc>
        <w:tc>
          <w:tcPr>
            <w:tcW w:w="8140" w:type="dxa"/>
            <w:vAlign w:val="bottom"/>
          </w:tcPr>
          <w:p>
            <w:pPr>
              <w:spacing w:after="0"/>
              <w:rPr>
                <w:sz w:val="20"/>
                <w:szCs w:val="20"/>
                <w:color w:val="auto"/>
              </w:rPr>
            </w:pPr>
          </w:p>
        </w:tc>
      </w:tr>
      <w:tr>
        <w:trPr>
          <w:trHeight w:val="414"/>
        </w:trPr>
        <w:tc>
          <w:tcPr>
            <w:tcW w:w="14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passed by not less than two-thirds of the votes cast by such Shareholders as, being entitled to do so, vote in</w:t>
            </w:r>
          </w:p>
        </w:tc>
      </w:tr>
      <w:tr>
        <w:trPr>
          <w:trHeight w:val="216"/>
        </w:trPr>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 or, where proxies are allowed, by proxy or, in the case of corporations, by their duly authorized</w:t>
            </w:r>
          </w:p>
        </w:tc>
      </w:tr>
      <w:tr>
        <w:trPr>
          <w:trHeight w:val="216"/>
        </w:trPr>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representatives, at a general meeting of the Company of which notice specifying the intention to propose the</w:t>
            </w:r>
          </w:p>
        </w:tc>
      </w:tr>
      <w:tr>
        <w:trPr>
          <w:trHeight w:val="234"/>
        </w:trPr>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resolution as a special resolution has been duly given; or</w:t>
            </w:r>
          </w:p>
        </w:tc>
      </w:tr>
      <w:tr>
        <w:trPr>
          <w:trHeight w:val="414"/>
        </w:trPr>
        <w:tc>
          <w:tcPr>
            <w:tcW w:w="14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8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approved in writing by all of the Shareholders entitled to vote at a general meeting of the Company in one or</w:t>
            </w:r>
          </w:p>
        </w:tc>
      </w:tr>
      <w:tr>
        <w:trPr>
          <w:trHeight w:val="216"/>
        </w:trPr>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more instruments each signed by one or more of such Shareholders and the effective date of the special</w:t>
            </w:r>
          </w:p>
        </w:tc>
      </w:tr>
      <w:tr>
        <w:trPr>
          <w:trHeight w:val="216"/>
        </w:trPr>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resolution so adopted shall be the date on which the instrument or the last of such instruments, if more than one,</w:t>
            </w:r>
          </w:p>
        </w:tc>
      </w:tr>
      <w:tr>
        <w:trPr>
          <w:trHeight w:val="234"/>
        </w:trPr>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 executed;</w:t>
            </w:r>
          </w:p>
        </w:tc>
      </w:tr>
      <w:tr>
        <w:trPr>
          <w:trHeight w:val="432"/>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“Treasury Share”</w:t>
            </w:r>
          </w:p>
        </w:tc>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means a Share held in the name of the Company as a treasury share in accordance with the Companies Act;</w:t>
            </w:r>
          </w:p>
        </w:tc>
      </w:tr>
      <w:tr>
        <w:trPr>
          <w:trHeight w:val="432"/>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means the United States of America, its territories, its possessions and all areas subject to its jurisdiction; and</w:t>
            </w:r>
          </w:p>
        </w:tc>
      </w:tr>
      <w:tr>
        <w:trPr>
          <w:trHeight w:val="414"/>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“Virtual Meeting”</w:t>
            </w:r>
          </w:p>
        </w:tc>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means any general meeting of the Shareholders (or any meeting of the holders of any class of Shares) at which the</w:t>
            </w:r>
          </w:p>
        </w:tc>
      </w:tr>
      <w:tr>
        <w:trPr>
          <w:trHeight w:val="234"/>
        </w:trPr>
        <w:tc>
          <w:tcPr>
            <w:tcW w:w="1460" w:type="dxa"/>
            <w:vAlign w:val="bottom"/>
          </w:tcPr>
          <w:p>
            <w:pPr>
              <w:spacing w:after="0"/>
              <w:rPr>
                <w:sz w:val="20"/>
                <w:szCs w:val="20"/>
                <w:color w:val="auto"/>
              </w:rPr>
            </w:pPr>
          </w:p>
        </w:tc>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Shareholders (and any other permitted participants of such meeting, including without limitation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274320</wp:posOffset>
            </wp:positionV>
            <wp:extent cx="788670" cy="7804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1">
                      <a:extLst>
                        <a:ext uri="{28A0092B-C50C-407E-A947-70E740481C1C}"/>
                      </a:extLst>
                    </a:blip>
                    <a:srcRect/>
                    <a:stretch>
                      <a:fillRect/>
                    </a:stretch>
                  </pic:blipFill>
                  <pic:spPr bwMode="auto">
                    <a:xfrm>
                      <a:off x="0" y="0"/>
                      <a:ext cx="78867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6</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276" w:name="page277"/>
    <w:bookmarkEnd w:id="276"/>
    <w:p>
      <w:pPr>
        <w:ind w:left="1500"/>
        <w:spacing w:after="0" w:line="282" w:lineRule="auto"/>
        <w:rPr>
          <w:sz w:val="20"/>
          <w:szCs w:val="20"/>
          <w:color w:val="auto"/>
        </w:rPr>
      </w:pPr>
      <w:r>
        <w:rPr>
          <w:rFonts w:ascii="Times New Roman" w:cs="Times New Roman" w:eastAsia="Times New Roman" w:hAnsi="Times New Roman"/>
          <w:sz w:val="18"/>
          <w:szCs w:val="18"/>
          <w:color w:val="auto"/>
        </w:rPr>
        <w:t>chairperson of the meeting and any Directors) are permitted to attend and participate solely by means of Communication Facilities.</w:t>
      </w:r>
    </w:p>
    <w:p>
      <w:pPr>
        <w:spacing w:after="0" w:line="162" w:lineRule="exact"/>
        <w:rPr>
          <w:sz w:val="20"/>
          <w:szCs w:val="20"/>
          <w:color w:val="auto"/>
        </w:rPr>
      </w:pPr>
    </w:p>
    <w:p>
      <w:pPr>
        <w:ind w:left="340" w:hanging="332"/>
        <w:spacing w:after="0"/>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save where the context requires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shall include the plural number and vice versa;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only shall include the feminine gender and any Person as the context may require;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“may” shall be construed as permissive and the word “shall” shall be construed as imperative;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dollar or dollars (or US$) and to a cent or cents is reference to dollars and cents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statutory enactment shall include reference to any amendment or re-enactment thereof for the time being in force;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determination by the Directors shall be construed as a determination by the Directors in their sole and absolute discretion and shall be applicable either generally or in any particular case;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 or an electronic communication;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Act;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two preceding Articles, any words defined in the Companies Act shall, if not inconsistent with the subject or context, bear the same meaning in these Articles.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229" w:lineRule="exact"/>
        <w:rPr>
          <w:sz w:val="20"/>
          <w:szCs w:val="20"/>
          <w:color w:val="auto"/>
        </w:rPr>
      </w:pPr>
    </w:p>
    <w:p>
      <w:pPr>
        <w:ind w:left="340" w:hanging="332"/>
        <w:spacing w:after="0"/>
        <w:tabs>
          <w:tab w:leader="none" w:pos="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may be conducted as the Directors see fit.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260350</wp:posOffset>
            </wp:positionV>
            <wp:extent cx="788670" cy="7797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2">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7</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91" w:right="999" w:bottom="1440" w:gutter="0" w:footer="0" w:header="0"/>
        </w:sectPr>
      </w:pPr>
    </w:p>
    <w:bookmarkStart w:id="277" w:name="page278"/>
    <w:bookmarkEnd w:id="277"/>
    <w:p>
      <w:pPr>
        <w:jc w:val="both"/>
        <w:ind w:left="340" w:hanging="332"/>
        <w:spacing w:after="0" w:line="266" w:lineRule="auto"/>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incurred in the formation of the Company and in connection with the offer for subscription and issue of Shares shall be paid by the Company. Such expenses may be amortized over such period as the Directors may determine and the amount so paid shall be charged against income and/or capital in the accounts of the Company as the Directors shall determine.</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keep, or cause to be kept, the Register at such place as the Directors may from time to time determine and, in the absence of any such determination, the Register shall be kept at the Registered Office.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9" w:lineRule="exact"/>
        <w:rPr>
          <w:sz w:val="20"/>
          <w:szCs w:val="20"/>
          <w:color w:val="auto"/>
        </w:rPr>
      </w:pPr>
    </w:p>
    <w:p>
      <w:pPr>
        <w:ind w:left="340" w:right="20" w:hanging="332"/>
        <w:spacing w:after="0" w:line="282" w:lineRule="auto"/>
        <w:tabs>
          <w:tab w:leader="none" w:pos="3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all Shares for the time being unissued shall be under the control of the Directors who may, in their absolute discretion and without the approval of the Shareholders, cause the Company to:</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options with respect to Shares and issue warrants, convertible securities or similar instruments conferring the right upon the holders thereof to subscribe for, purchase or receive any Shares or securities in the capital of the Company on such terms as it may from time to time determine.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the Shareholders by Ordinary Resolution may authorize the division of Shares into any number of classes and the different classes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the Shareholders by Ordinary Resolution. The Directors may issue Shares with such preferred or other rights, all or any of which may be greater than the rights of Ordinary Shares, at such time and on such terms as they may think appropriate. Notwithstanding Article 12, the Directors may issue from time to time, out of the authorized share capital of the Company (other than the authorized but unissued Ordinary Shares), series of preferred shares in their absolute discretion and without approval of the Shareholders; provided, however, before any preferred shares of any such series are issued, the Directors shall by resolution of Directors determine, with respect to any series of preferred shares, the terms and rights of that series, including:</w:t>
      </w:r>
    </w:p>
    <w:p>
      <w:pPr>
        <w:spacing w:after="0" w:line="1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preferred shares to constitute such series and the subscription price thereof if different from the par value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251460</wp:posOffset>
            </wp:positionV>
            <wp:extent cx="788670" cy="7797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3">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8</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78" w:name="page279"/>
    <w:bookmarkEnd w:id="278"/>
    <w:p>
      <w:pPr>
        <w:ind w:left="660" w:hanging="328"/>
        <w:spacing w:after="0" w:line="282"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voting rights, in addition to any voting rights provided by law, and, if so, the terms of such voting rights, which may be general or limited;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redemption by the Company, and, if so, the times, prices and other conditions of such redemption;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any rights to receive any part of the assets available for distribution amongst the Shareholders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and, for such purposes, the Directors may reserve an appropriate number of Shares for the time being unissued. The Company shall not issue Shares to bearer.</w:t>
      </w:r>
    </w:p>
    <w:p>
      <w:pPr>
        <w:spacing w:after="0" w:line="162" w:lineRule="exact"/>
        <w:rPr>
          <w:sz w:val="20"/>
          <w:szCs w:val="20"/>
          <w:color w:val="auto"/>
        </w:rPr>
      </w:pPr>
    </w:p>
    <w:p>
      <w:pPr>
        <w:jc w:val="both"/>
        <w:ind w:left="340" w:right="20" w:hanging="332"/>
        <w:spacing w:after="0" w:line="266" w:lineRule="auto"/>
        <w:tabs>
          <w:tab w:leader="none" w:pos="3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insofar as may be permitted by law, pay a commission to any Person in consideration of his subscribing or agreeing to subscribe whether absolutely or conditionally for any Shares. Such commissions may be satisfied by the payment of cash or the lodgement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260350</wp:posOffset>
            </wp:positionV>
            <wp:extent cx="788670" cy="7797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4">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9</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79" w:name="page280"/>
    <w:bookmarkEnd w:id="279"/>
    <w:p>
      <w:pPr>
        <w:ind w:left="340"/>
        <w:spacing w:after="0" w:line="282" w:lineRule="auto"/>
        <w:rPr>
          <w:sz w:val="20"/>
          <w:szCs w:val="20"/>
          <w:color w:val="auto"/>
        </w:rPr>
      </w:pPr>
      <w:r>
        <w:rPr>
          <w:rFonts w:ascii="Times New Roman" w:cs="Times New Roman" w:eastAsia="Times New Roman" w:hAnsi="Times New Roman"/>
          <w:sz w:val="18"/>
          <w:szCs w:val="18"/>
          <w:color w:val="auto"/>
        </w:rPr>
        <w:t>fully or partly paid-up Shares or partly in one way and partly in the other. The Company may also pay such brokerage as may be lawful on any issue of Shares.</w:t>
      </w:r>
    </w:p>
    <w:p>
      <w:pPr>
        <w:spacing w:after="0" w:line="162" w:lineRule="exact"/>
        <w:rPr>
          <w:sz w:val="20"/>
          <w:szCs w:val="20"/>
          <w:color w:val="auto"/>
        </w:rPr>
      </w:pPr>
    </w:p>
    <w:p>
      <w:pPr>
        <w:ind w:left="340" w:hanging="332"/>
        <w:spacing w:after="0" w:line="282" w:lineRule="auto"/>
        <w:tabs>
          <w:tab w:leader="none" w:pos="3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refuse to accept any application for Shares, and may accept any application in whole or in part, for any reason or for no reason.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MODIFICATION OF RIGHTS</w:t>
      </w:r>
    </w:p>
    <w:p>
      <w:pPr>
        <w:spacing w:after="0" w:line="229" w:lineRule="exact"/>
        <w:rPr>
          <w:sz w:val="20"/>
          <w:szCs w:val="20"/>
          <w:color w:val="auto"/>
        </w:rPr>
      </w:pPr>
    </w:p>
    <w:p>
      <w:pPr>
        <w:jc w:val="both"/>
        <w:ind w:left="340" w:hanging="332"/>
        <w:spacing w:after="0" w:line="253" w:lineRule="auto"/>
        <w:tabs>
          <w:tab w:leader="none" w:pos="3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and for so long as the capital of the Company is divided into different classes the rights attached to any such class may, subject to any rights or restrictions for the time being attached to any class, only be materially and adversely varied with the consent in writing of the holders of at least two-thirds (2/3) of the issued Shares of that class or with the sanction of a Special Resolution passed at a separate meeting of the holders of the Shares of that class. To every such separate meeting all the provisions of these Articles relating to general meetings of the Company or to the proceedings thereat shall,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apply, except that the necessary quorum shall be one or more Persons holding or representing by proxy at least one-third (1/3) of the issued Shares of the relevant class (provided that if at any adjourned meeting of such holders a quorum as above defined is not Present, those Shareholders who are Present shall form a quorum) and that, subject to any rights or restrictions for the time being attached to the Shares of that class, every Shareholder of that class shall on a poll have one (1) vote for each Share of that class held by him. For the purposes of this Article the Directors may treat all classes or any two or more classes as forming one class if they consider that all such classes would be affected in the same way by the proposals under consideration, but in any other case shall treat them as separate classes.</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subject to any rights or restrictions for the time being attached to the Shares of that class, be deemed to be materially and adversely varied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them or the redemption or purchase of any Shares of any class by the Company. The rights of the holders of Shares shall not be deemed to be materially and adversely varied by the creation or issue of Shares with preferred or other rights including, without limitation, the creation of Shares with enhanced or weighted voting rights.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CERTIFICATES</w:t>
      </w:r>
    </w:p>
    <w:p>
      <w:pPr>
        <w:spacing w:after="0" w:line="229" w:lineRule="exact"/>
        <w:rPr>
          <w:sz w:val="20"/>
          <w:szCs w:val="20"/>
          <w:color w:val="auto"/>
        </w:rPr>
      </w:pPr>
    </w:p>
    <w:p>
      <w:pPr>
        <w:jc w:val="both"/>
        <w:ind w:left="340" w:hanging="332"/>
        <w:spacing w:after="0" w:line="256" w:lineRule="auto"/>
        <w:tabs>
          <w:tab w:leader="none" w:pos="3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will be issued in fully registered, book-entry form. Certificates will not be issued unless the Directors determine otherwise. All share certificates (if any)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Shareholder entitled thereto at the Shareholder’s registered address as appearing in the Register.</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legends required under the applicable laws, including the Securities Act.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or more certificates representing Shares of any one class held by any Shareholder may at the Shareholder’s request be cancelled and a single new certificate for such Shares issued in lieu on payment (if the Directors shall so require) of one dollar (US$1.00) or such smaller sum as the Directors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260350</wp:posOffset>
            </wp:positionV>
            <wp:extent cx="788670" cy="780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5">
                      <a:extLst>
                        <a:ext uri="{28A0092B-C50C-407E-A947-70E740481C1C}"/>
                      </a:extLst>
                    </a:blip>
                    <a:srcRect/>
                    <a:stretch>
                      <a:fillRect/>
                    </a:stretch>
                  </pic:blipFill>
                  <pic:spPr bwMode="auto">
                    <a:xfrm>
                      <a:off x="0" y="0"/>
                      <a:ext cx="78867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10</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80" w:name="page281"/>
    <w:bookmarkEnd w:id="280"/>
    <w:p>
      <w:pPr>
        <w:jc w:val="both"/>
        <w:ind w:left="340" w:hanging="332"/>
        <w:spacing w:after="0" w:line="261" w:lineRule="auto"/>
        <w:tabs>
          <w:tab w:leader="none" w:pos="3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shall be damaged or defaced or alleged to have been lost, stolen or destroyed, a new certificate representing the same Shares may be issued to the relevant Shareholder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Shares are held jointly by several Persons, any request may be made by any one of the joint holders and if so made shall be binding on all of the joint 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29" w:lineRule="exact"/>
        <w:rPr>
          <w:sz w:val="20"/>
          <w:szCs w:val="20"/>
          <w:color w:val="auto"/>
        </w:rPr>
      </w:pPr>
    </w:p>
    <w:p>
      <w:pPr>
        <w:jc w:val="both"/>
        <w:ind w:left="340" w:hanging="332"/>
        <w:spacing w:after="0" w:line="258" w:lineRule="auto"/>
        <w:tabs>
          <w:tab w:leader="none" w:pos="3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229" w:lineRule="exact"/>
        <w:rPr>
          <w:sz w:val="20"/>
          <w:szCs w:val="20"/>
          <w:color w:val="auto"/>
        </w:rPr>
      </w:pPr>
    </w:p>
    <w:p>
      <w:pPr>
        <w:jc w:val="both"/>
        <w:ind w:left="340" w:hanging="332"/>
        <w:spacing w:after="0" w:line="256" w:lineRule="auto"/>
        <w:tabs>
          <w:tab w:leader="none" w:pos="3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 or his estate to the Company (whether or not presently payable). The Directors may at any time declare a Share to be wholly or in part exempt from the provisions of this Article. The Company’s lien on a Share extends to any amount payable in respect of it, including but not limited to dividends.</w:t>
      </w:r>
    </w:p>
    <w:p>
      <w:pPr>
        <w:spacing w:after="0" w:line="187" w:lineRule="exact"/>
        <w:rPr>
          <w:rFonts w:ascii="Times New Roman" w:cs="Times New Roman" w:eastAsia="Times New Roman" w:hAnsi="Times New Roman"/>
          <w:sz w:val="18"/>
          <w:szCs w:val="18"/>
          <w:color w:val="auto"/>
        </w:rPr>
      </w:pPr>
    </w:p>
    <w:p>
      <w:pPr>
        <w:jc w:val="both"/>
        <w:ind w:left="340" w:right="20" w:hanging="332"/>
        <w:spacing w:after="0" w:line="258" w:lineRule="auto"/>
        <w:tabs>
          <w:tab w:leader="none" w:pos="3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Directors in their absolute discretion think fit, any Share on which the Company has a lien, but no sale shall be made unless an amount in respect of which the lien exists is presently payable nor until the expiration of fourteen (14) calendar days after a notice in writing,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giving effect to any such sale the Directors may authorize a Person to transfer the Shares sold to the purchaser thereof. The purchaser or the purchaser’s nominee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after deduction of expenses, fees and commissions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262890</wp:posOffset>
            </wp:positionV>
            <wp:extent cx="788670" cy="7797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6">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11</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81" w:name="page282"/>
    <w:bookmarkEnd w:id="281"/>
    <w:p>
      <w:pPr>
        <w:jc w:val="center"/>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29" w:lineRule="exact"/>
        <w:rPr>
          <w:sz w:val="20"/>
          <w:szCs w:val="20"/>
          <w:color w:val="auto"/>
        </w:rPr>
      </w:pPr>
    </w:p>
    <w:p>
      <w:pPr>
        <w:jc w:val="both"/>
        <w:ind w:left="340" w:hanging="332"/>
        <w:spacing w:after="0" w:line="261" w:lineRule="auto"/>
        <w:tabs>
          <w:tab w:leader="none" w:pos="3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allotment, the Directors may from time to time make calls upon the Shareholders in respect of any moneys unpaid on their Shares, and each Shareholder shall (subject to receiving at least fourteen (14) calendar days’ notice specifying the time or times of payment) pay to the Company at the time or times so specified the amount called on such Shares. A call shall be deemed to have been made at the time when the resolution of the Directors authorizing such call was passed.</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calls in respect thereof.</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upon the sum at the rate of eight percent (8%) per annum from the day appointed for the payment thereof to the time of the actual payment, but the Directors shall be at liberty to waive payment of that interest wholly or in part.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arrangements with respect to the issue of partly paid Shares for a difference between the Shareholders, or the particular Shares, in the amount of calls to be paid and in the times of payment.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they think fit, receive from any Shareholder willing to advance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eight percent (8%) per annum) as may be agreed upon between the Shareholder paying the sum in advance and the Directors. No such sum paid in advance of calls shall entitle the Shareholder paying such sum to any portion of a dividend declared in respect of any period prior to the date upon which such sum would, but for such payment, become presently payable.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340" w:hanging="332"/>
        <w:spacing w:after="0" w:line="266" w:lineRule="auto"/>
        <w:tabs>
          <w:tab w:leader="none" w:pos="3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fourteen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260350</wp:posOffset>
            </wp:positionV>
            <wp:extent cx="788670" cy="7797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7">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12</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282" w:name="page283"/>
    <w:bookmarkEnd w:id="282"/>
    <w:p>
      <w:pPr>
        <w:ind w:left="340" w:right="20" w:hanging="332"/>
        <w:spacing w:after="0" w:line="282" w:lineRule="auto"/>
        <w:tabs>
          <w:tab w:leader="none" w:pos="3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in writing under the hand of a Director that a Share has been duly forfeited on a date stated in the certificate shall be conclusive evidence of the facts in the declaration as against all Persons claiming to be entitled to the Share.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receive the consideration, if any, given for a Share on any sale or disposition thereof pursuant to the provisions of these Articles as to forfeiture and may execute a transfer of the Share in favor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340" w:hanging="332"/>
        <w:spacing w:after="0" w:line="254" w:lineRule="auto"/>
        <w:tabs>
          <w:tab w:leader="none" w:pos="3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the rules or regulations of the Designated Stock Exchange or any relevant securities laws, any Shareholder may transfer all or any Shares by an instrument of transfer of any Share shall be in writing and in any usual or common form or in a form prescribed by the Designated Stock Exchange or in such other form as the Directors may, in their absolute discretion, approve. The instrument of transfer shall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rules of any Designated Stock Exchange and to any rights and restrictions for the time being attached to any Share, the Directors may in their absolute discretion decline to register any transfer of Shares which is not fully paid up or on which the Company has a lien. The Directors may also decline to register any transfer of a Share if such transfer would breach or cause a breach of: (i) the rules of any Designated Stock Exchange; or (ii) applicable law or regulation.</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decline to register any transfer of any Share unless: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the Company, accompanied by the certificate for the Shares to which it relates and such other evidence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251460</wp:posOffset>
            </wp:positionV>
            <wp:extent cx="788670" cy="7797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8">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13</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83" w:name="page284"/>
    <w:bookmarkEnd w:id="283"/>
    <w:p>
      <w:pPr>
        <w:ind w:left="980"/>
        <w:spacing w:after="0"/>
        <w:rPr>
          <w:sz w:val="20"/>
          <w:szCs w:val="20"/>
          <w:color w:val="auto"/>
        </w:rPr>
      </w:pPr>
      <w:r>
        <w:rPr>
          <w:rFonts w:ascii="Times New Roman" w:cs="Times New Roman" w:eastAsia="Times New Roman" w:hAnsi="Times New Roman"/>
          <w:sz w:val="18"/>
          <w:szCs w:val="18"/>
          <w:color w:val="auto"/>
        </w:rPr>
        <w:t>Board may reasonably require to show the right of the transferor to make the transfer;</w:t>
      </w:r>
    </w:p>
    <w:p>
      <w:pPr>
        <w:spacing w:after="0" w:line="225" w:lineRule="exact"/>
        <w:rPr>
          <w:sz w:val="20"/>
          <w:szCs w:val="20"/>
          <w:color w:val="auto"/>
        </w:rPr>
      </w:pPr>
    </w:p>
    <w:p>
      <w:pPr>
        <w:ind w:left="980" w:hanging="324"/>
        <w:spacing w:after="0"/>
        <w:tabs>
          <w:tab w:leader="none" w:pos="98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Designated Stock Exchange may determine to be payable, or such lesser sum as the Board of Directors may from time to time require, is paid to the Company in respect thereof.</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may, on ten (10)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(30) calendar days in any calendar year.</w:t>
      </w:r>
    </w:p>
    <w:p>
      <w:pPr>
        <w:spacing w:after="0" w:line="183"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that are registered shall be retained by the Company. If the Directors refuse to register a transfer of any Shares, they shall within three (3) calendar months after the date on which the instrument of transfer was lodged with the Company send notice of the refusal to each of the transferor and the transferee, including the relevant reason for such refusal.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340" w:right="20" w:hanging="332"/>
        <w:spacing w:after="0" w:line="261" w:lineRule="auto"/>
        <w:tabs>
          <w:tab w:leader="none" w:pos="3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personal representative of a deceased sole holder of a Share shall be the only Person recognized by the Company as having any title to the Share. In the case of a Share registered in the name of two or more holders, the survivors or survivor, or the legal personal representatives of the deceased survivor, shall be the only Person recognized by the Company as having any title to the Share.</w:t>
      </w:r>
    </w:p>
    <w:p>
      <w:pPr>
        <w:spacing w:after="0" w:line="179" w:lineRule="exact"/>
        <w:rPr>
          <w:rFonts w:ascii="Times New Roman" w:cs="Times New Roman" w:eastAsia="Times New Roman" w:hAnsi="Times New Roman"/>
          <w:sz w:val="18"/>
          <w:szCs w:val="18"/>
          <w:color w:val="auto"/>
        </w:rPr>
      </w:pPr>
    </w:p>
    <w:p>
      <w:pPr>
        <w:jc w:val="both"/>
        <w:ind w:left="340" w:right="20" w:hanging="332"/>
        <w:spacing w:after="0" w:line="258" w:lineRule="auto"/>
        <w:tabs>
          <w:tab w:leader="none" w:pos="3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(90) calendar days, the Directors may thereafter withhold payment of all dividends, bonuses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267970</wp:posOffset>
            </wp:positionV>
            <wp:extent cx="788670" cy="7797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9">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14</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84" w:name="page285"/>
    <w:bookmarkEnd w:id="284"/>
    <w:p>
      <w:pPr>
        <w:ind w:left="340"/>
        <w:spacing w:after="0"/>
        <w:rPr>
          <w:sz w:val="20"/>
          <w:szCs w:val="20"/>
          <w:color w:val="auto"/>
        </w:rPr>
      </w:pPr>
      <w:r>
        <w:rPr>
          <w:rFonts w:ascii="Times New Roman" w:cs="Times New Roman" w:eastAsia="Times New Roman" w:hAnsi="Times New Roman"/>
          <w:sz w:val="18"/>
          <w:szCs w:val="18"/>
          <w:color w:val="auto"/>
        </w:rPr>
        <w:t>monies payable in respect of the Share until the requirements of the notice have been complied with.</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EMPOWERING INSTRUMENTS</w:t>
      </w:r>
    </w:p>
    <w:p>
      <w:pPr>
        <w:spacing w:after="0" w:line="229" w:lineRule="exact"/>
        <w:rPr>
          <w:sz w:val="20"/>
          <w:szCs w:val="20"/>
          <w:color w:val="auto"/>
        </w:rPr>
      </w:pPr>
    </w:p>
    <w:p>
      <w:pPr>
        <w:ind w:left="340" w:hanging="332"/>
        <w:spacing w:after="0" w:line="282" w:lineRule="auto"/>
        <w:tabs>
          <w:tab w:leader="none" w:pos="3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charge a fee not exceeding one U.S. dollar (US$1.00) on the registration of every probate, letters of administration, certificate of death or marriage, power of attorney, notice in lieu of distringas, or other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ALTERATION OF SHARE CAPITAL</w:t>
      </w:r>
    </w:p>
    <w:p>
      <w:pPr>
        <w:spacing w:after="0" w:line="229" w:lineRule="exact"/>
        <w:rPr>
          <w:sz w:val="20"/>
          <w:szCs w:val="20"/>
          <w:color w:val="auto"/>
        </w:rPr>
      </w:pPr>
    </w:p>
    <w:p>
      <w:pPr>
        <w:ind w:left="340" w:hanging="332"/>
        <w:spacing w:after="0" w:line="282" w:lineRule="auto"/>
        <w:tabs>
          <w:tab w:leader="none" w:pos="3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Ordinary Resolution increase the share capital by such sum, to be divided into Shares of such classes and amount, as the resolution shall prescribe.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new Shares of such amount as it thinks expedient;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a larger amount than its existing Shares;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an amount smaller than that fixed by the Memorandum of Association, provided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and any capital redemption reserve in any manner authorized by the Companies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PURCHASE AND SURRENDER OF SHARES</w:t>
      </w:r>
    </w:p>
    <w:p>
      <w:pPr>
        <w:spacing w:after="0" w:line="229" w:lineRule="exact"/>
        <w:rPr>
          <w:sz w:val="20"/>
          <w:szCs w:val="20"/>
          <w:color w:val="auto"/>
        </w:rPr>
      </w:pPr>
    </w:p>
    <w:p>
      <w:pPr>
        <w:ind w:left="340" w:hanging="332"/>
        <w:spacing w:after="0"/>
        <w:tabs>
          <w:tab w:leader="none" w:pos="3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and these Articles, the Company may: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are liable to be redeemed at the option of the Shareholder or the Company. The redemption of Shares shall be effected in such manner and upon such terms as may be determined, before the issue of such Shares, by either the Board or by the Shareholders by Ordinary Resolution;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its own Shares (including any redeemable Shares) on such terms and in such manner and terms as have been approved by the Board or by the Shareholders by Ordinary Resolution, or are otherwise authorized by these Articles;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purchase of its own Shares in any manner permitted by the Companies Act, including out of its capital, profits or the proceeds of a fresh issue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251460</wp:posOffset>
            </wp:positionV>
            <wp:extent cx="788670" cy="7797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0">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15</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85" w:name="page286"/>
    <w:bookmarkEnd w:id="285"/>
    <w:p>
      <w:pPr>
        <w:ind w:left="340" w:hanging="332"/>
        <w:spacing w:after="0" w:line="282"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purchase of any Share shall not oblige the Company to redeem or purchase any other Share other than as may be required pursuant to applicable law and any other contractual obligations of the Company.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determine otherwise, any Share in respect of which notice of redemption has been given shall not be entitled to participate in the profits of the Company in respect of the period after the date specified as the date of redemption in the notice of redemption.</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accept the surrender for no consideration of any fully paid Share.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ind w:left="340" w:hanging="332"/>
        <w:spacing w:after="0" w:line="282" w:lineRule="auto"/>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prior to the purchase, redemption or surrender of any Share, determine that such Share shall be held as a Treasury Share.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may be declared or paid, and no other distribution (whether in cash or otherwise) of the Company’s assets (including any distribution of assets to Shareholders on a winding up) may be declared or paid in respect of a Treasury Share.</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Shares and other Shares that are owned by the Company (but not by any of its subsidiaries) shall not be voted, directly or indirectly, at any general meeting and shall not be counted in determining the total number of issued and outstanding Shares at any given time.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ind w:left="340" w:hanging="332"/>
        <w:spacing w:after="0"/>
        <w:tabs>
          <w:tab w:leader="none" w:pos="3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meetings other than annual general meetings shall be called extraordinary general meetings.</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3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may (but shall not be obliged to) in each calendar year hold a general meeting as its annual general meeting and shall specify the meeting as such in the notices calling it. The annual general meeting shall be held at such time and place as may be determined by the Directors.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these meetings the report of the Directors (if any) shall be presented.</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33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Chairperson or the Directors (acting by a resolution of the Board) may call general meetings, and they shall on a Shareholders’ requisition forthwith proceed to convene an extraordinary general meeting of the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requisition is a requisition of Shareholders holding at the date of deposit of the requisition Shares which carry in aggregate not less than one-third (1/3) of all votes attaching to all issued and outstanding Shares of the Company that as at the date of the deposit carry the right to vote at general meetings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260350</wp:posOffset>
            </wp:positionV>
            <wp:extent cx="788670" cy="7797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1">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16</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7"/>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86" w:name="page287"/>
    <w:bookmarkEnd w:id="286"/>
    <w:p>
      <w:pPr>
        <w:ind w:left="660" w:right="20" w:hanging="328"/>
        <w:spacing w:after="0" w:line="282" w:lineRule="auto"/>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 Directors as at the date of the deposit of the Shareholders’ requisition, or if the Directors do not within twenty-one (21) calendar days from the date of the deposit of the requisition duly proceed to convene a general meeting to be held within a further twenty-one (21) calendar days, the requisitionists, or any of them representing more than one-third (1/3) of the total voting rights of all of them, may themselves convene a general meeting, but any meeting so convened shall not be held after the expiration of three (3) calendar months after the expiration of the said twenty-one (21) calendar days.</w:t>
      </w:r>
    </w:p>
    <w:p>
      <w:pPr>
        <w:spacing w:after="0" w:line="18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convened as aforesaid by requisitionists shall be convened in the same manner as nearly as possible as that in which general meetings are to be convened by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jc w:val="both"/>
        <w:ind w:left="340" w:hanging="332"/>
        <w:spacing w:after="0" w:line="256" w:lineRule="auto"/>
        <w:tabs>
          <w:tab w:leader="none" w:pos="3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seven (7) calendar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the Shareholders (or their proxies) entitled to attend and vote thereat;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at least a majority of the Shareholders having a right to attend and vote at the meeting.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to or the non-receipt of a notice of a meeting by any Shareholder shall not invalidate the proceedings at any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jc w:val="both"/>
        <w:ind w:left="340" w:hanging="332"/>
        <w:spacing w:after="0" w:line="261" w:lineRule="auto"/>
        <w:tabs>
          <w:tab w:leader="none" w:pos="3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except for the appointment of a chairperson for the meeting shall be transacted at any general meeting unless a quorum of Shareholders is Present at the time when the meeting proceeds to business. One or more Persons holding or representing by proxy Shares which carry in aggregate not less than one-third (1/3) of all votes attaching to all Shares in issue and entitled to vote at such general meeting Present shall be a quorum for all purposes.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half an hour from the time appointed for the meeting a quorum is not Present, the meeting shall be dissolved.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wish to make this facility available for a specific general meeting or all general meetings of the Company, attendance and participation in any general meeting of the Company may be by means of Communication Facilities. Without limiting the generality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260350</wp:posOffset>
            </wp:positionV>
            <wp:extent cx="788670" cy="7797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2">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17</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87" w:name="page288"/>
    <w:bookmarkEnd w:id="287"/>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Directors may determine that any general meeting may be held as a Virtual Meeting. The notice of any general meeting at which Communication Facilities will be utilized (including any Virtual Meeting) must disclose the Communication Facilities that will be used, including the procedures to be followed by any Shareholder or other participant of the meeting who wishes to utilize such Communication Facilities for the purposes of attending and participating in such meeting, including attending and casting any vote thereat.</w:t>
      </w:r>
    </w:p>
    <w:p>
      <w:pPr>
        <w:spacing w:after="0" w:line="183" w:lineRule="exact"/>
        <w:rPr>
          <w:sz w:val="20"/>
          <w:szCs w:val="20"/>
          <w:color w:val="auto"/>
        </w:rPr>
      </w:pPr>
    </w:p>
    <w:p>
      <w:pPr>
        <w:jc w:val="both"/>
        <w:ind w:left="340" w:hanging="332"/>
        <w:spacing w:after="0" w:line="261" w:lineRule="auto"/>
        <w:tabs>
          <w:tab w:leader="none" w:pos="3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if any, shall preside as chairperson at every general meeting of the Company. If there is no such Chairperson, or if at any general meeting he is not Present within fifteen (15) minutes after the time appointed for holding the meeting or is unwilling to act as chairperson of the meeting, any Director or Person nominated by the Directors shall preside as chairperson of that meeting, failing which the Shareholders Present shall choose any Person Present to be chairperson of that meeting.</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any general meeting (including any Virtual Meeting) shall be entitled to attend and participate at any such general meeting by means of Communication Facilities, and to act as the chairperson of such general meeting, in which event the following provisions shall apply:</w:t>
      </w:r>
    </w:p>
    <w:p>
      <w:pPr>
        <w:spacing w:after="0" w:line="17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67.1</w:t>
      </w:r>
      <w:r>
        <w:rPr>
          <w:rFonts w:ascii="Times New Roman" w:cs="Times New Roman" w:eastAsia="Times New Roman" w:hAnsi="Times New Roman"/>
          <w:sz w:val="17"/>
          <w:szCs w:val="17"/>
          <w:color w:val="auto"/>
        </w:rPr>
        <w:t>The chairperson of the meeting shall be deemed to be Present at the meeting; and</w:t>
      </w:r>
    </w:p>
    <w:p>
      <w:pPr>
        <w:spacing w:after="0" w:line="225" w:lineRule="exact"/>
        <w:rPr>
          <w:rFonts w:ascii="Times New Roman" w:cs="Times New Roman" w:eastAsia="Times New Roman" w:hAnsi="Times New Roman"/>
          <w:sz w:val="18"/>
          <w:szCs w:val="18"/>
          <w:color w:val="auto"/>
        </w:rPr>
      </w:pPr>
    </w:p>
    <w:p>
      <w:pPr>
        <w:ind w:left="980" w:hanging="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67.2If the Communication Facilities are interrupted or fail for any reason to enable the chairperson of the meeting to hear and be heard by all other Persons participating in the meeting, then the other Directors Present at the meeting shall choose another Director Present to act as chairperson of the meeting for the remainder of the meeting; provided that if no other Director is Present at the meeting, or if all the Directors Present decline to take the chair, then the meeting shall be automatically adjourned to the same day in the next week and at such time and place as shall be decided by the Board of Directors.</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meeting may with the consent of any general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or adjourned meeting, is adjourned for fourteen (14) calendar days or more, notice of the adjourned meeting shall be given as in the case of an original meeting. Save as aforesaid it shall not be necessary to give any notice of an adjournment or of the business to be transacted at an adjourned meeting.</w:t>
      </w:r>
    </w:p>
    <w:p>
      <w:pPr>
        <w:spacing w:after="0" w:line="187"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A postponement may be for a stated period of any length or indefinitely as the Directors may determine.</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decided by way of a poll and not on a show of hands.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shall be taken in such manner as the chairperson of the meeting directs, and the result of the poll shall be deemed to be the resolution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251460</wp:posOffset>
            </wp:positionV>
            <wp:extent cx="788670" cy="7797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3">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18</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88" w:name="page289"/>
    <w:bookmarkEnd w:id="288"/>
    <w:p>
      <w:pPr>
        <w:jc w:val="both"/>
        <w:ind w:left="340" w:hanging="332"/>
        <w:spacing w:after="0" w:line="266" w:lineRule="auto"/>
        <w:tabs>
          <w:tab w:leader="none" w:pos="3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submitted to a meeting shall be decided by an Ordinary Resolution except where a greater majority is required by these Articles or by the Companies Act. In the case of an equality of votes, the chairperson of the meeting shall be entitled to a second or casting vote.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VOTES OF SHAREHOLDERS</w:t>
      </w:r>
    </w:p>
    <w:p>
      <w:pPr>
        <w:spacing w:after="0" w:line="229" w:lineRule="exact"/>
        <w:rPr>
          <w:sz w:val="20"/>
          <w:szCs w:val="20"/>
          <w:color w:val="auto"/>
        </w:rPr>
      </w:pPr>
    </w:p>
    <w:p>
      <w:pPr>
        <w:ind w:left="340" w:hanging="332"/>
        <w:spacing w:after="0" w:line="282" w:lineRule="auto"/>
        <w:tabs>
          <w:tab w:leader="none" w:pos="3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 every Shareholder Present at the meeting shall have one (1) vote for each Ordinary Share of which he is the holder.</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vote of the senior who tenders a vote whether in person or by proxy (or, if a corporation or other non-natural person, by its duly authorized representative or proxy) shall be accepted to the exclusion of the votes of the other joint holders and for this purpose seniority shall be determined by the order in which the names stand in the Register.</w:t>
      </w:r>
    </w:p>
    <w:p>
      <w:pPr>
        <w:spacing w:after="0" w:line="17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carrying the right to vote that are held by a Shareholder of unsound mind, or in respect of whom an order has been made by any court having jurisdiction in lunacy, may be voted by his committee or other Person in the nature of a committee appointed by that court, and any such committee or other Person may vote in respect of such Shares by proxy.</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shall be entitled to vote at any general meeting of the Company unless all calls, if any, or other sums presently payable by him in respect of Shares carrying the right to vote held by him have been paid.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in writing under the hand of the appointor or of his attorney duly authorized in writing or, if the appointor is a corporation, either under Seal or under the hand of an officer or attorney duly authorized. A proxy need not be a Shareholder.</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appointing a proxy may be in any usual or common form or such other form as the Directors may approve.</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forty-eight (48) hours before the time for holding the meeting or adjourned meeting at which the person named in the instrument proposes to vote; or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taken more than forty-eight (48) hours after it is demanded, be deposited as aforesaid after the poll has been demanded and not less than twenty-four (24) hours before the time appointed for the taking of the poll;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poll is not taken forthwith but is taken not more than forty-eight (48) hours after it was demanded be delivered at the meeting at which the poll was demanded to the chairperson of the meeting or to the secretary or to any Director;</w:t>
      </w:r>
    </w:p>
    <w:p>
      <w:pPr>
        <w:spacing w:after="0" w:line="162"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provided that the Directors may in the notice convening the meeting, or in any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260350</wp:posOffset>
            </wp:positionV>
            <wp:extent cx="788670" cy="7797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4">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19</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89" w:name="page290"/>
    <w:bookmarkEnd w:id="289"/>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meeting, or in any instrument of proxy sent out by the Company. The chairperson of the meeting may in any event at his discretion direct that an instrument of proxy shall be deemed to have been duly deposited. An instrument of proxy that is not deposited in the manner permitted shall be invalid.</w:t>
      </w:r>
    </w:p>
    <w:p>
      <w:pPr>
        <w:spacing w:after="0" w:line="176" w:lineRule="exact"/>
        <w:rPr>
          <w:sz w:val="20"/>
          <w:szCs w:val="20"/>
          <w:color w:val="auto"/>
        </w:rPr>
      </w:pPr>
    </w:p>
    <w:p>
      <w:pPr>
        <w:ind w:left="340" w:hanging="332"/>
        <w:spacing w:after="0"/>
        <w:tabs>
          <w:tab w:leader="none" w:pos="3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deemed to confer authority to demand or join in demanding a poll.</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Shareholders for the time being entitled to receive notice of and to attend and vote at general meetings of the Company (or being corporations by their duly authorized representatives) shall be as valid and effective as if the same had been passed at a general meeting of the Company duly convened and held.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CORPORATIONS ACTING BY REPRESENTATIVES AT MEETINGS</w:t>
      </w:r>
    </w:p>
    <w:p>
      <w:pPr>
        <w:spacing w:after="0" w:line="229" w:lineRule="exact"/>
        <w:rPr>
          <w:sz w:val="20"/>
          <w:szCs w:val="20"/>
          <w:color w:val="auto"/>
        </w:rPr>
      </w:pPr>
    </w:p>
    <w:p>
      <w:pPr>
        <w:jc w:val="both"/>
        <w:ind w:left="340" w:hanging="332"/>
        <w:spacing w:after="0" w:line="261" w:lineRule="auto"/>
        <w:tabs>
          <w:tab w:leader="none" w:pos="3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Shareholder or a Director may by resolution of its directors or other governing body authorize such Person as it thinks fit to act as its representative at any meeting of the Company or of any meeting of holders of a class or of the Directors or of a committee of Directors, and the Person so authorized shall be entitled to exercise the same powers on behalf of the corporation which he represents as that corporation could exercise if it were an individual Shareholder or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AND CLEARING HOUSES</w:t>
      </w:r>
    </w:p>
    <w:p>
      <w:pPr>
        <w:spacing w:after="0" w:line="229" w:lineRule="exact"/>
        <w:rPr>
          <w:sz w:val="20"/>
          <w:szCs w:val="20"/>
          <w:color w:val="auto"/>
        </w:rPr>
      </w:pPr>
    </w:p>
    <w:p>
      <w:pPr>
        <w:jc w:val="both"/>
        <w:ind w:left="340" w:hanging="332"/>
        <w:spacing w:after="0" w:line="254" w:lineRule="auto"/>
        <w:tabs>
          <w:tab w:leader="none" w:pos="3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recognized clearing house (or its nominee(s)) or depositary (or its nominee(s)) is a Shareholder of the Company it may, by resolution of its directors or other governing body or by power of attorney, authorize such Person(s) as it thinks fit to act as its representative(s) at any general meeting of the Company or of any class of Shareholders provided that, if more than one Person is so authorized, the authorization shall specify the number and class of Shares in respect of which each such Person is so authorized. A Person so authorized pursuant to this Article shall be entitled to exercise the same powers on behalf of the recognized clearing house (or its nominee(s)) or depositary (or its nominee(s)) which he represents as that recognized clearing house (or its nominee(s)) or depositary (or its nominee(s)) could exercise if it were an individual Shareholder holding the number and class of Shares specified in such authorization.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left="660" w:hanging="652"/>
        <w:spacing w:after="0" w:line="282" w:lineRule="auto"/>
        <w:tabs>
          <w:tab w:leader="none" w:pos="33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Unless otherwise determined by the Company in general meeting, the number of Directors shall not be less than three (3) Directors, the exact number of Directors to be determined from time to time by the Board of Directors.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elect and appoint a Chairperson by a majority of the Directors then in office, and the period for which the Chairperson will hold office will also be determined by a majority of all of the Directors then in office. The Chairperson shall preside as chairperson at every meeting of the Board of Directors. To the extent the Chairperson is not present at a meeting of the Board of Directors within fifteen minutes after the time appointed for holding the same, the attending Directors may choose one of their number to be the chairperson of the meeting.</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appoint any person to be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428625</wp:posOffset>
            </wp:positionV>
            <wp:extent cx="788670" cy="7797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5">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20</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90" w:name="page291"/>
    <w:bookmarkEnd w:id="290"/>
    <w:p>
      <w:pPr>
        <w:ind w:left="660" w:right="20" w:hanging="328"/>
        <w:spacing w:after="0" w:line="282" w:lineRule="auto"/>
        <w:tabs>
          <w:tab w:leader="none" w:pos="66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by the affirmative vote of a simple majority of the remaining Directors present and voting at a Board meeting, appoint any person as a Director, to fill a casual vacancy on the Board, or as an addition to the existing Board.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Shareholders or re-appointment by the Board.</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be removed from office by Ordinary Resolution of the Company (except with regard to the removal of the Chairperson, who may be removed from office by Special Resolution), notwithstanding anything in these Articles or in any agreement between the Company and such Director (but without prejudice to any claim for damages under such agreement). A vacancy on the Board created by the removal of a Director under the previous sentence may be filled by Ordinary Resolution or by the affirmative vote of a simple majority of the remaining Directors present and voting at a Board meeting.</w:t>
      </w:r>
    </w:p>
    <w:p>
      <w:pPr>
        <w:spacing w:after="0" w:line="183"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be required to hold any Shares in the Company by way of qualification. A Director who is not a Shareholder of the Company shall nevertheless be entitled to attend and speak at general meetings.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the Directors may be determined by the Directors or by Ordinary Resolution.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be entitled to be paid for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ALTERNATE DIRECTOR OR PROXY</w:t>
      </w:r>
    </w:p>
    <w:p>
      <w:pPr>
        <w:spacing w:after="0" w:line="229" w:lineRule="exact"/>
        <w:rPr>
          <w:sz w:val="20"/>
          <w:szCs w:val="20"/>
          <w:color w:val="auto"/>
        </w:rPr>
      </w:pPr>
    </w:p>
    <w:p>
      <w:pPr>
        <w:jc w:val="both"/>
        <w:ind w:left="340" w:hanging="332"/>
        <w:spacing w:after="0" w:line="255" w:lineRule="auto"/>
        <w:tabs>
          <w:tab w:leader="none" w:pos="3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in writing appoint another Person to be his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is not personally present and where he is a Director to have a separate vote on behalf of the Director he is representing in addition to his own vote. A Director may at any time in writing revoke the appointment of an alternate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268605</wp:posOffset>
            </wp:positionV>
            <wp:extent cx="788670" cy="7797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6">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21</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91" w:name="page292"/>
    <w:bookmarkEnd w:id="291"/>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appointed by him. Such alternate shall be deemed for all purposes to be a Director and shall not be deemed to be the agent of the Director appointing him. The remuneration of such alternate shall be payable out of the remuneration of the Director appointing him and the proportion thereof shall be agreed between them.</w:t>
      </w:r>
    </w:p>
    <w:p>
      <w:pPr>
        <w:spacing w:after="0" w:line="176" w:lineRule="exact"/>
        <w:rPr>
          <w:sz w:val="20"/>
          <w:szCs w:val="20"/>
          <w:color w:val="auto"/>
        </w:rPr>
      </w:pPr>
    </w:p>
    <w:p>
      <w:pPr>
        <w:jc w:val="both"/>
        <w:ind w:left="340" w:hanging="332"/>
        <w:spacing w:after="0" w:line="256" w:lineRule="auto"/>
        <w:tabs>
          <w:tab w:leader="none" w:pos="3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chairperson of the meeting of the Directors at which such proxy is to be used, or first used, prior to the commencement of the meeting.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p>
      <w:pPr>
        <w:spacing w:after="0" w:line="229" w:lineRule="exact"/>
        <w:rPr>
          <w:sz w:val="20"/>
          <w:szCs w:val="20"/>
          <w:color w:val="auto"/>
        </w:rPr>
      </w:pPr>
    </w:p>
    <w:p>
      <w:pPr>
        <w:jc w:val="both"/>
        <w:ind w:left="340" w:hanging="332"/>
        <w:spacing w:after="0" w:line="261" w:lineRule="auto"/>
        <w:tabs>
          <w:tab w:leader="none" w:pos="3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these Articles and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and chief financial officer,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tenure of office be terminated.</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Shareholders by Ordinary Resolution.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77" w:lineRule="auto"/>
        <w:tabs>
          <w:tab w:leader="none" w:pos="340"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authorized signatory (any such Person being an “Attorney” or “Authorized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255270</wp:posOffset>
            </wp:positionV>
            <wp:extent cx="788670" cy="7797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7">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22</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92" w:name="page293"/>
    <w:bookmarkEnd w:id="292"/>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appointment may contain such provisions for the protection and convenience of Persons dealing with any such Attorney or Authorized Signatory as the Directors may think fit, and may also authorize any such Attorney or Authorized Signatory to delegate all or any of the powers, authorities and discretion vested in him.</w:t>
      </w:r>
    </w:p>
    <w:p>
      <w:pPr>
        <w:spacing w:after="0" w:line="176" w:lineRule="exact"/>
        <w:rPr>
          <w:sz w:val="20"/>
          <w:szCs w:val="20"/>
          <w:color w:val="auto"/>
        </w:rPr>
      </w:pPr>
    </w:p>
    <w:p>
      <w:pPr>
        <w:ind w:left="340" w:hanging="332"/>
        <w:spacing w:after="0" w:line="282" w:lineRule="auto"/>
        <w:tabs>
          <w:tab w:leader="none" w:pos="3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176" w:lineRule="exact"/>
        <w:rPr>
          <w:sz w:val="20"/>
          <w:szCs w:val="20"/>
          <w:color w:val="auto"/>
        </w:rPr>
      </w:pPr>
    </w:p>
    <w:p>
      <w:pPr>
        <w:jc w:val="both"/>
        <w:ind w:left="340" w:hanging="323"/>
        <w:spacing w:after="0" w:line="256" w:lineRule="auto"/>
        <w:rPr>
          <w:sz w:val="20"/>
          <w:szCs w:val="20"/>
          <w:color w:val="auto"/>
        </w:rPr>
      </w:pPr>
      <w:r>
        <w:rPr>
          <w:rFonts w:ascii="Times New Roman" w:cs="Times New Roman" w:eastAsia="Times New Roman" w:hAnsi="Times New Roman"/>
          <w:sz w:val="18"/>
          <w:szCs w:val="18"/>
          <w:color w:val="auto"/>
        </w:rPr>
        <w:t>100.The Directors from time to time and at any time may delegate to any such committee, local board, manager or agent any of the powers, authorities and discretions for the time being vested in the Directors and may authorize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187"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auto"/>
        </w:rPr>
        <w:t>101.Any such delegates as aforesaid may be authorized by the Directors to sub-delegate all or any of the powers, authorities, and discretion for the time being vested in them.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BORROWING POWERS OF DIRECTORS</w:t>
      </w:r>
    </w:p>
    <w:p>
      <w:pPr>
        <w:spacing w:after="0" w:line="229" w:lineRule="exact"/>
        <w:rPr>
          <w:sz w:val="20"/>
          <w:szCs w:val="20"/>
          <w:color w:val="auto"/>
        </w:rPr>
      </w:pPr>
    </w:p>
    <w:p>
      <w:pPr>
        <w:jc w:val="both"/>
        <w:ind w:left="340" w:hanging="323"/>
        <w:spacing w:after="0" w:line="261" w:lineRule="auto"/>
        <w:rPr>
          <w:sz w:val="20"/>
          <w:szCs w:val="20"/>
          <w:color w:val="auto"/>
        </w:rPr>
      </w:pPr>
      <w:r>
        <w:rPr>
          <w:rFonts w:ascii="Times New Roman" w:cs="Times New Roman" w:eastAsia="Times New Roman" w:hAnsi="Times New Roman"/>
          <w:sz w:val="18"/>
          <w:szCs w:val="18"/>
          <w:color w:val="auto"/>
        </w:rPr>
        <w:t>102.The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SEAL</w:t>
      </w:r>
    </w:p>
    <w:p>
      <w:pPr>
        <w:spacing w:after="0" w:line="229" w:lineRule="exact"/>
        <w:rPr>
          <w:sz w:val="20"/>
          <w:szCs w:val="20"/>
          <w:color w:val="auto"/>
        </w:rPr>
      </w:pPr>
    </w:p>
    <w:p>
      <w:pPr>
        <w:jc w:val="both"/>
        <w:ind w:left="340" w:hanging="323"/>
        <w:spacing w:after="0" w:line="258" w:lineRule="auto"/>
        <w:rPr>
          <w:sz w:val="20"/>
          <w:szCs w:val="20"/>
          <w:color w:val="auto"/>
        </w:rPr>
      </w:pPr>
      <w:r>
        <w:rPr>
          <w:rFonts w:ascii="Times New Roman" w:cs="Times New Roman" w:eastAsia="Times New Roman" w:hAnsi="Times New Roman"/>
          <w:sz w:val="18"/>
          <w:szCs w:val="18"/>
          <w:color w:val="auto"/>
        </w:rPr>
        <w:t>103.The Seal shall not be affixed to any instrument except by the authority of a resolution of the Directors provided always that such authority may be given prior to or after the affixing of the Seal and if given after may be in general form confirming a number of affixings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183" w:lineRule="exact"/>
        <w:rPr>
          <w:sz w:val="20"/>
          <w:szCs w:val="20"/>
          <w:color w:val="auto"/>
        </w:rPr>
      </w:pPr>
    </w:p>
    <w:p>
      <w:pPr>
        <w:jc w:val="both"/>
        <w:ind w:left="340" w:hanging="323"/>
        <w:spacing w:after="0" w:line="258" w:lineRule="auto"/>
        <w:rPr>
          <w:sz w:val="20"/>
          <w:szCs w:val="20"/>
          <w:color w:val="auto"/>
        </w:rPr>
      </w:pPr>
      <w:r>
        <w:rPr>
          <w:rFonts w:ascii="Times New Roman" w:cs="Times New Roman" w:eastAsia="Times New Roman" w:hAnsi="Times New Roman"/>
          <w:sz w:val="18"/>
          <w:szCs w:val="18"/>
          <w:color w:val="auto"/>
        </w:rPr>
        <w:t>104.The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265430</wp:posOffset>
            </wp:positionV>
            <wp:extent cx="788670" cy="7797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8">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23</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93" w:name="page294"/>
    <w:bookmarkEnd w:id="293"/>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180" w:lineRule="exact"/>
        <w:rPr>
          <w:sz w:val="20"/>
          <w:szCs w:val="20"/>
          <w:color w:val="auto"/>
        </w:rPr>
      </w:pPr>
    </w:p>
    <w:p>
      <w:pPr>
        <w:jc w:val="both"/>
        <w:ind w:left="340" w:right="20" w:hanging="332"/>
        <w:spacing w:after="0" w:line="266" w:lineRule="auto"/>
        <w:tabs>
          <w:tab w:leader="none" w:pos="3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17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DISQUALIFICATION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106.The office of a Director shall be vacated, if the Director:</w:t>
      </w:r>
    </w:p>
    <w:p>
      <w:pPr>
        <w:spacing w:after="0" w:line="225" w:lineRule="exact"/>
        <w:rPr>
          <w:sz w:val="20"/>
          <w:szCs w:val="20"/>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prohibited by applicable law from being a Director;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arrangement or composition with his creditors;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 or is found to be or becomes of unsound mind;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office by notice in writing to the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is absent from meetings of the Board for three consecutive meetings and the Board (excluding the absent Director) resolves that his office be vacated;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pursuant to any other provision of these Articles.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jc w:val="both"/>
        <w:ind w:left="340" w:hanging="323"/>
        <w:spacing w:after="0" w:line="258" w:lineRule="auto"/>
        <w:rPr>
          <w:sz w:val="20"/>
          <w:szCs w:val="20"/>
          <w:color w:val="auto"/>
        </w:rPr>
      </w:pPr>
      <w:r>
        <w:rPr>
          <w:rFonts w:ascii="Times New Roman" w:cs="Times New Roman" w:eastAsia="Times New Roman" w:hAnsi="Times New Roman"/>
          <w:sz w:val="18"/>
          <w:szCs w:val="18"/>
          <w:color w:val="auto"/>
        </w:rPr>
        <w:t>107.The Directors may meet together (either within or outside the Cayman Islands) for the dispatch of business, adjourn, and otherwise regulate their meetings and proceedings as they think fit. Questions arising at any meeting shall be decided by a majority of votes. At any meeting of the Directors, each Director present in person or represented by his proxy or alternate shall be entitled to one (1) vote. In case of an equality of votes the chairperson of the meeting shall have a second or casting vote. A Director may, and a Secretary or assistant Secretary on the requisition of a Director shall, at any time summon a meeting of the Directors.</w:t>
      </w:r>
    </w:p>
    <w:p>
      <w:pPr>
        <w:spacing w:after="0" w:line="183"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108.A Director may participate in any meeting of the Board of Directors, or of any committee appointed by the Directors of which such Director is a member, by means of Communication Facilities and such participation shall be deemed to constitute presence in person at the meeting.</w:t>
      </w:r>
    </w:p>
    <w:p>
      <w:pPr>
        <w:spacing w:after="0" w:line="176" w:lineRule="exact"/>
        <w:rPr>
          <w:sz w:val="20"/>
          <w:szCs w:val="20"/>
          <w:color w:val="auto"/>
        </w:rPr>
      </w:pPr>
    </w:p>
    <w:p>
      <w:pPr>
        <w:jc w:val="both"/>
        <w:ind w:left="340" w:hanging="323"/>
        <w:spacing w:after="0" w:line="256" w:lineRule="auto"/>
        <w:rPr>
          <w:sz w:val="20"/>
          <w:szCs w:val="20"/>
          <w:color w:val="auto"/>
        </w:rPr>
      </w:pPr>
      <w:r>
        <w:rPr>
          <w:rFonts w:ascii="Times New Roman" w:cs="Times New Roman" w:eastAsia="Times New Roman" w:hAnsi="Times New Roman"/>
          <w:sz w:val="18"/>
          <w:szCs w:val="18"/>
          <w:color w:val="auto"/>
        </w:rPr>
        <w:t>109.The quorum necessary for the transaction of the business of the Board may be fixed by the Directors, and unless so fixed, if there be two or more Directors the quorum shall be a majority of Directors then in office, and if there be one Director the quorum shall be one, in each case, including the Chairperson; provided, however, a quorum shall nevertheless exist at a meeting at which a quorum would exist but for the fact that the Chairperson is voluntarily absent from the meeting and notifies the Board of his decision to be absent from that meeting, before or at the meeting. A Director represented by proxy or by an alternate Director at any meeting shall be deemed to be present for the purposes of determining whether or not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267970</wp:posOffset>
            </wp:positionV>
            <wp:extent cx="788670" cy="7804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9">
                      <a:extLst>
                        <a:ext uri="{28A0092B-C50C-407E-A947-70E740481C1C}"/>
                      </a:extLst>
                    </a:blip>
                    <a:srcRect/>
                    <a:stretch>
                      <a:fillRect/>
                    </a:stretch>
                  </pic:blipFill>
                  <pic:spPr bwMode="auto">
                    <a:xfrm>
                      <a:off x="0" y="0"/>
                      <a:ext cx="78867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24</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94" w:name="page295"/>
    <w:bookmarkEnd w:id="294"/>
    <w:p>
      <w:pPr>
        <w:jc w:val="both"/>
        <w:ind w:left="340" w:hanging="332"/>
        <w:spacing w:after="0" w:line="254" w:lineRule="auto"/>
        <w:tabs>
          <w:tab w:leader="none" w:pos="3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chairperson of the relevant Board meeting, a Director may vote in respect of any contract or transaction or proposed contract or transaction notwithstanding that he may be interested therein and if he does so his vote shall be counted and he may be counted in the quorum at any meeting of the Directors at which any such contract or transaction or proposed contract or transaction shall come before the meeting for consideration.</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realized by any such contract or arrangement by reason of such Director holding that office or of the fiduciary relation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p>
      <w:pPr>
        <w:spacing w:after="0" w:line="19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act by himself or through his firm in a professional capacity for the Company, and he or his firm shall be entitled to remuneration for professional services as if he were not a Director; provided that nothing herein contained shall authorize a Director or his firm to act as auditor to the Company.</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minutes to be made for the purpose of recording: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made by the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Directors present at each meeting of the Directors and of any committee of the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resolutions and proceedings at all meetings of the Company, and of the Directors and of committees of Directors.</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chairperson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Directors or all the members of a committee of Directors, as the case may be (an alternate Director, subject as provided otherwise in the terms of appointment of the alternate Director, being entitled to sign such a resolution on behalf of his appointer), shall be as valid and effectual as if it had been passed at a duly called and constituted meeting of Directors or committee of Directors, as the case may be. When signed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262890</wp:posOffset>
            </wp:positionV>
            <wp:extent cx="788670" cy="7797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0">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25</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95" w:name="page296"/>
    <w:bookmarkEnd w:id="295"/>
    <w:p>
      <w:pPr>
        <w:ind w:left="340"/>
        <w:spacing w:after="0"/>
        <w:rPr>
          <w:sz w:val="20"/>
          <w:szCs w:val="20"/>
          <w:color w:val="auto"/>
        </w:rPr>
      </w:pPr>
      <w:r>
        <w:rPr>
          <w:rFonts w:ascii="Times New Roman" w:cs="Times New Roman" w:eastAsia="Times New Roman" w:hAnsi="Times New Roman"/>
          <w:sz w:val="18"/>
          <w:szCs w:val="18"/>
          <w:color w:val="auto"/>
        </w:rPr>
        <w:t>resolution may consist of several documents each signed by one or more of the Directors or his duly appointed alternate.</w:t>
      </w:r>
    </w:p>
    <w:p>
      <w:pPr>
        <w:spacing w:after="0" w:line="225" w:lineRule="exact"/>
        <w:rPr>
          <w:sz w:val="20"/>
          <w:szCs w:val="20"/>
          <w:color w:val="auto"/>
        </w:rPr>
      </w:pPr>
    </w:p>
    <w:p>
      <w:pPr>
        <w:jc w:val="both"/>
        <w:ind w:left="340" w:hanging="332"/>
        <w:spacing w:after="0" w:line="266" w:lineRule="auto"/>
        <w:tabs>
          <w:tab w:leader="none" w:pos="3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regulations imposed on it by the Directors, a committee appointed by the Directors may elect a chairperson of its meetings. If no such chairperson is elected, or if at any meeting such chairperson is not present within fifteen minutes after the time appointed for holding the meeting, the committee members present may choose one of their members to be chairperson of the meeting.</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chairperson shall have a second or casting vote.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PRESUMPTION OF ASSENT</w:t>
      </w:r>
    </w:p>
    <w:p>
      <w:pPr>
        <w:spacing w:after="0" w:line="229" w:lineRule="exact"/>
        <w:rPr>
          <w:sz w:val="20"/>
          <w:szCs w:val="20"/>
          <w:color w:val="auto"/>
        </w:rPr>
      </w:pPr>
    </w:p>
    <w:p>
      <w:pPr>
        <w:jc w:val="both"/>
        <w:ind w:left="340" w:hanging="323"/>
        <w:spacing w:after="0" w:line="258" w:lineRule="auto"/>
        <w:rPr>
          <w:sz w:val="20"/>
          <w:szCs w:val="20"/>
          <w:color w:val="auto"/>
        </w:rPr>
      </w:pPr>
      <w:r>
        <w:rPr>
          <w:rFonts w:ascii="Times New Roman" w:cs="Times New Roman" w:eastAsia="Times New Roman" w:hAnsi="Times New Roman"/>
          <w:sz w:val="18"/>
          <w:szCs w:val="18"/>
          <w:color w:val="auto"/>
        </w:rPr>
        <w:t>120.A Director who is present at a meeting of the Board of Directors at which an action on any Company matter is taken shall be presumed to have assented to the action taken unless his dissent shall be entered in the minutes of the meeting or unless he shall file his written dissent from such action with the person acting as the chairperson or secretary of the meeting before the adjournment thereof or shall forward such dissent by registered post to such person immediately after the adjournment of the meeting. Such right to dissent shall not apply to a Director who voted in favor of such action.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340" w:hanging="332"/>
        <w:spacing w:after="0" w:line="266" w:lineRule="auto"/>
        <w:tabs>
          <w:tab w:leader="none" w:pos="3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Directors may from time to time declare dividends (including interim dividends) and other distributions on Shares in issue and authorize payment of the same out of the funds of the Company lawfully available therefor.</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Company by Ordinary Resolution may declare dividends, but no dividend shall exceed the amount recommended by the Directors.</w:t>
      </w:r>
    </w:p>
    <w:p>
      <w:pPr>
        <w:spacing w:after="0" w:line="162" w:lineRule="exact"/>
        <w:rPr>
          <w:sz w:val="20"/>
          <w:szCs w:val="20"/>
          <w:color w:val="auto"/>
        </w:rPr>
      </w:pPr>
    </w:p>
    <w:p>
      <w:pPr>
        <w:jc w:val="both"/>
        <w:ind w:left="340" w:hanging="323"/>
        <w:spacing w:after="0" w:line="261" w:lineRule="auto"/>
        <w:rPr>
          <w:sz w:val="20"/>
          <w:szCs w:val="20"/>
          <w:color w:val="auto"/>
        </w:rPr>
      </w:pPr>
      <w:r>
        <w:rPr>
          <w:rFonts w:ascii="Times New Roman" w:cs="Times New Roman" w:eastAsia="Times New Roman" w:hAnsi="Times New Roman"/>
          <w:sz w:val="18"/>
          <w:szCs w:val="18"/>
          <w:color w:val="auto"/>
        </w:rPr>
        <w:t>123.The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and pending such application may in the absolute discretion of the Directors, either be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262890</wp:posOffset>
            </wp:positionV>
            <wp:extent cx="788670" cy="7797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1">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26</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7"/>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96" w:name="page297"/>
    <w:bookmarkEnd w:id="296"/>
    <w:p>
      <w:pPr>
        <w:ind w:left="340"/>
        <w:spacing w:after="0" w:line="282" w:lineRule="auto"/>
        <w:rPr>
          <w:sz w:val="20"/>
          <w:szCs w:val="20"/>
          <w:color w:val="auto"/>
        </w:rPr>
      </w:pPr>
      <w:r>
        <w:rPr>
          <w:rFonts w:ascii="Times New Roman" w:cs="Times New Roman" w:eastAsia="Times New Roman" w:hAnsi="Times New Roman"/>
          <w:sz w:val="18"/>
          <w:szCs w:val="18"/>
          <w:color w:val="auto"/>
        </w:rPr>
        <w:t>in the business of the Company or be invested in such investments (other than Shares of the Company) as the Directors may from time to time think fit.</w:t>
      </w:r>
    </w:p>
    <w:p>
      <w:pPr>
        <w:spacing w:after="0" w:line="162" w:lineRule="exact"/>
        <w:rPr>
          <w:sz w:val="20"/>
          <w:szCs w:val="20"/>
          <w:color w:val="auto"/>
        </w:rPr>
      </w:pPr>
    </w:p>
    <w:p>
      <w:pPr>
        <w:jc w:val="both"/>
        <w:ind w:left="340" w:hanging="323"/>
        <w:spacing w:after="0" w:line="256" w:lineRule="auto"/>
        <w:rPr>
          <w:sz w:val="20"/>
          <w:szCs w:val="20"/>
          <w:color w:val="auto"/>
        </w:rPr>
      </w:pPr>
      <w:r>
        <w:rPr>
          <w:rFonts w:ascii="Times New Roman" w:cs="Times New Roman" w:eastAsia="Times New Roman" w:hAnsi="Times New Roman"/>
          <w:sz w:val="18"/>
          <w:szCs w:val="18"/>
          <w:color w:val="auto"/>
        </w:rPr>
        <w:t>124.Any dividend payable in cash to the holder of Shares may be paid in any manner determined by the Directors. If paid by cheque it will be sent by mail addressed to the holder at his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w:t>
      </w:r>
    </w:p>
    <w:p>
      <w:pPr>
        <w:spacing w:after="0" w:line="187" w:lineRule="exact"/>
        <w:rPr>
          <w:sz w:val="20"/>
          <w:szCs w:val="20"/>
          <w:color w:val="auto"/>
        </w:rPr>
      </w:pPr>
    </w:p>
    <w:p>
      <w:pPr>
        <w:jc w:val="both"/>
        <w:ind w:left="340" w:hanging="323"/>
        <w:spacing w:after="0" w:line="258" w:lineRule="auto"/>
        <w:rPr>
          <w:sz w:val="20"/>
          <w:szCs w:val="20"/>
          <w:color w:val="auto"/>
        </w:rPr>
      </w:pPr>
      <w:r>
        <w:rPr>
          <w:rFonts w:ascii="Times New Roman" w:cs="Times New Roman" w:eastAsia="Times New Roman" w:hAnsi="Times New Roman"/>
          <w:sz w:val="18"/>
          <w:szCs w:val="18"/>
          <w:color w:val="auto"/>
        </w:rPr>
        <w:t>125.The Directors may determine that a dividend shall be paid wholly or partly by the distribution of specific assets (which may consist of the shares or securities of any other company) and may settle all questions concerning such distribution. Without limiting the generality of the foregoing, the Directors may fix the value of such specific assets, may determine that cash payment shall be made to some Shareholders in lieu of specific assets and may vest any such specific assets in trustees on such terms as the Directors think fit.</w:t>
      </w:r>
    </w:p>
    <w:p>
      <w:pPr>
        <w:spacing w:after="0" w:line="183" w:lineRule="exact"/>
        <w:rPr>
          <w:sz w:val="20"/>
          <w:szCs w:val="20"/>
          <w:color w:val="auto"/>
        </w:rPr>
      </w:pPr>
    </w:p>
    <w:p>
      <w:pPr>
        <w:jc w:val="both"/>
        <w:ind w:left="340" w:hanging="332"/>
        <w:spacing w:after="0" w:line="261" w:lineRule="auto"/>
        <w:tabs>
          <w:tab w:leader="none" w:pos="3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(where applicable), be treated for the purposes of this Article as paid on the Share.</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several Persons are registered as joint holders of any Share, any of them may give effective receipts for any dividend or other moneys payable on or in respect of the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128.No dividend shall bear interest against the Company.</w:t>
      </w:r>
    </w:p>
    <w:p>
      <w:pPr>
        <w:spacing w:after="0" w:line="225"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auto"/>
        </w:rPr>
        <w:t>129.Any dividend unclaimed after a period of six (6) calendar years from the date of declaration of such dividend may be forfeited by the Board of Directors and, if so forfeited, shall revert to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ACCOUNTS, AUDIT AND ANNUAL RETURN AND DECLARATION</w:t>
      </w:r>
    </w:p>
    <w:p>
      <w:pPr>
        <w:spacing w:after="0" w:line="229" w:lineRule="exact"/>
        <w:rPr>
          <w:sz w:val="20"/>
          <w:szCs w:val="20"/>
          <w:color w:val="auto"/>
        </w:rPr>
      </w:pPr>
    </w:p>
    <w:p>
      <w:pPr>
        <w:jc w:val="both"/>
        <w:ind w:left="340" w:right="20" w:hanging="323"/>
        <w:spacing w:after="0" w:line="282" w:lineRule="auto"/>
        <w:rPr>
          <w:sz w:val="20"/>
          <w:szCs w:val="20"/>
          <w:color w:val="auto"/>
        </w:rPr>
      </w:pPr>
      <w:r>
        <w:rPr>
          <w:rFonts w:ascii="Times New Roman" w:cs="Times New Roman" w:eastAsia="Times New Roman" w:hAnsi="Times New Roman"/>
          <w:sz w:val="18"/>
          <w:szCs w:val="18"/>
          <w:color w:val="auto"/>
        </w:rPr>
        <w:t>130.The books of account relating to the Company’s affairs shall be kept in such manner as may be determined from time to time by the Directors.</w:t>
      </w:r>
    </w:p>
    <w:p>
      <w:pPr>
        <w:spacing w:after="0" w:line="162"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auto"/>
        </w:rPr>
        <w:t>131.The books of account shall be kept at the Registered Office, or at such other place or places as the Directors think fit, and shall always be open to the inspection of the Directors.</w:t>
      </w:r>
    </w:p>
    <w:p>
      <w:pPr>
        <w:spacing w:after="0" w:line="162" w:lineRule="exact"/>
        <w:rPr>
          <w:sz w:val="20"/>
          <w:szCs w:val="20"/>
          <w:color w:val="auto"/>
        </w:rPr>
      </w:pPr>
    </w:p>
    <w:p>
      <w:pPr>
        <w:jc w:val="both"/>
        <w:ind w:left="340" w:hanging="323"/>
        <w:spacing w:after="0" w:line="261" w:lineRule="auto"/>
        <w:rPr>
          <w:sz w:val="20"/>
          <w:szCs w:val="20"/>
          <w:color w:val="auto"/>
        </w:rPr>
      </w:pPr>
      <w:r>
        <w:rPr>
          <w:rFonts w:ascii="Times New Roman" w:cs="Times New Roman" w:eastAsia="Times New Roman" w:hAnsi="Times New Roman"/>
          <w:sz w:val="18"/>
          <w:szCs w:val="18"/>
          <w:color w:val="auto"/>
        </w:rPr>
        <w:t>132.The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to inspect any account or book or document of the Company except as conferred by law or authorized by the Directors or by Special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262890</wp:posOffset>
            </wp:positionV>
            <wp:extent cx="788670" cy="7797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2">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27</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97" w:name="page298"/>
    <w:bookmarkEnd w:id="297"/>
    <w:p>
      <w:pPr>
        <w:ind w:left="340" w:hanging="323"/>
        <w:spacing w:after="0" w:line="282" w:lineRule="auto"/>
        <w:rPr>
          <w:sz w:val="20"/>
          <w:szCs w:val="20"/>
          <w:color w:val="auto"/>
        </w:rPr>
      </w:pPr>
      <w:r>
        <w:rPr>
          <w:rFonts w:ascii="Times New Roman" w:cs="Times New Roman" w:eastAsia="Times New Roman" w:hAnsi="Times New Roman"/>
          <w:sz w:val="18"/>
          <w:szCs w:val="18"/>
          <w:color w:val="auto"/>
        </w:rPr>
        <w:t>133.The accounts relating to the Company’s affairs shall be audited in such manner and with such financial year end as may be determined from time to time by the Directors or failing any determination as aforesaid shall not be audited.</w:t>
      </w:r>
    </w:p>
    <w:p>
      <w:pPr>
        <w:spacing w:after="0" w:line="162" w:lineRule="exact"/>
        <w:rPr>
          <w:sz w:val="20"/>
          <w:szCs w:val="20"/>
          <w:color w:val="auto"/>
        </w:rPr>
      </w:pPr>
    </w:p>
    <w:p>
      <w:pPr>
        <w:ind w:left="340" w:right="20" w:hanging="323"/>
        <w:spacing w:after="0" w:line="282" w:lineRule="auto"/>
        <w:rPr>
          <w:sz w:val="20"/>
          <w:szCs w:val="20"/>
          <w:color w:val="auto"/>
        </w:rPr>
      </w:pPr>
      <w:r>
        <w:rPr>
          <w:rFonts w:ascii="Times New Roman" w:cs="Times New Roman" w:eastAsia="Times New Roman" w:hAnsi="Times New Roman"/>
          <w:sz w:val="18"/>
          <w:szCs w:val="18"/>
          <w:color w:val="auto"/>
        </w:rPr>
        <w:t>134.The Directors may appoint an auditor of the Company who shall hold office until removed from office by a resolution of the Directors and may fix his or their remuneration.</w:t>
      </w:r>
    </w:p>
    <w:p>
      <w:pPr>
        <w:spacing w:after="0" w:line="162" w:lineRule="exact"/>
        <w:rPr>
          <w:sz w:val="20"/>
          <w:szCs w:val="20"/>
          <w:color w:val="auto"/>
        </w:rPr>
      </w:pPr>
    </w:p>
    <w:p>
      <w:pPr>
        <w:jc w:val="both"/>
        <w:ind w:left="340" w:right="20" w:hanging="332"/>
        <w:spacing w:after="0" w:line="266" w:lineRule="auto"/>
        <w:tabs>
          <w:tab w:leader="none" w:pos="3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176"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136.The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Shareholders.</w:t>
      </w:r>
    </w:p>
    <w:p>
      <w:pPr>
        <w:spacing w:after="0" w:line="176"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auto"/>
        </w:rPr>
        <w:t>137.The Directors in each calendar year shall prepare, or cause to be prepared, an annual return and declaration setting forth the particulars required by the Companies Act and deliver a copy thereof to the Registrar of Companies in the Cayman Islands.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 OF RESERVES</w:t>
      </w:r>
    </w:p>
    <w:p>
      <w:pPr>
        <w:spacing w:after="0" w:line="229" w:lineRule="exact"/>
        <w:rPr>
          <w:sz w:val="20"/>
          <w:szCs w:val="20"/>
          <w:color w:val="auto"/>
        </w:rPr>
      </w:pPr>
    </w:p>
    <w:p>
      <w:pPr>
        <w:ind w:left="340" w:hanging="332"/>
        <w:spacing w:after="0"/>
        <w:tabs>
          <w:tab w:leader="none" w:pos="3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Directors may: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to capitalize an amount standing to the credit of reserves (including a Share Premium Account, capital redemption reserve and profit and loss account), which is available for distribution;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the sum resolved to be capitalized to the Shareholders in proportion to the nominal amount of Shares (whether or not fully paid) held by them respectively and apply that sum on their behalf in or towards: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the amounts (if any) for the time being unpaid on Shares held by them respectively,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in full unissued Shares or debentures of a nominal amount equal to that sum,</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spacing w:after="0" w:line="180" w:lineRule="exact"/>
        <w:rPr>
          <w:sz w:val="20"/>
          <w:szCs w:val="20"/>
          <w:color w:val="auto"/>
        </w:rPr>
      </w:pPr>
    </w:p>
    <w:p>
      <w:pPr>
        <w:jc w:val="both"/>
        <w:ind w:left="660" w:hanging="328"/>
        <w:spacing w:after="0" w:line="266" w:lineRule="auto"/>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arrangements they think fit to resolve a difficulty arising in the distribution of a capitalized reserve and in particular, without limitation, where Shares or debentures become distributable in fractions the Directors may deal with the fractions as they think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260350</wp:posOffset>
            </wp:positionV>
            <wp:extent cx="788670" cy="7797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3">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28</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98" w:name="page299"/>
    <w:bookmarkEnd w:id="298"/>
    <w:p>
      <w:pPr>
        <w:ind w:left="660" w:hanging="328"/>
        <w:spacing w:after="0" w:line="282"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 Person to enter (on behalf of all the Shareholders concerned) into an agreement with the Company providing for either: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allotment to the Shareholders respectively, credited as fully paid, of Shares or debentures to which they may be entitled on the capitalization,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Company on behalf of the Shareholders (by the application of their respective proportions of the reserves resolved to be capitalized) of the amounts or part of the amounts remaining unpaid on their existing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any such agreement made under this authority being effective and binding on all those Shareholders; 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  generally do all acts and things required to give effect to the resolution.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PREMIUM ACCOUNT</w:t>
      </w:r>
    </w:p>
    <w:p>
      <w:pPr>
        <w:spacing w:after="0" w:line="229" w:lineRule="exact"/>
        <w:rPr>
          <w:sz w:val="20"/>
          <w:szCs w:val="20"/>
          <w:color w:val="auto"/>
        </w:rPr>
      </w:pPr>
    </w:p>
    <w:p>
      <w:pPr>
        <w:ind w:left="340" w:right="20" w:hanging="323"/>
        <w:spacing w:after="0" w:line="282" w:lineRule="auto"/>
        <w:rPr>
          <w:sz w:val="20"/>
          <w:szCs w:val="20"/>
          <w:color w:val="auto"/>
        </w:rPr>
      </w:pPr>
      <w:r>
        <w:rPr>
          <w:rFonts w:ascii="Times New Roman" w:cs="Times New Roman" w:eastAsia="Times New Roman" w:hAnsi="Times New Roman"/>
          <w:sz w:val="18"/>
          <w:szCs w:val="18"/>
          <w:color w:val="auto"/>
        </w:rPr>
        <w:t>139.The Directors shall in accordance with the Companies Act establish a Share Premium Account and shall carry to the credit of such account from time to time a sum equal to the amount or value of the premium paid on the issue of any Share.</w:t>
      </w:r>
    </w:p>
    <w:p>
      <w:pPr>
        <w:spacing w:after="0" w:line="162" w:lineRule="exact"/>
        <w:rPr>
          <w:sz w:val="20"/>
          <w:szCs w:val="20"/>
          <w:color w:val="auto"/>
        </w:rPr>
      </w:pPr>
    </w:p>
    <w:p>
      <w:pPr>
        <w:jc w:val="both"/>
        <w:ind w:left="340" w:hanging="332"/>
        <w:spacing w:after="0" w:line="266" w:lineRule="auto"/>
        <w:tabs>
          <w:tab w:leader="none" w:pos="37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Act, out of capital.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340" w:hanging="332"/>
        <w:spacing w:after="0" w:line="254" w:lineRule="auto"/>
        <w:tabs>
          <w:tab w:leader="none" w:pos="3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these Articles, any notice or document may be served by the Company or by the Person entitled to give notice to any Shareholder either personally, or by posting it by airmail or a recognized courier service in a prepaid letter addressed to such Shareholder at his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19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sent from one country to another shall be sent or forwarded by prepaid airmail or a recognized courier service.</w:t>
      </w:r>
    </w:p>
    <w:p>
      <w:pPr>
        <w:spacing w:after="0" w:line="225" w:lineRule="exact"/>
        <w:rPr>
          <w:sz w:val="20"/>
          <w:szCs w:val="20"/>
          <w:color w:val="auto"/>
        </w:rPr>
      </w:pPr>
    </w:p>
    <w:p>
      <w:pPr>
        <w:ind w:left="340" w:hanging="323"/>
        <w:spacing w:after="0" w:line="282" w:lineRule="auto"/>
        <w:rPr>
          <w:sz w:val="20"/>
          <w:szCs w:val="20"/>
          <w:color w:val="auto"/>
        </w:rPr>
      </w:pPr>
      <w:r>
        <w:rPr>
          <w:rFonts w:ascii="Times New Roman" w:cs="Times New Roman" w:eastAsia="Times New Roman" w:hAnsi="Times New Roman"/>
          <w:sz w:val="18"/>
          <w:szCs w:val="18"/>
          <w:color w:val="auto"/>
        </w:rPr>
        <w:t>143.Any Shareholder Present at any meeting of the Company shall for all purposes be deemed to have received due notice of such meeting and, where requisite, of the purposes for which such meeting was convened.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144.Any notice or other document, if served by: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post, shall be deemed to have been served five (5) calendar days after the time when the letter containing the same is posted;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291465</wp:posOffset>
            </wp:positionV>
            <wp:extent cx="788670" cy="7797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4">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29</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299" w:name="page300"/>
    <w:bookmarkEnd w:id="299"/>
    <w:p>
      <w:pPr>
        <w:ind w:left="660" w:right="20" w:hanging="328"/>
        <w:spacing w:after="0" w:line="282" w:lineRule="auto"/>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shall be deemed to have been served upon production by the transmitting facsimile machine of a report confirming transmission of the facsimile in full to the facsimile number of the recipient;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courier service, shall be deemed to have been served forty-eight (48) hours after the time when the letter containing the same is delivered to the courier service;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means, shall be deemed to have been served immediately (i) upon the time of the transmission to the electronic mail address supplied by the Shareholder to the Company or (ii) upon the time of its placement on the Company’s Website.</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In proving service by post or courier service it shall be sufficient to prove that the letter containing the notice or documents was properly addressed and duly posted or delivered to the courier service.</w:t>
      </w:r>
    </w:p>
    <w:p>
      <w:pPr>
        <w:spacing w:after="0" w:line="162" w:lineRule="exact"/>
        <w:rPr>
          <w:sz w:val="20"/>
          <w:szCs w:val="20"/>
          <w:color w:val="auto"/>
        </w:rPr>
      </w:pPr>
    </w:p>
    <w:p>
      <w:pPr>
        <w:jc w:val="both"/>
        <w:ind w:left="340" w:hanging="323"/>
        <w:spacing w:after="0" w:line="256" w:lineRule="auto"/>
        <w:rPr>
          <w:sz w:val="20"/>
          <w:szCs w:val="20"/>
          <w:color w:val="auto"/>
        </w:rPr>
      </w:pPr>
      <w:r>
        <w:rPr>
          <w:rFonts w:ascii="Times New Roman" w:cs="Times New Roman" w:eastAsia="Times New Roman" w:hAnsi="Times New Roman"/>
          <w:sz w:val="18"/>
          <w:szCs w:val="18"/>
          <w:color w:val="auto"/>
        </w:rPr>
        <w:t>145.Any notice or document delivered or sent by post to or left at the registered address of any Shareholder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p>
      <w:pPr>
        <w:spacing w:after="0" w:line="187" w:lineRule="exact"/>
        <w:rPr>
          <w:sz w:val="20"/>
          <w:szCs w:val="20"/>
          <w:color w:val="auto"/>
        </w:rPr>
      </w:pPr>
    </w:p>
    <w:p>
      <w:pPr>
        <w:ind w:left="340" w:hanging="332"/>
        <w:spacing w:after="0"/>
        <w:tabs>
          <w:tab w:leader="none" w:pos="3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of the Company shall be given to:</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holding Shares with the right to receive notice and who have supplied to the Company an address for the giving of notices to them;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entitled to a Share in consequence of the death or bankruptcy of a Shareholder, who but for his death or bankruptcy would be entitled to receive notice of the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shall be entitled to receive notices of general meetings.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229" w:lineRule="exact"/>
        <w:rPr>
          <w:sz w:val="20"/>
          <w:szCs w:val="20"/>
          <w:color w:val="auto"/>
        </w:rPr>
      </w:pPr>
    </w:p>
    <w:p>
      <w:pPr>
        <w:jc w:val="both"/>
        <w:ind w:left="340" w:hanging="332"/>
        <w:spacing w:after="0" w:line="261" w:lineRule="auto"/>
        <w:tabs>
          <w:tab w:leader="none" w:pos="3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relevant laws, rules and regulations applicable to the Company, no Shareholder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Shareholders to communicate to the public.</w:t>
      </w:r>
    </w:p>
    <w:p>
      <w:pPr>
        <w:spacing w:after="0" w:line="179"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due compliance with the relevant laws, rules and regulations applicable to the Company, the Board shall be entitled to release or disclose any information in its possession, custody or control regarding the Company or its affairs to any of its Shareholders including, without limitation, information contained in the Register and transfer books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260350</wp:posOffset>
            </wp:positionV>
            <wp:extent cx="788670" cy="7797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5">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30</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340" w:hanging="332"/>
        <w:spacing w:after="0" w:line="254" w:lineRule="auto"/>
        <w:tabs>
          <w:tab w:leader="none" w:pos="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150.No Indemnified Person shall be liable:</w:t>
      </w:r>
    </w:p>
    <w:p>
      <w:pPr>
        <w:spacing w:after="0" w:line="225" w:lineRule="exact"/>
        <w:rPr>
          <w:sz w:val="20"/>
          <w:szCs w:val="20"/>
          <w:color w:val="auto"/>
        </w:rPr>
      </w:pPr>
    </w:p>
    <w:p>
      <w:pPr>
        <w:ind w:left="660" w:hanging="328"/>
        <w:spacing w:after="0"/>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acts, receipts, neglects, defaults or omissions of any other Director or officer or agent of the Company;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on account of defect of title to any property of the Company;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the insufficiency of any security in or upon which any money of the Company shall be invested;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incurred through any bank, broker or other similar Person;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occasioned by any negligence, default, breach of duty, breach of trust, error of judgement or oversight on such Indemnified Person’s part;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damage or misfortune whatsoever which may happen in or arise from the execution or discharge of the duties, powers, authorities, or discretions of such Indemnified Person’s office or in relation thereto;</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the same shall happen through such Indemnified Person’s own dishonesty, willful default or fraud.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229" w:lineRule="exact"/>
        <w:rPr>
          <w:sz w:val="20"/>
          <w:szCs w:val="20"/>
          <w:color w:val="auto"/>
        </w:rPr>
      </w:pPr>
    </w:p>
    <w:p>
      <w:pPr>
        <w:ind w:left="340" w:right="20" w:hanging="332"/>
        <w:spacing w:after="0" w:line="231" w:lineRule="auto"/>
        <w:tabs>
          <w:tab w:leader="none" w:pos="3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prescribe, the financial year of the Company shall end on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in each calendar year and shall begin on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in each calendar year.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NON-RECOGNITION OF TRUSTS</w:t>
      </w:r>
    </w:p>
    <w:p>
      <w:pPr>
        <w:spacing w:after="0" w:line="229" w:lineRule="exact"/>
        <w:rPr>
          <w:sz w:val="20"/>
          <w:szCs w:val="20"/>
          <w:color w:val="auto"/>
        </w:rPr>
      </w:pPr>
    </w:p>
    <w:p>
      <w:pPr>
        <w:jc w:val="both"/>
        <w:ind w:left="340" w:hanging="323"/>
        <w:spacing w:after="0" w:line="261" w:lineRule="auto"/>
        <w:rPr>
          <w:sz w:val="20"/>
          <w:szCs w:val="20"/>
          <w:color w:val="auto"/>
        </w:rPr>
      </w:pPr>
      <w:r>
        <w:rPr>
          <w:rFonts w:ascii="Times New Roman" w:cs="Times New Roman" w:eastAsia="Times New Roman" w:hAnsi="Times New Roman"/>
          <w:sz w:val="18"/>
          <w:szCs w:val="18"/>
          <w:color w:val="auto"/>
        </w:rPr>
        <w:t>152.No Person shall be recognized by the Company as holding any Share upon any trust and the Company shall not, unless required by law, be bound by or be compelled in any way to recognize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262890</wp:posOffset>
            </wp:positionV>
            <wp:extent cx="788670" cy="7797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6">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31</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301" w:name="page302"/>
    <w:bookmarkEnd w:id="301"/>
    <w:p>
      <w:pPr>
        <w:jc w:val="center"/>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jc w:val="both"/>
        <w:ind w:left="340" w:hanging="332"/>
        <w:spacing w:after="0" w:line="255" w:lineRule="auto"/>
        <w:tabs>
          <w:tab w:leader="none" w:pos="3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liquidator may, with the sanction of a Special Resolution of the Company and any other sanction required by the Companies Act, divide amongst the Shareholders in species or in kind the whole or any part of the assets of the Company (whether they shall consist of property of the same kind or not) and may for that purpose value any assets and subject to Article 154, determine how the division shall be carried out as between the Shareholders or different classes of Shareholders. The liquidator may, with the like sanction, vest the whole or any part of such assets in trustees upon such trusts for the benefit of the Shareholders as the liquidator, with the like sanction, shall think fit, but so that no Shareholder shall be compelled to accept any asset upon which there is a liability.</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and the assets available for distribution amongst the Shareholders shall be insufficient to repay the whole of the share capital, such assets shall be distributed so that, as nearly as may be, the losses shall be borne by the Shareholders in proportion to the par value of the Shares held by them. If in a winding up the assets available for distribution amongst the Shareholders shall be more than sufficient to repay the whole of the share capital at the commencement of the winding up, the surplus shall be distributed amongst the Shareholders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MEMORANDUM AND ARTICLES OF ASSOCIATION</w:t>
      </w:r>
    </w:p>
    <w:p>
      <w:pPr>
        <w:spacing w:after="0" w:line="229" w:lineRule="exact"/>
        <w:rPr>
          <w:sz w:val="20"/>
          <w:szCs w:val="20"/>
          <w:color w:val="auto"/>
        </w:rPr>
      </w:pPr>
    </w:p>
    <w:p>
      <w:pPr>
        <w:ind w:left="340" w:hanging="332"/>
        <w:spacing w:after="0" w:line="282" w:lineRule="auto"/>
        <w:tabs>
          <w:tab w:leader="none" w:pos="3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Company may at any time and from time to time by Special Resolution alter or amend the Memorandum of Association or these Articles in whole or in part.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OF REGISTER OR FIXING RECORD DATE</w:t>
      </w:r>
    </w:p>
    <w:p>
      <w:pPr>
        <w:spacing w:after="0" w:line="229" w:lineRule="exact"/>
        <w:rPr>
          <w:sz w:val="20"/>
          <w:szCs w:val="20"/>
          <w:color w:val="auto"/>
        </w:rPr>
      </w:pPr>
    </w:p>
    <w:p>
      <w:pPr>
        <w:jc w:val="both"/>
        <w:ind w:left="340" w:right="20" w:hanging="332"/>
        <w:spacing w:after="0" w:line="261" w:lineRule="auto"/>
        <w:tabs>
          <w:tab w:leader="none" w:pos="3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(30) calendar days in any calendar year.</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(90) calendar days prior to the date of declaration of such dividend, fix a subsequent date as the record date for such determination.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265430</wp:posOffset>
            </wp:positionV>
            <wp:extent cx="788670" cy="7797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7">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32</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302" w:name="page303"/>
    <w:bookmarkEnd w:id="302"/>
    <w:p>
      <w:pPr>
        <w:jc w:val="center"/>
        <w:ind w:right="-159"/>
        <w:spacing w:after="0"/>
        <w:rPr>
          <w:sz w:val="20"/>
          <w:szCs w:val="20"/>
          <w:color w:val="auto"/>
        </w:rPr>
      </w:pPr>
      <w:r>
        <w:rPr>
          <w:rFonts w:ascii="Times New Roman" w:cs="Times New Roman" w:eastAsia="Times New Roman" w:hAnsi="Times New Roman"/>
          <w:sz w:val="18"/>
          <w:szCs w:val="18"/>
          <w:color w:val="auto"/>
        </w:rPr>
        <w:t>at a meeting of Shareholders has been made as provided in this Article, such determination shall apply to any adjournment thereof.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BY WAY OF CONTINUATION</w:t>
      </w:r>
    </w:p>
    <w:p>
      <w:pPr>
        <w:spacing w:after="0" w:line="229" w:lineRule="exact"/>
        <w:rPr>
          <w:sz w:val="20"/>
          <w:szCs w:val="20"/>
          <w:color w:val="auto"/>
        </w:rPr>
      </w:pPr>
    </w:p>
    <w:p>
      <w:pPr>
        <w:jc w:val="both"/>
        <w:ind w:left="340" w:hanging="323"/>
        <w:spacing w:after="0" w:line="256" w:lineRule="auto"/>
        <w:rPr>
          <w:sz w:val="20"/>
          <w:szCs w:val="20"/>
          <w:color w:val="auto"/>
        </w:rPr>
      </w:pPr>
      <w:r>
        <w:rPr>
          <w:rFonts w:ascii="Times New Roman" w:cs="Times New Roman" w:eastAsia="Times New Roman" w:hAnsi="Times New Roman"/>
          <w:sz w:val="18"/>
          <w:szCs w:val="18"/>
          <w:color w:val="auto"/>
        </w:rPr>
        <w:t>159.The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229" w:lineRule="exact"/>
        <w:rPr>
          <w:sz w:val="20"/>
          <w:szCs w:val="20"/>
          <w:color w:val="auto"/>
        </w:rPr>
      </w:pPr>
    </w:p>
    <w:p>
      <w:pPr>
        <w:jc w:val="both"/>
        <w:ind w:left="340" w:hanging="323"/>
        <w:spacing w:after="0" w:line="261" w:lineRule="auto"/>
        <w:rPr>
          <w:sz w:val="20"/>
          <w:szCs w:val="20"/>
          <w:color w:val="auto"/>
        </w:rPr>
      </w:pPr>
      <w:r>
        <w:rPr>
          <w:rFonts w:ascii="Times New Roman" w:cs="Times New Roman" w:eastAsia="Times New Roman" w:hAnsi="Times New Roman"/>
          <w:sz w:val="18"/>
          <w:szCs w:val="18"/>
          <w:color w:val="auto"/>
        </w:rPr>
        <w:t>160.The Directors, or any service providers (including the officers, the Secretary and the registered office provider of the Company) specifically authorized by the Directors, shall be entitled to disclose to any regulatory or judicial authority or to any stock exchange on which securities of the Company may from time to time be listed any information regarding the affairs of the Company including without limitation information contained in the Register and books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MERGERS AND CONSOLIDATION</w:t>
      </w:r>
    </w:p>
    <w:p>
      <w:pPr>
        <w:spacing w:after="0" w:line="229"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161.The Company shall have the power to merge or consolidate with one or more other constituent companies (as defined in the Companies Act) upon such terms as the Directors may determine and (to the extent required by the Companies Act) with the approval of a Special Resolution.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ind w:left="340" w:hanging="332"/>
        <w:spacing w:after="0" w:line="253" w:lineRule="auto"/>
        <w:tabs>
          <w:tab w:leader="none" w:pos="3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163, unless the Company consents in writing to the selection of an alternative forum, the courts of the Cayman Islands shall have exclusive jurisdiction to hear, settle and/or determine any dispute, controversy or claim related to the Company (including any non-contractual dispute, controversy or claim) whether arising out of or in connection with these Articles or otherwise, including any questions regarding the existence, validity, formation or termination of any dispute, controversy or claim related to the Company. For the avoidance of doubt and without limiting the jurisdiction of the Cayman Courts to hear, settle and/or determine disputes related to the Company, the courts of the Cayman Islands shall be the sole and exclusive forum for (i) any derivative action or proceeding brought on behalf of the Company, (ii) any action asserting a claim of breach of a fiduciary duty owed by any Director, officer, or other employee of the Company to the Company or the Shareholders, (iii) any action asserting a claim arising pursuant to any provision of the Companies Act or these Articles including but not limited to any purchase or acquisition of Shares, security, or guarantee provided in consideration thereof, or (iv) any action asserting a claim against the Company which if brought in the United States would be a claim arising under the internal affairs doctrine (as such concept is recognized under the laws of the United States from time to time).</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consents in writing to the selection of an alternative forum, the United States District Court for the Southern District of New York (or, if the United States District Court for the Southern District of New York lacks subject matter jurisdiction over a particular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260350</wp:posOffset>
            </wp:positionV>
            <wp:extent cx="788670" cy="7804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8">
                      <a:extLst>
                        <a:ext uri="{28A0092B-C50C-407E-A947-70E740481C1C}"/>
                      </a:extLst>
                    </a:blip>
                    <a:srcRect/>
                    <a:stretch>
                      <a:fillRect/>
                    </a:stretch>
                  </pic:blipFill>
                  <pic:spPr bwMode="auto">
                    <a:xfrm>
                      <a:off x="0" y="0"/>
                      <a:ext cx="78867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33</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303" w:name="page304"/>
    <w:bookmarkEnd w:id="303"/>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the Company. Any person or entity purchasing or otherwise acquiring any ADSs or other securities in the Company shall be deemed to have notice of and consented to the provisions of this Article and Article 162 above. Without prejudice to the foregoing, if any part of this Article and Article 162 is held to be illegal, invalid or unenforceable under applicable law, the legality, validity or enforceability of the rest of these Articles shall not be affected and this Article and Article 162 shall be interpreted and construed to the maximum extent possible to apply in the relevant jurisdiction with whatever modification or deletion may be necessary so as best to give effect to the intention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131445</wp:posOffset>
            </wp:positionV>
            <wp:extent cx="788670" cy="7797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9">
                      <a:extLst>
                        <a:ext uri="{28A0092B-C50C-407E-A947-70E740481C1C}"/>
                      </a:extLst>
                    </a:blip>
                    <a:srcRect/>
                    <a:stretch>
                      <a:fillRect/>
                    </a:stretch>
                  </pic:blipFill>
                  <pic:spPr bwMode="auto">
                    <a:xfrm>
                      <a:off x="0" y="0"/>
                      <a:ext cx="78867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34</w:t>
            </w:r>
          </w:p>
        </w:tc>
        <w:tc>
          <w:tcPr>
            <w:tcW w:w="3060" w:type="dxa"/>
            <w:vAlign w:val="bottom"/>
          </w:tcPr>
          <w:p>
            <w:pPr>
              <w:spacing w:after="0"/>
              <w:rPr>
                <w:sz w:val="20"/>
                <w:szCs w:val="20"/>
                <w:color w:val="auto"/>
              </w:rPr>
            </w:pPr>
          </w:p>
        </w:tc>
      </w:tr>
      <w:tr>
        <w:trPr>
          <w:trHeight w:val="709"/>
        </w:trPr>
        <w:tc>
          <w:tcPr>
            <w:tcW w:w="6860" w:type="dxa"/>
            <w:vAlign w:val="bottom"/>
          </w:tcPr>
          <w:p>
            <w:pPr>
              <w:spacing w:after="0"/>
              <w:rPr>
                <w:sz w:val="24"/>
                <w:szCs w:val="24"/>
                <w:color w:val="auto"/>
              </w:rPr>
            </w:pPr>
          </w:p>
        </w:tc>
        <w:tc>
          <w:tcPr>
            <w:tcW w:w="306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rPr>
              <w:t>Filed: 23-Feb-2024 10:16 EST</w:t>
            </w:r>
          </w:p>
        </w:tc>
      </w:tr>
      <w:tr>
        <w:trPr>
          <w:trHeight w:val="236"/>
        </w:trPr>
        <w:tc>
          <w:tcPr>
            <w:tcW w:w="686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8"/>
              </w:rPr>
              <w:t>www.verify.gov.ky File#: 379482</w:t>
            </w:r>
          </w:p>
        </w:tc>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Auth Code: K32706347485</w:t>
            </w:r>
          </w:p>
        </w:tc>
      </w:tr>
      <w:tr>
        <w:trPr>
          <w:trHeight w:val="776"/>
        </w:trPr>
        <w:tc>
          <w:tcPr>
            <w:tcW w:w="6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294005</wp:posOffset>
            </wp:positionV>
            <wp:extent cx="62922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173990</wp:posOffset>
            </wp:positionV>
            <wp:extent cx="62922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2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as Issuer,</w:t>
      </w:r>
    </w:p>
    <w:p>
      <w:pPr>
        <w:spacing w:after="0" w:line="22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w:t>
      </w:r>
    </w:p>
    <w:p>
      <w:pPr>
        <w:spacing w:after="0" w:line="22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as Depositary,</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THE HOLDERS AND BENEFICIAL OWNERS</w:t>
      </w:r>
    </w:p>
    <w:p>
      <w:pPr>
        <w:spacing w:after="0" w:line="3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OF AMERICAN DEPOSITARY SHARES EVIDENCED BY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AMERICAN DEPOSITARY RECEIPTS 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142875</wp:posOffset>
            </wp:positionV>
            <wp:extent cx="62922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Dated as of January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654050</wp:posOffset>
            </wp:positionV>
            <wp:extent cx="629221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165735</wp:posOffset>
            </wp:positionV>
            <wp:extent cx="629221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305" w:name="page306"/>
    <w:bookmarkEnd w:id="305"/>
    <w:p>
      <w:pPr>
        <w:jc w:val="center"/>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dated as of January 29, 2024, by and among (i) Lotus Technology Inc., a company incorporated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Cayman Islands, with its principal executive office at No. 800 Century Avenue, Pudong District, Shanghai, People’s Republic of China and its registered office at the offices of Maples Corporate Services Limited, PO Box 309, Ugland House, Grand Cayman, KY1-1104, Cayman Islands (together with its successors,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(ii) Deutsche Bank Trust Company Americas, an indirect wholly owned subsidiary of Deutsche Bank A.G., acting in its capacity as depositary, with its principal office at 1 Columbus Circle, New York, NY 10019, United States of America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which term shall include any successor depositary hereunder) and (iii) all Holders and Beneficial Owners of American Depositary Shares evidenced by American Depositary Receipts issued hereunder (all such capitalized terms as hereinafter defined).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 T H A 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establish an ADR facility with the Depositary to provide for the deposit of the Shares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creation of American Depositary Shares representing the Shares so deposited;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Depositary is willing to act as the depositary for such ADR facility upon the terms set forth in this Deposit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American Depositary Receipts evidencing the American Depositary Shares issued pursuant to the terms of this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are to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annexed hereto, with appropriate insertions, modifications and omissions, as hereinafter provided in this Deposit Agreement;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American Depositary Shares to be issued pursuant to the terms of this Deposit Agreement are accepted for trading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and</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(or an authorized committee thereof) has duly approved the establishment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ADR facility upon the terms set forth in this Deposit Agreement, the execution and delivery of this Deposit Agreement on behalf of the Company, and the actions of the Company and the transactions contemplated herein.</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meanings set forth below, unless otherwise clearly indicated: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assigned to such term by the Commission under Regulation C promulgated under the Securities 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shall mean such entity or entities as the Depositary may appoint under Section 7.8 hereof, including the Custodian or any successor or addition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06" w:name="page307"/>
    <w:bookmarkEnd w:id="30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American Depositary Share(s)</w:t>
      </w:r>
      <w:r>
        <w:rPr>
          <w:rFonts w:ascii="Times New Roman" w:cs="Times New Roman" w:eastAsia="Times New Roman" w:hAnsi="Times New Roman"/>
          <w:sz w:val="18"/>
          <w:szCs w:val="18"/>
          <w:color w:val="auto"/>
        </w:rPr>
        <w:t>” and “ADS(s)” shall mean the securities represented by the rights and interests in the Deposited Securities granted to the Holders and Beneficial Owners pursuant to this Deposit Agreement and evidenced by the American Depositary Receipts issued hereunder. Each American Depositary Share shall represent the right to receive one Share, until there shall occur a distribution upon Deposited Securities referred to in Section 4.2 hereof or a change in Deposited Securities referred to in Section 4.9 hereof with respect to which additional American Depositary Receipts are not executed and delivered and thereafter each American Depositary Share shall represent the Shares or Deposited Securities specified in such Sections.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shall refer to an article of the American Depositary Receipts as set forth in the Form of Face of Receipt and Form of Reverse of Receipt in Exhibit A and Exhibit B annexed hereto.</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1.5</w:t>
        <w:tab/>
        <w:t>“</w:t>
      </w:r>
      <w:r>
        <w:rPr>
          <w:rFonts w:ascii="Times New Roman" w:cs="Times New Roman" w:eastAsia="Times New Roman" w:hAnsi="Times New Roman"/>
          <w:sz w:val="18"/>
          <w:szCs w:val="18"/>
          <w:u w:val="single" w:color="auto"/>
          <w:color w:val="auto"/>
        </w:rPr>
        <w:t>Articles of Association</w:t>
      </w:r>
      <w:r>
        <w:rPr>
          <w:rFonts w:ascii="Times New Roman" w:cs="Times New Roman" w:eastAsia="Times New Roman" w:hAnsi="Times New Roman"/>
          <w:sz w:val="18"/>
          <w:szCs w:val="18"/>
          <w:color w:val="auto"/>
        </w:rPr>
        <w:t>” shall mean the articles of association of the Company, as amended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ADS Record Date</w:t>
      </w:r>
      <w:r>
        <w:rPr>
          <w:rFonts w:ascii="Times New Roman" w:cs="Times New Roman" w:eastAsia="Times New Roman" w:hAnsi="Times New Roman"/>
          <w:sz w:val="17"/>
          <w:szCs w:val="17"/>
          <w:color w:val="auto"/>
        </w:rPr>
        <w:t>” shall have the meaning given to such term in Section 4.7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1.7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shall mean as to any ADS, any person or entity having a beneficial interest in such ADS. A Beneficial Owner need not be the Holder of the ADR evidencing such ADSs. A Beneficial Owner may exercise any rights or receive any benefits hereunder solely through the Holder of the ADR(s) evidencing the ADSs in which such Beneficial Owner has an interest.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1.8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each Monday, Tuesday, Wednesday, Thursday and Friday which is not (a) a day on which banking institutions in the Borough of Manhattan, The City of New York are authorized or obligated by law or executive order to close and (b) a day on which the market(s) in which ADSs are traded are closed.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1.9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 of the United States or any successor governmental agency in the United States.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1.10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Lotus Technology Inc., a company incorporated and existing under the laws of the Cayman Islands, and its successors.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1.11 “</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when used with respect to the Depositary, shall mean the corporate trust office of the Depositary at which at any particular time its depositary receipts business shall be administered, which, at the date of this Deposit Agreement, is located at 1 Columbus Circle, New York, NY 10019, U.S.A.</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1.12 “</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shall mean, as of the date hereof, Deutsche Bank AG, Hong Kong Branch, having its principal office at 57/F International Commerce Centre, 1 Austin Road West, Kowloon, Hong Kong S.A.R., People’s Republic of China, as the custodian for the purposes of this Deposit Agreement, and any other firm or corporation which may hereinafter be appointed by the Depositary pursuant to the terms of Section 5.5 hereof as a successor or an additional custodian or custodians hereunder, as the context shall require. The term “Custodian” shall mean all custodians, collectively.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1.13 “</w:t>
      </w:r>
      <w:r>
        <w:rPr>
          <w:rFonts w:ascii="Times New Roman" w:cs="Times New Roman" w:eastAsia="Times New Roman" w:hAnsi="Times New Roman"/>
          <w:sz w:val="18"/>
          <w:szCs w:val="18"/>
          <w:u w:val="single" w:color="auto"/>
          <w:color w:val="auto"/>
        </w:rPr>
        <w:t>Deliver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Deliverable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shall mean, when used in respect of American Depositary Shares, Receipts, Deposited Securities and Shares, the physical delivery of the certificate representing such security, or the electronic delivery of such security by means of book-entry transfer, as appropriate, including, without limitation, through DRS/Profile. With respect to DRS/Profile ADRs, the terms “</w:t>
      </w:r>
      <w:r>
        <w:rPr>
          <w:rFonts w:ascii="Times New Roman" w:cs="Times New Roman" w:eastAsia="Times New Roman" w:hAnsi="Times New Roman"/>
          <w:sz w:val="18"/>
          <w:szCs w:val="18"/>
          <w:u w:val="single" w:color="auto"/>
          <w:color w:val="auto"/>
        </w:rPr>
        <w:t>execute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issue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surrender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cancel</w:t>
      </w:r>
      <w:r>
        <w:rPr>
          <w:rFonts w:ascii="Times New Roman" w:cs="Times New Roman" w:eastAsia="Times New Roman" w:hAnsi="Times New Roman"/>
          <w:sz w:val="18"/>
          <w:szCs w:val="18"/>
          <w:color w:val="auto"/>
        </w:rPr>
        <w:t>” refer to applicable entries or movements to or within DRS/Profile.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07" w:name="page308"/>
    <w:bookmarkEnd w:id="30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1.14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shall mean this Deposit Agreement and all exhibits annexed hereto, as the same may from time to time be amended and supplemented in accordance with the terms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1.15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shall mean Deutsche Bank Trust Company Americas, an indirect wholly owned subsidiary of Deutsche Bank AG, in its capacity as depositary under the terms of this Deposit Agreement, and any successor depositary 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1.16 “</w:t>
      </w:r>
      <w:r>
        <w:rPr>
          <w:rFonts w:ascii="Times New Roman" w:cs="Times New Roman" w:eastAsia="Times New Roman" w:hAnsi="Times New Roman"/>
          <w:sz w:val="18"/>
          <w:szCs w:val="18"/>
          <w:u w:val="single" w:color="auto"/>
          <w:color w:val="auto"/>
        </w:rPr>
        <w:t>Deposited Securities</w:t>
      </w:r>
      <w:r>
        <w:rPr>
          <w:rFonts w:ascii="Times New Roman" w:cs="Times New Roman" w:eastAsia="Times New Roman" w:hAnsi="Times New Roman"/>
          <w:sz w:val="18"/>
          <w:szCs w:val="18"/>
          <w:color w:val="auto"/>
        </w:rPr>
        <w:t>” as of any time shall mean Shares at such time deposited or deemed to be deposited under this Deposit Agreement and any and all other securities, property and cash received or deemed to be received by the Depositary or the Custodian in respect thereof and held hereunder, subject, in the case of cash, to the provisions of Section 4.6.</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Dollars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shall mean the lawful currency of the United States.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1.18 “</w:t>
      </w:r>
      <w:r>
        <w:rPr>
          <w:rFonts w:ascii="Times New Roman" w:cs="Times New Roman" w:eastAsia="Times New Roman" w:hAnsi="Times New Roman"/>
          <w:sz w:val="18"/>
          <w:szCs w:val="18"/>
          <w:u w:val="single" w:color="auto"/>
          <w:color w:val="auto"/>
        </w:rPr>
        <w:t>DRS/Profile</w:t>
      </w:r>
      <w:r>
        <w:rPr>
          <w:rFonts w:ascii="Times New Roman" w:cs="Times New Roman" w:eastAsia="Times New Roman" w:hAnsi="Times New Roman"/>
          <w:sz w:val="18"/>
          <w:szCs w:val="18"/>
          <w:color w:val="auto"/>
        </w:rPr>
        <w:t>” shall mean the system for the uncertificated registration of ownership of securities pursuant to which ownership of ADSs is maintained on the books of the Depositary without the issuance of a physical certificate and transfer instructions may be given to allow for the automated transfer of ownership between the books of DTC and the Depositary. Ownership of ADSs held in DRS/Profile is evidenced by periodic statements issued by the Depositary to the Holders entitled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1.19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shall mean The Depository Trust Company, the central book-entry clearinghouse and settlement system for securities traded in the United States, and any successor thereto.</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DTC Participants</w:t>
      </w:r>
      <w:r>
        <w:rPr>
          <w:rFonts w:ascii="Times New Roman" w:cs="Times New Roman" w:eastAsia="Times New Roman" w:hAnsi="Times New Roman"/>
          <w:sz w:val="17"/>
          <w:szCs w:val="17"/>
          <w:color w:val="auto"/>
        </w:rPr>
        <w:t>” shall mean participants within DTC.</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the U.S. Securities Exchange Act of 1934, as from time to time amended.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Foreign Currency</w:t>
      </w:r>
      <w:r>
        <w:rPr>
          <w:rFonts w:ascii="Times New Roman" w:cs="Times New Roman" w:eastAsia="Times New Roman" w:hAnsi="Times New Roman"/>
          <w:sz w:val="17"/>
          <w:szCs w:val="17"/>
          <w:color w:val="auto"/>
        </w:rPr>
        <w:t>” shall mean any currency other than Dollars.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1.23 “</w:t>
      </w:r>
      <w:r>
        <w:rPr>
          <w:rFonts w:ascii="Times New Roman" w:cs="Times New Roman" w:eastAsia="Times New Roman" w:hAnsi="Times New Roman"/>
          <w:sz w:val="18"/>
          <w:szCs w:val="18"/>
          <w:u w:val="single" w:color="auto"/>
          <w:color w:val="auto"/>
        </w:rPr>
        <w:t>Foreign Registrar</w:t>
      </w:r>
      <w:r>
        <w:rPr>
          <w:rFonts w:ascii="Times New Roman" w:cs="Times New Roman" w:eastAsia="Times New Roman" w:hAnsi="Times New Roman"/>
          <w:sz w:val="18"/>
          <w:szCs w:val="18"/>
          <w:color w:val="auto"/>
        </w:rPr>
        <w:t>” shall mean the entity, if any, that carries out the duties of registrar for the Shares or any successor as registrar for the Shares and any other appointed agent of the Company for the transfer and registration of Shares or, if no such agent is so appointed and acting,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1.24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mean the person in whose name a Receipt is registered on the books of the Depositary (or the Registrar, if any) maintained for such purpose. A Holder may or may not be a Beneficial Owner. A Holder shall be deemed to have all requisite authority to act on behalf of those Beneficial Owners of the ADRs registered in such Holder’s name.</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1.25</w:t>
        <w:tab/>
        <w:t>“</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and “Indemnifying Person” shall have the respective meanings set forth in Section 5.8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Losses</w:t>
      </w:r>
      <w:r>
        <w:rPr>
          <w:rFonts w:ascii="Times New Roman" w:cs="Times New Roman" w:eastAsia="Times New Roman" w:hAnsi="Times New Roman"/>
          <w:sz w:val="17"/>
          <w:szCs w:val="17"/>
          <w:color w:val="auto"/>
        </w:rPr>
        <w:t>” shall have the meaning set forth in Section 5.8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08" w:name="page309"/>
    <w:bookmarkEnd w:id="308"/>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Memorandum</w:t>
      </w:r>
      <w:r>
        <w:rPr>
          <w:rFonts w:ascii="Times New Roman" w:cs="Times New Roman" w:eastAsia="Times New Roman" w:hAnsi="Times New Roman"/>
          <w:sz w:val="17"/>
          <w:szCs w:val="17"/>
          <w:color w:val="auto"/>
        </w:rPr>
        <w:t>” shall mean the memorandum of association of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1.28 “</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shall mean a written opinion from legal counsel to the Company who is acceptable to the Depositary.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1.29 “</w:t>
      </w:r>
      <w:r>
        <w:rPr>
          <w:rFonts w:ascii="Times New Roman" w:cs="Times New Roman" w:eastAsia="Times New Roman" w:hAnsi="Times New Roman"/>
          <w:sz w:val="18"/>
          <w:szCs w:val="18"/>
          <w:u w:val="single" w:color="auto"/>
          <w:color w:val="auto"/>
        </w:rPr>
        <w:t>Receipt(s)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American Depositary Receipt(s)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shall mean the certificate(s) or statement(s) issued by the Depositary evidencing the American Depositary Shares issued under the terms of this Deposit Agreement, as such Receipts may be amended from time to time in accordance with the provisions of this Deposit Agreement. References to Receipts shall include physical certificated Receipts as well as ADSs issued through any book-entry system, including, without limitation, DRS/Profile, unless the context otherwise requires.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1.30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shall mean the Depositary or any bank or trust company having an office in the Borough of Manhattan, The City of New York, which shall be appointed by the Depositary to register ownership of Receipts and transfer of Receipts as herein provided, and shall include any co-registrar appointed by the Depositary for such purposes. Registrars (other than the Depositary) may be removed and substitutes appointed by the Depositary.</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ADRs</w:t>
      </w:r>
      <w:r>
        <w:rPr>
          <w:rFonts w:ascii="Times New Roman" w:cs="Times New Roman" w:eastAsia="Times New Roman" w:hAnsi="Times New Roman"/>
          <w:sz w:val="17"/>
          <w:szCs w:val="17"/>
          <w:color w:val="auto"/>
        </w:rPr>
        <w:t>” shall have the meaning set forth in Section 2.11 hereof.</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ADSs</w:t>
      </w:r>
      <w:r>
        <w:rPr>
          <w:rFonts w:ascii="Times New Roman" w:cs="Times New Roman" w:eastAsia="Times New Roman" w:hAnsi="Times New Roman"/>
          <w:sz w:val="17"/>
          <w:szCs w:val="17"/>
          <w:color w:val="auto"/>
        </w:rPr>
        <w:t>” shall have the meaning set forth in Section 2.11 hereof.</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1.33 “</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shall mean Shares which (i) have been acquired directly or indirectly from the Company or any of its Affiliates in a transaction or chain of transactions not involving any public offering and subject to resale limitations under the Securities Act or the rules issued thereunder, or (ii) are held by an officer or director (or persons performing similar functions) or other Affiliate of the Company or (iii) are subject to other restrictions on sale or deposit under the laws of the United States or the Cayman Islands, under a shareholders’ agreement, shareholders’ lock-up agreement or the Articles of Association or under the regulations of an applicable securities exchange unless, in each case, such Shares are being sold to persons other than an Affiliate of the Company in a transaction (x) covered by an effective resale registration statement or (y) exempt from the registration requirements of the Securities Act (as hereafter defined) and the Shares are not, when held by such person, Restricted Securities.</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1.34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Shares</w:t>
      </w:r>
      <w:r>
        <w:rPr>
          <w:rFonts w:ascii="Times New Roman" w:cs="Times New Roman" w:eastAsia="Times New Roman" w:hAnsi="Times New Roman"/>
          <w:sz w:val="17"/>
          <w:szCs w:val="17"/>
          <w:color w:val="auto"/>
        </w:rPr>
        <w:t>” shall have the meaning set forth in Section 2.11 hereof.</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shall mean the United States Securities Act of 1933, as from time to time amended.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1.36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ordinary shares in registered form of the Company, par value $0.00001 each, heretofore or hereafter validly issued and outstanding and fully paid. References to Shares shall include evidence of rights to receive Shares, whether or not stated in the particular instance; provided, however, that in no event shall Shares include evidence of rights to receive Shares with respect to which the full purchase price has not been paid or Shares as to which pre-emptive rights have theretofore not been validly waived or exercised; provided further, however, that, if there shall occur any change in par value, split-up, consolidation, reclassification, exchange, conversion or any other event described in Section 4.9 hereof in respect of the Shares, the term “Shares” shall thereafter, to the extent permitted by law, represent the successor securities resulting from such change in par value, split-up, consolidation, reclassification, exchange, conversion or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09" w:name="page310"/>
    <w:bookmarkEnd w:id="309"/>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United States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U.S.</w:t>
      </w:r>
      <w:r>
        <w:rPr>
          <w:rFonts w:ascii="Times New Roman" w:cs="Times New Roman" w:eastAsia="Times New Roman" w:hAnsi="Times New Roman"/>
          <w:sz w:val="17"/>
          <w:szCs w:val="17"/>
          <w:color w:val="auto"/>
        </w:rPr>
        <w:t>” shall mean the United States of America.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left="1000" w:right="340"/>
        <w:spacing w:after="0" w:line="286" w:lineRule="auto"/>
        <w:rPr>
          <w:sz w:val="20"/>
          <w:szCs w:val="20"/>
          <w:color w:val="auto"/>
        </w:rPr>
      </w:pPr>
      <w:r>
        <w:rPr>
          <w:rFonts w:ascii="Times New Roman" w:cs="Times New Roman" w:eastAsia="Times New Roman" w:hAnsi="Times New Roman"/>
          <w:sz w:val="18"/>
          <w:szCs w:val="18"/>
          <w:b w:val="1"/>
          <w:bCs w:val="1"/>
          <w:color w:val="auto"/>
        </w:rPr>
        <w:t>APPOINTMENT OF DEPOSITARY; FORM OF RECEIPT; DEPOSIT OF SHARES; EXECUTION AND DELIVERY, TRANSFER AND SURRENDER OF RECEIPTS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Appointment of Depositary</w:t>
      </w:r>
      <w:r>
        <w:rPr>
          <w:rFonts w:ascii="Times New Roman" w:cs="Times New Roman" w:eastAsia="Times New Roman" w:hAnsi="Times New Roman"/>
          <w:sz w:val="18"/>
          <w:szCs w:val="18"/>
          <w:color w:val="auto"/>
        </w:rPr>
        <w:t>. The Company hereby appoints the Depositary as exclusive depositary for the Deposited Securities and hereby authorizes and directs the Depositary to act in accordance with the terms set forth in this Deposit Agreement. Each Holder and each Beneficial Owner, upon acceptance of any ADSs (or any interest therein) issued in accordance with the terms of this Deposit Agreement, shall be deemed for all purposes to (a) be a party to and bound by the terms of this Deposit Agreement and the applicable ADR(s) and (b) appoint the Depositary its attorney-in-fact, with full power to delegate, to act on its behalf and to take any and all actions contemplated in this Deposit Agreement and the applicable ADR(s), to adopt any and all procedures necessary to comply with applicable law and to take such action as the Depositary in its sole discretion may deem necessary or appropriate to carry out the purposes of this Deposit Agreement and the applicable ADR(s) (the taking of such actions to be the conclusive determinant of the necessity and appropriateness thereof).</w:t>
      </w:r>
    </w:p>
    <w:p>
      <w:pPr>
        <w:spacing w:after="0" w:line="1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u w:val="single" w:color="auto"/>
          <w:color w:val="auto"/>
        </w:rPr>
        <w:t>Form and Transferability of Receipts.</w:t>
      </w:r>
    </w:p>
    <w:p>
      <w:pPr>
        <w:spacing w:after="0" w:line="225" w:lineRule="exact"/>
        <w:rPr>
          <w:sz w:val="20"/>
          <w:szCs w:val="20"/>
          <w:color w:val="auto"/>
        </w:rPr>
      </w:pPr>
    </w:p>
    <w:p>
      <w:pPr>
        <w:jc w:val="both"/>
        <w:ind w:firstLine="1304"/>
        <w:spacing w:after="0" w:line="253" w:lineRule="auto"/>
        <w:tabs>
          <w:tab w:leader="none" w:pos="194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w:t>
      </w:r>
      <w:r>
        <w:rPr>
          <w:rFonts w:ascii="Times New Roman" w:cs="Times New Roman" w:eastAsia="Times New Roman" w:hAnsi="Times New Roman"/>
          <w:sz w:val="18"/>
          <w:szCs w:val="18"/>
          <w:color w:val="auto"/>
        </w:rPr>
        <w:t xml:space="preserve">. Receipts in certificated form shall be substantially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annexed to this Deposit Agreement, with appropriate insertions, modifications and omissions, as hereinafter provided. Receipts may be issued in denominations of any number of American Depositary Shares. No Receipt in certificated form shall be entitled to any benefits under this Deposit Agreement or be valid or obligatory for any purpose, unless such Receipt shall have been dated and signed by the manual or facsimile signature of a duly authorized signatory of the Depositary. The Depositary shall maintain books on which each Receipt so executed and Delivered, in the case of Receipts in certificated form, and each Receipt issued through any book-entry system, including, without limitation, DRS/Profile, in either case as hereinafter provided, and the transfer of each such Receipt shall be registered. Receipts in certificated form bearing the manual or facsimile signature of a duly authorized signatory of the Depositary who was at any time a proper signatory of the Depositary shall bind the Depositary, notwithstanding the fact that such signatory has ceased to hold such office prior to the execution and Delivery of such Receipts by the Registrar or did not hold such office on the date of issuance of such Receipts.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Deposit Agreement or in the form of Receipt to the contrary, to the extent available by the Depositary, ADSs shall be evidenced by Receipts issued through any book-entry system, including, without limitation, DRS/Profile, unless certificated Receipts are specifically requested by the Holder. Holders and Beneficial Owners shall be bound by the terms and conditions of this Deposit Agreement and of the form of Receipt, regardless of whether their Receipts are in certificated form or are issued through any book-entry system, including, without limitation, DRS/Profile.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10" w:name="page311"/>
    <w:bookmarkEnd w:id="310"/>
    <w:p>
      <w:pPr>
        <w:jc w:val="both"/>
        <w:ind w:left="-460" w:firstLine="980"/>
        <w:spacing w:after="0" w:line="233" w:lineRule="auto"/>
        <w:tabs>
          <w:tab w:leader="none" w:pos="83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In addition to the foregoing, the Receipts may, and upon the written request of the Company shall, be endorsed with, or have incorporated in the text thereof, such legends or recitals or modifications not inconsistent with the provisions of this Deposit Agreement as may be (i) necessary to enable the Depositary and the Company to perform their respective obligations hereunder, (ii) 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64" w:lineRule="exact"/>
        <w:rPr>
          <w:rFonts w:ascii="Times New Roman" w:cs="Times New Roman" w:eastAsia="Times New Roman" w:hAnsi="Times New Roman"/>
          <w:sz w:val="18"/>
          <w:szCs w:val="18"/>
          <w:color w:val="auto"/>
        </w:rPr>
      </w:pPr>
    </w:p>
    <w:p>
      <w:pPr>
        <w:jc w:val="both"/>
        <w:ind w:left="-460" w:firstLine="980"/>
        <w:spacing w:after="0" w:line="235" w:lineRule="auto"/>
        <w:tabs>
          <w:tab w:leader="none" w:pos="83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Subject to the limitations contained herein and in the form of Receipt, title to a Receipt (and to the ADSs evidenced thereby), when properly endorsed (in the case of certificated Receipts) or upon delivery to the Depositary of proper instruments of transfer, shall be transferable by delivery with the same effect as in the case of a negotiable instrument under the laws of the State of New York; provided, however, that the Depositary, notwithstanding any notice to the contrary, may treat the Holder thereof as the absolute owner thereof for the purpose of determining the person entitled to distribution of dividends or other distributions or to any notice provided for in this Deposit Agreement and for all other purposes and neither the Depositary nor the Company will have any obligation or be subject to any liability under this Deposit Agreement to any holder of a Receipt, unless such holder is the Holder thereof.</w:t>
      </w:r>
    </w:p>
    <w:p>
      <w:pPr>
        <w:spacing w:after="0" w:line="161"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u w:val="single" w:color="auto"/>
          <w:color w:val="auto"/>
        </w:rPr>
        <w:t>Deposits.</w:t>
      </w:r>
    </w:p>
    <w:p>
      <w:pPr>
        <w:spacing w:after="0" w:line="198" w:lineRule="exact"/>
        <w:rPr>
          <w:sz w:val="20"/>
          <w:szCs w:val="20"/>
          <w:color w:val="auto"/>
        </w:rPr>
      </w:pPr>
    </w:p>
    <w:p>
      <w:pPr>
        <w:jc w:val="both"/>
        <w:ind w:left="-460" w:firstLine="980"/>
        <w:spacing w:after="0" w:line="230" w:lineRule="auto"/>
        <w:tabs>
          <w:tab w:leader="none" w:pos="83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Deposit Agreement and applicable law, Shares or evidence of rights to receive Shares may be deposited by any person (including the Depositary in its individual capacity but subject, however, in the case of the Company or any Affiliate of the Company, to Section 5.7 hereof) at any time beginning on the date that is six months after the date of the Closing as defined in the registration statement on Form F-4 or on such earlier date as the Company may specify in writing to the Depositary, whether or not the transfer books of the Company or the Foreign Registrar, if any, are closed, by Delivery of the Shares to the Custodian. Except for Shares deposited by the Company in connection with the initial sale of ADSs under the registration statement on Form F-4, no deposit of Shares shall be accepted under this Deposit Agreement prior to such date. Every deposit of Shares shall be accompanied by the following: (A)(i) in the case of Shares represented by certificates issued in registered form, appropriate instruments of transfer or endorsement, in a form satisfactory to the Custodian, (ii) in the case of Shares represented by certificates issued in bearer form, such Shares or the certificates representing such Shares and (iii) in the case of Shares Delivered by book- entry transfer, confirmation of such book-entry transfer to the Custodian or that irrevocable instructions have been given to cause such Shares to be so transferred,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this Deposit Agreement or as may be deemed by them to be appropriate in the circumstances, (C) if the Depositary so requires, a written order directing the Depositary to execute and Deliver to, or upon the written order of, the person or persons stated in such order a Receipt or Receipts for the number of American Depositary Shares representing the Shares so deposited, (D) evidence satisfactory to the Depositary (which may include an opinion of counsel reasonably satisfactory to the Depositary provided at the cost of the person seeking to deposit Shares) that all conditions to such deposit have been met and all necessary approvals have been granted by, and there has been compliance with the rules and regulations of, any applicable governmental agency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 No Share shall be accepted for deposit unless accompanied by confirmation or such additional evidence, if any is required by the Depositary, that is reasonably satisfactory to the Depositary or the Custodian that all conditions to such deposit have been satisfied by the person depositing such Shares under the laws and regulations of the Cayman Islands and any necessary approval has been granted by any governmental body in the Cayman Islands, if any, which is then performing the function of the regulator of currency exchange. The Depositary may issue Receipts against evidence of rights to receive Shares from the Company, any agent of the Company or any custodian, registrar, transfer agent, clearing agency or other entity involved in ownership or transaction records in respect of the Shares. Without limitation of the foregoing, the Depositary shall not knowingly accept for deposit under this Deposit Agreement any Shares or other Deposited Securities required to be registered under the provisions of the Securities Act, unless a registration statement is in effect as to such Shares or other Deposited Securities, or any Shares or other Deposited Securities the deposit of which would violate any provisions of the Memorandum and Articles of Association. The Depositary shall use commercially reasonable efforts to comply with reasonable written instructions of the Company that the Depositary shall not accept for deposit hereunder any Shares specifically identified in such instructions at such times and under such circumstances as may reasonably be specified in such instructions in order to facilitate the Company’s compliance with the securities laws in the United States and other jurisdictions, provided that the Company shall indemnify the Depositary and the Custodian for any claims and losses arising from not accepting the deposit of any Shares identified in the Company’s instructions.</w:t>
      </w:r>
    </w:p>
    <w:p>
      <w:pPr>
        <w:sectPr>
          <w:pgSz w:w="11900" w:h="16838" w:orient="portrait"/>
          <w:cols w:equalWidth="0" w:num="1">
            <w:col w:w="9460"/>
          </w:cols>
          <w:pgMar w:left="1440" w:top="864" w:right="99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374650</wp:posOffset>
            </wp:positionV>
            <wp:extent cx="629221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4" w:right="999" w:bottom="1440" w:gutter="0" w:footer="0" w:header="0"/>
          <w:type w:val="continuous"/>
        </w:sectPr>
      </w:pPr>
    </w:p>
    <w:bookmarkStart w:id="311" w:name="page312"/>
    <w:bookmarkEnd w:id="311"/>
    <w:p>
      <w:pPr>
        <w:jc w:val="both"/>
        <w:ind w:firstLine="980"/>
        <w:spacing w:after="0" w:line="255" w:lineRule="auto"/>
        <w:tabs>
          <w:tab w:leader="none" w:pos="129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receipt of any permitted deposit hereunder and compliance with the provisions of this Deposit Agreement, the Custodian shall present the Shares so deposited, together with the appropriate instrument or instruments of transfer or endorsement, duly stamped, to the Foreign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in each case for the account of the Holders and Beneficial Owners, at such place or places as the Depositary or the Custodian shall determine.</w:t>
      </w:r>
    </w:p>
    <w:p>
      <w:pPr>
        <w:spacing w:after="0" w:line="188" w:lineRule="exact"/>
        <w:rPr>
          <w:rFonts w:ascii="Times New Roman" w:cs="Times New Roman" w:eastAsia="Times New Roman" w:hAnsi="Times New Roman"/>
          <w:sz w:val="18"/>
          <w:szCs w:val="18"/>
          <w:color w:val="auto"/>
        </w:rPr>
      </w:pPr>
    </w:p>
    <w:p>
      <w:pPr>
        <w:jc w:val="both"/>
        <w:ind w:firstLine="980"/>
        <w:spacing w:after="0" w:line="254" w:lineRule="auto"/>
        <w:tabs>
          <w:tab w:leader="none" w:pos="129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Shares are deposited which entitle the holders thereof to receive a per-share distribution or other entitlement in an amount different from the Shares then on deposit, the Depositary is authorized to take any and all actions as may be necessary (including, without limitation, making the necessary notations on Receipts) to give effect to the issuance of such ADSs and to ensure that such ADSs are not fungible with other ADSs issued hereunder until such time as the entitlement of the Shares represented by such non-fungible ADSs equals that of the Shares represented by ADSs prior to such deposit. The Company agrees to give timely written notice to the Depositary if any Shares issued or to be issued contain rights different from those of any other Shares theretofore issued and shall assist the Depositary with the establishment of procedures enabling the identification of such non-fungible Shares upon Delivery to the Custodian.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12" w:name="page313"/>
    <w:bookmarkEnd w:id="31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Execution and Delivery of Receipts</w:t>
      </w:r>
      <w:r>
        <w:rPr>
          <w:rFonts w:ascii="Times New Roman" w:cs="Times New Roman" w:eastAsia="Times New Roman" w:hAnsi="Times New Roman"/>
          <w:sz w:val="18"/>
          <w:szCs w:val="18"/>
          <w:color w:val="auto"/>
        </w:rPr>
        <w:t>. After the deposit of any Shares pursuant to Section 2.3 hereof, the Custodian shall notify the Depositary of such deposit and the person or persons to whom or upon whose written order a Receipt or Receipts are Deliverable in respect thereof and the number of American Depositary Shares to be evidenced thereby. Such notification shall be made by letter, first class airmail postage prepaid, or, at the request, risk and expense of the person making the deposit, by cable, telex, SWIFT, facsimile or electronic transmission. After receiving such notice from the Custodian, the Depositary, subject to this Deposit Agreement (including, without limitation, the payment of the fees, expenses, taxes and/or other charges owing hereunder), shall issue the ADSs representing the Shares so deposited to or upon the order of the person or persons named in the notice delivered to the Depositary and shall execute and Deliver a Receipt registered in the name or names requested by such person or persons evidencing in the aggregate the number of American Depositary Shares to which such person or persons are entitled.</w:t>
      </w:r>
    </w:p>
    <w:p>
      <w:pPr>
        <w:spacing w:after="0" w:line="1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u w:val="single" w:color="auto"/>
          <w:color w:val="auto"/>
        </w:rPr>
        <w:t>Transfer of Receipts; Combination and Split-up of Receipts.</w:t>
      </w:r>
    </w:p>
    <w:p>
      <w:pPr>
        <w:spacing w:after="0" w:line="225" w:lineRule="exact"/>
        <w:rPr>
          <w:sz w:val="20"/>
          <w:szCs w:val="20"/>
          <w:color w:val="auto"/>
        </w:rPr>
      </w:pPr>
    </w:p>
    <w:p>
      <w:pPr>
        <w:jc w:val="both"/>
        <w:ind w:firstLine="980"/>
        <w:spacing w:after="0" w:line="253" w:lineRule="auto"/>
        <w:tabs>
          <w:tab w:leader="none" w:pos="129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The Depositary, or, if a Registrar (other than the Depositary) for the Receipts shall have been appointed, the Registrar, subject to the terms and conditions of this Deposit Agreement, shall register transfers of Receipts on its books, upon surrender at the Corporate Trust Office of the Depositary of a Receipt by the Holder thereof in person or by duly authorized attorney, properly endorsed in the case of a certificated Receipt or accompanied by, or in the case of Receipts issued through any book-entry system, including, without limitation, DRS/Profile, receipt by the Depositary of, proper instruments of transfer (including signature guarantees in accordance with standard industry practice) and duly stamped as may be required by the laws of the State of New York, of the United States , of the Cayman Islands and of any other applicable jurisdiction. Subject to the terms and conditions of this Deposit Agreement, including payment of the applicable fees and charges of the Depositary set forth in Section 5.9 hereof and Article (9) of the Receipt, the Depositary shall execute a new Receipt or Receipts and Deliver the same to or upon the order of the person entitled thereto evidencing the same aggregate number of American Depositary Shares as those evidenced by the Receipts surrendered.</w:t>
      </w:r>
    </w:p>
    <w:p>
      <w:pPr>
        <w:spacing w:after="0" w:line="194" w:lineRule="exact"/>
        <w:rPr>
          <w:rFonts w:ascii="Times New Roman" w:cs="Times New Roman" w:eastAsia="Times New Roman" w:hAnsi="Times New Roman"/>
          <w:sz w:val="18"/>
          <w:szCs w:val="18"/>
          <w:color w:val="auto"/>
        </w:rPr>
      </w:pPr>
    </w:p>
    <w:p>
      <w:pPr>
        <w:jc w:val="both"/>
        <w:ind w:firstLine="980"/>
        <w:spacing w:after="0" w:line="258" w:lineRule="auto"/>
        <w:tabs>
          <w:tab w:leader="none" w:pos="129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Combination and Split Up</w:t>
      </w:r>
      <w:r>
        <w:rPr>
          <w:rFonts w:ascii="Times New Roman" w:cs="Times New Roman" w:eastAsia="Times New Roman" w:hAnsi="Times New Roman"/>
          <w:sz w:val="18"/>
          <w:szCs w:val="18"/>
          <w:color w:val="auto"/>
        </w:rPr>
        <w:t>. The Depositary, subject to the terms and conditions of this Deposit Agreement shall, upon surrender of a Receipt or Receipts for the purpose of effecting a split-up or combination of such Receipt or Receipts and upon payment to the Depositary of the applicable fees and charges set forth in Section 5.9 hereof and Article (9) of the Receipt, execute and Deliver a new Receipt or Receipts for any authorized number of American Depositary Shares requested, evidencing the same aggregate number of American Depositary Shares as the Receipt or Receipts surrendered.</w:t>
      </w:r>
    </w:p>
    <w:p>
      <w:pPr>
        <w:spacing w:after="0" w:line="183" w:lineRule="exact"/>
        <w:rPr>
          <w:rFonts w:ascii="Times New Roman" w:cs="Times New Roman" w:eastAsia="Times New Roman" w:hAnsi="Times New Roman"/>
          <w:sz w:val="18"/>
          <w:szCs w:val="18"/>
          <w:color w:val="auto"/>
        </w:rPr>
      </w:pPr>
    </w:p>
    <w:p>
      <w:pPr>
        <w:jc w:val="both"/>
        <w:ind w:firstLine="980"/>
        <w:spacing w:after="0" w:line="255" w:lineRule="auto"/>
        <w:tabs>
          <w:tab w:leader="none" w:pos="129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Co-Transfer Agents</w:t>
      </w:r>
      <w:r>
        <w:rPr>
          <w:rFonts w:ascii="Times New Roman" w:cs="Times New Roman" w:eastAsia="Times New Roman" w:hAnsi="Times New Roman"/>
          <w:sz w:val="18"/>
          <w:szCs w:val="18"/>
          <w:color w:val="auto"/>
        </w:rPr>
        <w:t>. The Depositary may appoint one or more co-transfer agents for the purpose of effecting transfers, combinations and split-ups of Receipts at designated transfer offices on behalf of the Depositary. In carrying out its functions, a co-transfer agent may require evidence of authority and compliance with applicable laws and other requirements by Holders or persons entitled to such Receipts and will be entitled to protection and indemnity, in each case to the same extent as the Depositary. Such co-transfer agents may be removed and substitutes appointed by the Depositary. Each co-transfer agent appointed under this Section 2.5 (other than the Depositary) shall give notice in writing to the Depositary accepting such appointment and agreeing to be bound by the applicable terms of this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13" w:name="page314"/>
    <w:bookmarkEnd w:id="313"/>
    <w:p>
      <w:pPr>
        <w:jc w:val="both"/>
        <w:ind w:firstLine="980"/>
        <w:spacing w:after="0" w:line="261" w:lineRule="auto"/>
        <w:tabs>
          <w:tab w:leader="none" w:pos="129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Substitution of Receipts</w:t>
      </w:r>
      <w:r>
        <w:rPr>
          <w:rFonts w:ascii="Times New Roman" w:cs="Times New Roman" w:eastAsia="Times New Roman" w:hAnsi="Times New Roman"/>
          <w:sz w:val="18"/>
          <w:szCs w:val="18"/>
          <w:color w:val="auto"/>
        </w:rPr>
        <w:t>. At the request of a Holder, the Depositary shall, for the purpose of substituting a certificated Receipt with a Receipt issued through any book-entry system, including, without limitation, DRS/Profile, or vice versa, execute and Deliver a certificated Receipt or deliver a statement, as the case may be, for any authorized number of ADSs requested, evidencing the same aggregate number of ADSs as those evidenced by the relevant Receipt.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Surrender of Receipts and Withdrawal of Deposited Securities</w:t>
      </w:r>
      <w:r>
        <w:rPr>
          <w:rFonts w:ascii="Times New Roman" w:cs="Times New Roman" w:eastAsia="Times New Roman" w:hAnsi="Times New Roman"/>
          <w:sz w:val="18"/>
          <w:szCs w:val="18"/>
          <w:color w:val="auto"/>
        </w:rPr>
        <w:t>. Upon surrender, at the Corporate Trust Office of the Depositary, of American Depositary Shares for the purpose of withdrawal of the Deposited Securities represented thereby, and upon payment of (i) the fees and charges of the Depositary for the making of withdrawals of Deposited Securities and cancellation of Receipts (as set forth in Section 5.9 hereof and Article (9) of the Receipt) and (ii) all fees, taxes and/or governmental charges payable in connection with such surrender and withdrawal, and subject to the terms and conditions of this Deposit Agreement, the Memorandum and Articles of Association, Section 7.11 hereof and any other provisions of or governing the Deposited Securities and other applicable laws, the Holder of such American Depositary Shares shall be entitled to Delivery, to him or upon his order, of the Deposited Securities at the time represented by the American Depositary Shares so surrendered. American Depositary Shares may be surrendered for the purpose of withdrawing Deposited Securities by Delivery of a Receipt evidencing such American Depositary Shares (if held in certificated form) or by book-entry Delivery of such American Depositary Shares to the Depositary.</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Receipt surrendered for such purposes shall, if so required by the Depositary, be properly endorsed in blank or accompanied by proper instruments of transfer in blank, and if the Depositary so requires, the Holder thereof shall execute and deliver to the Depositary a written order directing the Depositary to cause the Deposited Securities being withdrawn to be Delivered to or upon the written order of a person or persons designated in such order. Thereupon, the Depositary shall direct the Custodian to Deliver (without unreasonable delay) at the designated office of the Custodian or through a book-entry delivery of the Shares (in either case, subject to Sections 2.7, 3.1, 3.2, 5.9, hereof and to the other terms and conditions of this Deposit Agreement, to the Memorandum and Articles of Association, and to the provisions of or governing the Deposited Securities and applicable laws, now or hereafter in effect) to or upon the written order of the person or persons designated in the order delivered to the Depositary as provided above, the Deposited Securities represented by such American Depositary Shares, together with any certificate or other proper documents of or relating to title of the Deposited Securities as may be legally required, as the case may be, to or for the account of such person.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Depositary may refuse to accept for surrender American Depositary Shares only in the circumstances described in Article (4) of the Receipt. Subject thereto, in the case of surrender of a Receipt evidencing a number of American Depositary Shares representing other than a whole number of Shares, the Depositary shall cause ownership of the appropriate whole number of Shares to be Delivered in accordance with the terms hereof, and shall, at the discretion of the Depositary, either (i) issue and Deliver to the person surrendering such Receipt a new Receipt evidencing American Depositary Shares representing any remaining fractional Share, or (ii) sell or cause to be sold the fractional Shares represented by the Receipt surrendered and remit the proceeds of such sale (net of (a) applicable fees and charges of, and expenses incurred by, the Depositary and/or a division or Affiliate(s) of the Depositary and (b) taxes and/or governmental charges) to the person surrendering the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14" w:name="page315"/>
    <w:bookmarkEnd w:id="314"/>
    <w:p>
      <w:pPr>
        <w:jc w:val="both"/>
        <w:spacing w:after="0" w:line="254" w:lineRule="auto"/>
        <w:rPr>
          <w:sz w:val="20"/>
          <w:szCs w:val="20"/>
          <w:color w:val="auto"/>
        </w:rPr>
      </w:pPr>
      <w:r>
        <w:rPr>
          <w:rFonts w:ascii="Times New Roman" w:cs="Times New Roman" w:eastAsia="Times New Roman" w:hAnsi="Times New Roman"/>
          <w:sz w:val="18"/>
          <w:szCs w:val="18"/>
          <w:color w:val="auto"/>
        </w:rPr>
        <w:t>At the request, risk and expense of any Holder so surrendering a Receipt, and for the account of such Holder, the Depositary shall direct the Custodian to forward (to the extent permitted by law) any cash or other property (other than securities) held in respect of, and any certificate or certificates and other proper documents of or relating to title to, the Deposited Securities represented by such Receipt to the Depositary for delivery at the Corporate Trust Office of the Depositary, and for further Delivery to such Holder. Such direction shall be given by letter or, at the request, risk and expense of such Holder, by cable, telex or facsimile transmission. Upon receipt by the Depositary of such direction, the Depositary may make delivery to such person or persons entitled thereto at the Corporate Trust Office of the Depositary of any dividends or cash distributions with respect to the Deposited Securities represented by such American Depositary Shares, or of any proceeds of sale of any dividends, distributions or rights, which may at the time be held by the Depositary.</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7"/>
          <w:szCs w:val="17"/>
          <w:u w:val="single" w:color="auto"/>
          <w:color w:val="auto"/>
        </w:rPr>
        <w:t>Limitations on Execution and Delivery, Transfer, etc. of Receipts; Suspension of Delivery, Transfer, etc.</w:t>
      </w:r>
    </w:p>
    <w:p>
      <w:pPr>
        <w:spacing w:after="0" w:line="225" w:lineRule="exact"/>
        <w:rPr>
          <w:sz w:val="20"/>
          <w:szCs w:val="20"/>
          <w:color w:val="auto"/>
        </w:rPr>
      </w:pPr>
    </w:p>
    <w:p>
      <w:pPr>
        <w:jc w:val="both"/>
        <w:ind w:firstLine="980"/>
        <w:spacing w:after="0" w:line="253" w:lineRule="auto"/>
        <w:tabs>
          <w:tab w:leader="none" w:pos="129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Requirements.</w:t>
      </w:r>
      <w:r>
        <w:rPr>
          <w:rFonts w:ascii="Times New Roman" w:cs="Times New Roman" w:eastAsia="Times New Roman" w:hAnsi="Times New Roman"/>
          <w:sz w:val="18"/>
          <w:szCs w:val="18"/>
          <w:color w:val="auto"/>
        </w:rPr>
        <w:t xml:space="preserve"> As a condition precedent to the execution and Delivery, registration, registration of transfer, split-up, subdivision, combination or surrender of any Receipt, the Delivery of any distribution thereon (whether in cash or shares) or withdrawal of any Deposited Securities, the Depositary or the Custodian may require (i) payment from the depositor of Shares or presenter of the Receipt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hereof and Article (9) of the Receipt hereto, (ii) the production of proof satisfactory to it as to the identity and genuineness of any signature or any other matter contemplated by Section 3.1 hereof and (iii) compliance with (A) any laws or governmental regulations relating to the execution and Delivery of Receipts or American Depositary Shares or to the withdrawal or Delivery of Deposited Securities and (B) such reasonable regulations and procedures as the Depositary may establish consistent with the provisions of this Deposit Agreement and applicable law.</w:t>
      </w:r>
    </w:p>
    <w:p>
      <w:pPr>
        <w:spacing w:after="0" w:line="194" w:lineRule="exact"/>
        <w:rPr>
          <w:rFonts w:ascii="Times New Roman" w:cs="Times New Roman" w:eastAsia="Times New Roman" w:hAnsi="Times New Roman"/>
          <w:sz w:val="18"/>
          <w:szCs w:val="18"/>
          <w:color w:val="auto"/>
        </w:rPr>
      </w:pPr>
    </w:p>
    <w:p>
      <w:pPr>
        <w:jc w:val="both"/>
        <w:ind w:firstLine="980"/>
        <w:spacing w:after="0" w:line="254" w:lineRule="auto"/>
        <w:tabs>
          <w:tab w:leader="none" w:pos="129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Limitations</w:t>
      </w:r>
      <w:r>
        <w:rPr>
          <w:rFonts w:ascii="Times New Roman" w:cs="Times New Roman" w:eastAsia="Times New Roman" w:hAnsi="Times New Roman"/>
          <w:sz w:val="18"/>
          <w:szCs w:val="18"/>
          <w:color w:val="auto"/>
        </w:rPr>
        <w:t>. The issuance of ADSs against deposits of Shares generally or against deposits of particular Shares may be suspended, or the issuance of ADSs against the deposit of particular Shares may be withheld, or the registration of transfer of Receipts in particular instances may be refused, or the registration of transfers of Receipts generally may be suspended, during any period when the transfer books of the Depositary are closed or if any such action is deemed necessary or advisable by the Depositary or the Company, in good faith, at any time or from time to time because of any requirement of law, any government or governmental body or commission or any securities exchange on which the Receipts or Shares are listed, or under any provision of this Deposit Agreement or provisions of, or governing, the Deposited Securities, or any meeting of shareholders of the Company or for any other reason, subject, in all cases, to Section 7.11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15" w:name="page316"/>
    <w:bookmarkEnd w:id="315"/>
    <w:p>
      <w:pPr>
        <w:ind w:left="980"/>
        <w:spacing w:after="0"/>
        <w:rPr>
          <w:sz w:val="20"/>
          <w:szCs w:val="20"/>
          <w:color w:val="auto"/>
        </w:rPr>
      </w:pPr>
      <w:r>
        <w:rPr>
          <w:rFonts w:ascii="Times New Roman" w:cs="Times New Roman" w:eastAsia="Times New Roman" w:hAnsi="Times New Roman"/>
          <w:sz w:val="18"/>
          <w:szCs w:val="18"/>
          <w:color w:val="auto"/>
        </w:rPr>
        <w:t>(c)  The Depositary shall not issue ADSs prior to the receipt of Shares or deliver Shares prior to the receipt and cancellation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ADSs.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Lost Receipts, etc</w:t>
      </w:r>
      <w:r>
        <w:rPr>
          <w:rFonts w:ascii="Times New Roman" w:cs="Times New Roman" w:eastAsia="Times New Roman" w:hAnsi="Times New Roman"/>
          <w:sz w:val="18"/>
          <w:szCs w:val="18"/>
          <w:color w:val="auto"/>
        </w:rPr>
        <w:t>. To the extent the Depositary has issued Receipts in physical certificated form, in case any Receipt shall be mutilated, destroyed, lost or stolen, unless the Depositary has notice that such ADR has been acquired by a bona fide purchaser, subject to Section 5.9 hereof, the Depositary shall execute and Deliver a new Receipt (which, in the discretion of the Depositary may be issued through any book-entry system, including, without limitation, DRS/Profile, unless specifically requested otherwise) in exchange and substitution for such mutilated Receipt upon cancellation thereof, or in lieu of and in substitution for such destroyed, lost or stolen Receipt. Before the Depositary shall execute and Deliver a new Receipt in substitution for a destroyed, lost or stolen Receipt, the Holder thereof shall have (a) filed with the Depositary (i) a request for such execution and Delivery before the Depositary has notice that the Receipt has been acquired by a bona fide purchaser and (ii) a sufficient indemnity bond in form and amount acceptable to the Depositary and (b) satisfied any other reasonable requirements imposed by the Depositary.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Cancellation and Destruction of Surrendered Receipts</w:t>
      </w:r>
      <w:r>
        <w:rPr>
          <w:rFonts w:ascii="Times New Roman" w:cs="Times New Roman" w:eastAsia="Times New Roman" w:hAnsi="Times New Roman"/>
          <w:sz w:val="18"/>
          <w:szCs w:val="18"/>
          <w:color w:val="auto"/>
        </w:rPr>
        <w:t>. All Receipts surrendered to the Depositary shall be cancelled by the Depositary. The Depositary is authorized to destroy Receipts so cancelled in accordance with its customary practices. Cancelled Receipts shall not be entitled to any benefits under this Deposit Agreement or be valid or obligatory for any purpose.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Maintenance of Records</w:t>
      </w:r>
      <w:r>
        <w:rPr>
          <w:rFonts w:ascii="Times New Roman" w:cs="Times New Roman" w:eastAsia="Times New Roman" w:hAnsi="Times New Roman"/>
          <w:sz w:val="18"/>
          <w:szCs w:val="18"/>
          <w:color w:val="auto"/>
        </w:rPr>
        <w:t>. The Depositary agrees to maintain records of all Receipts surrendered and Deposited Securities withdrawn under Section 2.6, substitute Receipts Delivered under Section 2.8 and cancelled or destroyed Receipts under Section 2.9, in keeping with the procedures ordinarily followed by stock transfer agents located in the United States.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Restricted ADSs</w:t>
      </w:r>
      <w:r>
        <w:rPr>
          <w:rFonts w:ascii="Times New Roman" w:cs="Times New Roman" w:eastAsia="Times New Roman" w:hAnsi="Times New Roman"/>
          <w:sz w:val="18"/>
          <w:szCs w:val="18"/>
          <w:color w:val="auto"/>
        </w:rPr>
        <w:t>. At the request and expense of the Company, or at the request and expense of a holder of Shares and with the written consent of the Company, and notwithstanding anything to the contrary in this Deposit Agreement, the Depositary may establish procedures permitting a deposit of Shares that are or may be Restricted Securities (“</w:t>
      </w:r>
      <w:r>
        <w:rPr>
          <w:rFonts w:ascii="Times New Roman" w:cs="Times New Roman" w:eastAsia="Times New Roman" w:hAnsi="Times New Roman"/>
          <w:sz w:val="18"/>
          <w:szCs w:val="18"/>
          <w:b w:val="1"/>
          <w:bCs w:val="1"/>
          <w:color w:val="auto"/>
        </w:rPr>
        <w:t>Restricted Shares</w:t>
      </w:r>
      <w:r>
        <w:rPr>
          <w:rFonts w:ascii="Times New Roman" w:cs="Times New Roman" w:eastAsia="Times New Roman" w:hAnsi="Times New Roman"/>
          <w:sz w:val="18"/>
          <w:szCs w:val="18"/>
          <w:color w:val="auto"/>
        </w:rPr>
        <w:t>”) and the Delivery of restricted American Depositary Shares (“</w:t>
      </w:r>
      <w:r>
        <w:rPr>
          <w:rFonts w:ascii="Times New Roman" w:cs="Times New Roman" w:eastAsia="Times New Roman" w:hAnsi="Times New Roman"/>
          <w:sz w:val="18"/>
          <w:szCs w:val="18"/>
          <w:b w:val="1"/>
          <w:bCs w:val="1"/>
          <w:color w:val="auto"/>
        </w:rPr>
        <w:t>Restricted ADSs</w:t>
      </w:r>
      <w:r>
        <w:rPr>
          <w:rFonts w:ascii="Times New Roman" w:cs="Times New Roman" w:eastAsia="Times New Roman" w:hAnsi="Times New Roman"/>
          <w:sz w:val="18"/>
          <w:szCs w:val="18"/>
          <w:color w:val="auto"/>
        </w:rPr>
        <w:t>”, the ADRs evidencing such Restricted ADSs being the “</w:t>
      </w:r>
      <w:r>
        <w:rPr>
          <w:rFonts w:ascii="Times New Roman" w:cs="Times New Roman" w:eastAsia="Times New Roman" w:hAnsi="Times New Roman"/>
          <w:sz w:val="18"/>
          <w:szCs w:val="18"/>
          <w:b w:val="1"/>
          <w:bCs w:val="1"/>
          <w:color w:val="auto"/>
        </w:rPr>
        <w:t>Restricted ADRs</w:t>
      </w:r>
      <w:r>
        <w:rPr>
          <w:rFonts w:ascii="Times New Roman" w:cs="Times New Roman" w:eastAsia="Times New Roman" w:hAnsi="Times New Roman"/>
          <w:sz w:val="18"/>
          <w:szCs w:val="18"/>
          <w:color w:val="auto"/>
        </w:rPr>
        <w:t>”) representing those Restricted Shares as provided in this Section 2.11. Such procedures shall also govern the removal of the Restrictive Legend (as defined below) from Restricted ADRs, the transfer of Restricted ADRs and the Restricted ADSs evidenced thereby, and the cancellation of Restricted ADRs and withdrawal of Deposited Securities (including Restricted Shares).</w:t>
      </w:r>
    </w:p>
    <w:p>
      <w:pPr>
        <w:spacing w:after="0" w:line="189" w:lineRule="exact"/>
        <w:rPr>
          <w:sz w:val="20"/>
          <w:szCs w:val="20"/>
          <w:color w:val="auto"/>
        </w:rPr>
      </w:pPr>
    </w:p>
    <w:p>
      <w:pPr>
        <w:jc w:val="both"/>
        <w:ind w:firstLine="980"/>
        <w:spacing w:after="0" w:line="255" w:lineRule="auto"/>
        <w:tabs>
          <w:tab w:leader="none" w:pos="129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assist the Depositary in the establishment of such procedures and agrees that it shall take all steps necessary and reasonably satisfactory to the Depositary to ensure that deposits of Restricted Shares, issuances and transfers of Restricted ADRs and the Restricted ADSs evidenced thereby, and cancellations of Restricted ADRs and withdrawals of Deposited Securities (including Restricted Shares) pursuant to such procedures do not violate the provisions of the Securities Act or any other applicable laws. Depositors of Restricted Shares, holders and transferees of Restricted ADRs and the Restricted ADSs evidenced thereby, and the Company may be required to provide such written certifications and instructions as the Depositary or the Company deem necessary, as well as an appropriate Opinion of Counsel in the Cayman Islands and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16" w:name="page317"/>
    <w:bookmarkEnd w:id="316"/>
    <w:p>
      <w:pPr>
        <w:jc w:val="both"/>
        <w:ind w:firstLine="980"/>
        <w:spacing w:after="0" w:line="261" w:lineRule="auto"/>
        <w:tabs>
          <w:tab w:leader="none" w:pos="129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ADSs shall not be eligible for inclusion in any book-entry settlement system, including, without limitation, DTC, and shall be segregated on the Depositary’s register as a class of securities separate from, and not fungible with, outstanding American Depositary Shares that are not Restricted ADSs so that Restricted ADSs shall represent interests only in the corresponding Restricted Shares.</w:t>
      </w:r>
    </w:p>
    <w:p>
      <w:pPr>
        <w:spacing w:after="0" w:line="179" w:lineRule="exact"/>
        <w:rPr>
          <w:rFonts w:ascii="Times New Roman" w:cs="Times New Roman" w:eastAsia="Times New Roman" w:hAnsi="Times New Roman"/>
          <w:sz w:val="18"/>
          <w:szCs w:val="18"/>
          <w:color w:val="auto"/>
        </w:rPr>
      </w:pPr>
    </w:p>
    <w:p>
      <w:pPr>
        <w:jc w:val="both"/>
        <w:ind w:firstLine="980"/>
        <w:spacing w:after="0" w:line="258" w:lineRule="auto"/>
        <w:tabs>
          <w:tab w:leader="none" w:pos="129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deposit of Restricted Shares, the depositor shall deliver to the Depositary a delivery order that (i) discloses or acknowledges all restrictions on transferability of the Restricted Shares (and to that extent need not represent and warrant that the deposited Shares are not Restricted Securities), and (ii) provides that the depositor agrees that the Restricted ADSs will be subject to a specified legend in a form provided by the Company and satisfactory to the Depositary (the “</w:t>
      </w:r>
      <w:r>
        <w:rPr>
          <w:rFonts w:ascii="Times New Roman" w:cs="Times New Roman" w:eastAsia="Times New Roman" w:hAnsi="Times New Roman"/>
          <w:sz w:val="18"/>
          <w:szCs w:val="18"/>
          <w:b w:val="1"/>
          <w:bCs w:val="1"/>
          <w:color w:val="auto"/>
        </w:rPr>
        <w:t>Restrictive Legend</w:t>
      </w:r>
      <w:r>
        <w:rPr>
          <w:rFonts w:ascii="Times New Roman" w:cs="Times New Roman" w:eastAsia="Times New Roman" w:hAnsi="Times New Roman"/>
          <w:sz w:val="18"/>
          <w:szCs w:val="18"/>
          <w:color w:val="auto"/>
        </w:rPr>
        <w:t>”) that describes those restrictions and agrees to comply with those restrictions.</w:t>
      </w:r>
    </w:p>
    <w:p>
      <w:pPr>
        <w:spacing w:after="0" w:line="183" w:lineRule="exact"/>
        <w:rPr>
          <w:rFonts w:ascii="Times New Roman" w:cs="Times New Roman" w:eastAsia="Times New Roman" w:hAnsi="Times New Roman"/>
          <w:sz w:val="18"/>
          <w:szCs w:val="18"/>
          <w:color w:val="auto"/>
        </w:rPr>
      </w:pPr>
    </w:p>
    <w:p>
      <w:pPr>
        <w:jc w:val="both"/>
        <w:ind w:firstLine="980"/>
        <w:spacing w:after="0" w:line="255" w:lineRule="auto"/>
        <w:tabs>
          <w:tab w:leader="none" w:pos="129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Section 2.11 and except as required by applicable law, the Restricted ADRs and the Restricted ADSs evidenced thereby shall be treated as ADRs and ADSs issued outstanding under the terms of this Deposit Agreement, all provisions of this Deposit Agreement shall apply to Restricted ADSs. In the event that, in determining the rights and obligations of parties hereto with respect to any Restricted ADSs, any conflict arises between (i) the terms of this Deposit Agreement (other than this Section 2.11) and (ii) the terms of this Section 2.11 or of the applicable Restricted ADR, the terms and conditions set forth in this Section 2.11 and of the Restricted ADR shall be controlling and shall govern the rights and obligations of the parties to this Deposit Agreement pertaining to the deposited Restricted Shares, the Restricted ADSs and Restricted ADRs.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OBLIGATIONS OF HOLDERS AND BENEFICIAL OWNERS OF RECEIPTS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Proofs, Certificates and Other Information</w:t>
      </w:r>
      <w:r>
        <w:rPr>
          <w:rFonts w:ascii="Times New Roman" w:cs="Times New Roman" w:eastAsia="Times New Roman" w:hAnsi="Times New Roman"/>
          <w:sz w:val="18"/>
          <w:szCs w:val="18"/>
          <w:color w:val="auto"/>
        </w:rPr>
        <w:t>. Any person presenting Shares for deposit shall provide, any Holder and any Beneficial Owner may be required to provide, and every Holder and Beneficial Owner agrees from time to time to provide, to the Depositary or the Custodian such proof of citizenship or residence, taxpayer status, payment of all applicable taxes or other governmental charges, exchange control approval, legal or beneficial ownership of ADSs and Deposited Securities, compliance with applicable laws and the terms of this Deposit Agreement and the provisions of, or governing, the Deposited Securities or other information, to execute such certifications and to make such representations and warranties and to provide such other information and documentation as the Depositary may deem necessary or proper or as the Company may reasonably require by written request to the Depositary consistent with its obligations hereunder. The Depositary and the Registrar, as applicable, may, and at the reasonable written request of the Company shall, withhold the execution or Delivery or registration of transfer of any Receipt or the distribution or sale of any dividend or other distribution of rights or of the proceeds thereof, or to the extent not limited by the terms of Section 7.11 hereof, the Delivery of any Deposited Securities, until such proof or other information is filed or such certifications are executed, or such representations and warranties are made, or such other documentation or information provided, in each case to the Depositary’s and the Company’s satisfaction. The Depositary shall from time to time on the written request of the Company advise the Company of the availability of any such proofs, certificates or other information and shall, at the Company’s sole expense, provide or otherwise make available copies thereof to the Company upon written request therefor by the Company, unless such disclosure is prohibited by law. Each Holder and Beneficial Owner agrees to provide any information requested by the Company or the Depositary pursuant to this Section 3.1.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17" w:name="page318"/>
    <w:bookmarkEnd w:id="31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Every Holder and Beneficial Owner agrees to indemnify the Depositary, the Company, the Custodian, the Agents and each of their respective directors, officers, employees, agents and Affiliates against, and to hold each of them harmless from, any Losses which any of them may incur or which may be made against any of them as a result of or in connection with any inaccuracy in or omission from any such proof, certificate, representation, warranty, information or document furnished by or on behalf of such Holder and/or Beneficial Owner or as a result of any such failure to furnish any of the foregoing.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Holders and Beneficial Owners under Section 3.1 shall survive any transfer of Receipts, any surrender of Receipts or withdrawal of Deposited Securities or the termination of this Deposit Agreement.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Liability for Taxes and Other Charges</w:t>
      </w:r>
      <w:r>
        <w:rPr>
          <w:rFonts w:ascii="Times New Roman" w:cs="Times New Roman" w:eastAsia="Times New Roman" w:hAnsi="Times New Roman"/>
          <w:sz w:val="18"/>
          <w:szCs w:val="18"/>
          <w:color w:val="auto"/>
        </w:rPr>
        <w:t>. If any present or future tax or other governmental charge shall become payable by the Depositary or the Custodian with respect to any ADR or any Deposited Securities or American Depositary Shares, such tax or other governmental charge shall be payable by the Holders and Beneficial Owners to the Depositary and such Holders and Beneficial Owners shall be deemed liable therefor. The Company, the Custodian and/or the Depositary may withhold or deduct from any distributions made in respect of Deposited Securities and may sell for the account of a Holder and/or Beneficial Owner any or all of the Deposited Securities and apply such distributions and sale proceeds in payment of such taxes (including applicable interest and penalties) and charges, with the Holder and the Beneficial Owner remaining fully liable for any deficiency. In addition to any other remedies available to it, the Depositary and the Custodian may refuse the deposit of Shares, and the Depositary may refuse to issue ADSs, to Deliver ADRs, to register the transfer, split-up or combination of ADRs and (subject to Section 7.11 hereof) the withdrawal of Deposited Securities, until payment in full of such tax, charge, penalty or interest is received. The liability of Holders and Beneficial Owners under this Section 3.2 shall survive any transfer of Receipts, any surrender of Receipts and withdrawal of Deposited Securities or the termination of this Deposit Agreement.</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Representations and Warranties on Deposit of Shares</w:t>
      </w:r>
      <w:r>
        <w:rPr>
          <w:rFonts w:ascii="Times New Roman" w:cs="Times New Roman" w:eastAsia="Times New Roman" w:hAnsi="Times New Roman"/>
          <w:sz w:val="18"/>
          <w:szCs w:val="18"/>
          <w:color w:val="auto"/>
        </w:rPr>
        <w:t>. Each person depositing Shares under this Deposit Agreement shall be deemed thereby to represent and warrant that (i) such Shares and the certificates therefor are duly authorized, validly issued, fully paid, non-assessable and were legally obtained by such person, (ii) all preemptive (and similar) rights, if any, with respect to such Shares have been validly waived or exercised, (iii) the person making such deposit is duly authorized to do so, (iv) the Shares presented for deposit are free and clear of any lien, encumbrance, security interest, charge, mortgage or adverse claim and are not, and the American Depositary Shares issuable upon such deposit will not be, Restricted Securities (except as contemplated by Section 2.11),</w:t>
      </w:r>
    </w:p>
    <w:p>
      <w:pPr>
        <w:spacing w:after="0" w:line="5" w:lineRule="exact"/>
        <w:rPr>
          <w:sz w:val="20"/>
          <w:szCs w:val="20"/>
          <w:color w:val="auto"/>
        </w:rPr>
      </w:pPr>
    </w:p>
    <w:p>
      <w:pPr>
        <w:jc w:val="both"/>
        <w:ind w:firstLine="8"/>
        <w:spacing w:after="0" w:line="252" w:lineRule="auto"/>
        <w:tabs>
          <w:tab w:leader="none" w:pos="25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presented for deposit have not been stripped of any rights or entitlements and (vi) the Shares are not subject to any lock-up agreement with the Company or other party, or the Shares are subject to a lock-up agreement but such lock-up agreement has terminated or the lock-up restrictions imposed thereunder have expired. Such representations and warranties shall survive the deposit and withdrawal of Shares, the issuance and cancellation of American Depositary Shares in respect thereof and the transfer of such American Depositary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18" w:name="page319"/>
    <w:bookmarkEnd w:id="31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Compliance with Information Requests</w:t>
      </w:r>
      <w:r>
        <w:rPr>
          <w:rFonts w:ascii="Times New Roman" w:cs="Times New Roman" w:eastAsia="Times New Roman" w:hAnsi="Times New Roman"/>
          <w:sz w:val="18"/>
          <w:szCs w:val="18"/>
          <w:color w:val="auto"/>
        </w:rPr>
        <w:t>. Notwithstanding any other provision of this Deposit Agreement, the Articles of Association and applicable law, each Holder and Beneficial Owner agrees to (a) provide such information as the Company or the Depositary may request pursuant to law (including, without limitation, relevant Cayman Islands law, any applicable law of the United States, the Memorandum and Articles of Association, any resolutions of the Company’s Board of Directors adopted pursuant to the Memorandum and Articles of Association, the requirements of any markets or exchanges upon which the Shares, ADSs or Receipts are listed or traded, or to any requirements of any electronic book-entry system by which the ADSs or Receipts may be transferred), (b) be bound by and subject to applicable provisions of the laws of the Cayman Islands, the Memorandum and Articles of Association and the requirements of any markets or exchanges upon which the ADSs, Receipts or Shares are listed or traded, or pursuant to any requirements of any electronic book-entry system by which the ADSs, Receipts or Shares may be transferred, to the same extent as if such Holder and Beneficial Owner held Shares directly, in each case irrespective of whether or not they are Holders or Beneficial Owners at the time such request is made and, without limiting the generality of the foregoing, (c) comply with all applicable provisions of Cayman Islands law, the rules and requirements of any stock exchange on which the Shares are, or will be registered, traded or listed and the Articles of Association regarding any such Holder or Beneficial Owner’s interest in Shares (including the aggregate of ADSs and Shares held by each such Holder or Beneficial Owner) and/or the disclosure of interests therein, whether or not the same may be enforceable against such Holder or Beneficial Owner.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DEPOSITED SECURITIES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Cash Distributions</w:t>
      </w:r>
      <w:r>
        <w:rPr>
          <w:rFonts w:ascii="Times New Roman" w:cs="Times New Roman" w:eastAsia="Times New Roman" w:hAnsi="Times New Roman"/>
          <w:sz w:val="18"/>
          <w:szCs w:val="18"/>
          <w:color w:val="auto"/>
        </w:rPr>
        <w:t>. Whenever the Depositary receives confirmation from the Custodian of receipt of any cash dividend or other cash distribution on any Deposited Securities, or receives proceeds from the sale of any Shares, rights, securities or other entitlements under the terms hereof, the Depositary will, if at the time of receipt thereof any amounts received in a Foreign Currency can in the judgment of the Depositary (pursuant to Section 4.6 hereof) be converted on a practicable basis into Dollars transferable to the United States, promptly convert or cause to be converted such cash dividend, distribution or proceeds into Dollars (on the terms described in Section 4.6 hereof) and will distribute promptly the amount thus received (net of (a) the applicable fees and charges of, and expenses incurred by, the Depositary and/or a division or Affiliate(s) of the Depositary and (b) taxes and/or governmental charges) to the Holders of record as of the ADS Record Date in proportion to the number of American Depositary Shares held by such Holders respectively as of the ADS Record Date. The Depositary shall distribute only such amount, however, as can be distributed without attributing to any Holder a fraction of one cent. Any such fractional amounts shall be rounded down to the nearest whole cent and so distributed to Holders entitled thereto. Holders and Beneficial Owners understand that in converting Foreign Currency, amounts received on conversion are calculated at a rate which exceeds the number of decimal places used by the Depositary to report distribution rates. The excess amount may be retained by the Depositary as an additional cost of conversion, irrespective of any other fees and expenses payable or owing hereunder and shall not be subject to escheatment.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of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shall forward to the Company or its agent such information from its records as the Company may reasonably request to enable the Company or its agent to file with governmental agencies such reports as are necessary to obtain benefits under the applicable tax treaties for the Holders and Beneficial Owners of Receipts.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19" w:name="page320"/>
    <w:bookmarkEnd w:id="31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Distribution in Shares</w:t>
      </w:r>
      <w:r>
        <w:rPr>
          <w:rFonts w:ascii="Times New Roman" w:cs="Times New Roman" w:eastAsia="Times New Roman" w:hAnsi="Times New Roman"/>
          <w:sz w:val="18"/>
          <w:szCs w:val="18"/>
          <w:color w:val="auto"/>
        </w:rPr>
        <w:t>. If any distribution upon any Deposited Securities consists of a dividend in, or free distribution of, Shares, the Company shall cause such Shares to be deposited with the Custodian and registered, as the case may be, in the name of the Depositary, the Custodian or any of their nominees. Upon receipt of confirmation of such deposit from the Custodian, the Depositary shall establish the ADS Record Date upon the terms described in Section 4.7 hereof and shall, subject to Section 5.9 hereof, either (i) distribute to the Holders as of the ADS Record Date in proportion to the number of ADSs held as of the ADS Record Date, additional ADSs, which represent in the aggregate the number of Shares received as such dividend, or free distribution, subject to the other terms of this Deposit Agreement (including, without limitation, (a) the applicable fees and charges of, and expenses incurred by, the Depositary and (b) taxes and/or governmental charges), or (ii) if additional ADSs are not so distributed, each ADS issued and outstanding after the ADS Record Date shall, to the extent permissible by law, thenceforth also represent rights and interests in the additional Shares distributed upon the Deposited Securities represented thereby (net of (a) the applicable fees and charges of, and expenses incurred by, the Depositary and (b) taxes and/or governmental charges). In lieu of Delivering fractional ADSs, the Depositary shall sell the number of Shares represented by the aggregate of such fractions and distribute the proceeds upon the terms described in Section 4.1 hereof. The Depositary may withhold any such distribution of Receipts if it has not received satisfactory assurances from the Company (including an Opinion of Counsel furnished at the expense of the Company) that such distribution does not require registration under the Securities Act or is exempt from registration under the provisions of the Securities Act. To the extent such distribution may be withheld, the Depositary may dispose of all or a portion of such distribution in such amounts and in such manner, including by public or private sale, as the Depositary deems necessary and practicable, and the Depositary shall distribute the net proceeds of any such sale (after deduction of applicable taxes and/or governmental charges and fees and charges of, and expenses incurred by, the Depositary and/or a division or Affiliate(s) of the Depositary) to Holders entitled thereto upon the terms described in Section 4.1 hereof.</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Elective Distributions in Cash or Shares</w:t>
      </w:r>
      <w:r>
        <w:rPr>
          <w:rFonts w:ascii="Times New Roman" w:cs="Times New Roman" w:eastAsia="Times New Roman" w:hAnsi="Times New Roman"/>
          <w:sz w:val="18"/>
          <w:szCs w:val="18"/>
          <w:color w:val="auto"/>
        </w:rPr>
        <w:t>. Whenever the Company intends to distribute a dividend payable at the election of the holders of Shares in cash or in additional Shares, the Company shall give notice thereof to the Depositary at least 30 days prior to the proposed distribution stating whether or not it wishes such elective distribution to be made available to Holders of ADSs. Upon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is available to Holders of ADRs, (ii) the Depositary shall have received satisfactory documentation within the terms of Section 5.7 hereof (including, without limitation, any legal opinions of counsel in any applicable jurisdiction that the Depositary in its reasonable discretion may request, at the expense of the Company) and (iii) the Depositary shall have determined that such distribution is lawful and reasonably practicable. If the above conditions are not satisfied, the Depositary shall, to the extent permitted by law, distribute to the Holders, on the basis of the same determination as is made in the local market in respect of the Shares for which no election is made, either cash upon the terms described in Section 4.1 hereof or additional ADSs representing such additional Shares upon the terms described in Section 4.2 hereof. If the above conditions are satisfied, the Depositary shall establish an ADS Record Date (on the terms described in Section 4.7 hereof) and establish procedures to enable Holders to elect the receipt of the proposed dividend in cash or in additional ADSs. The Company shall assist the Depositary in establishing such procedures to the extent necessary. Subject to Section 5.9 hereof, if a Holder elects to receive the proposed dividend in cash, the dividend shall be distributed upon the terms described in Section 4.1 hereof or in ADSs, the dividend shall be distributed upon the terms described in Section 4.2 hereof. Nothing herein shall obligate the Depositary to make available to Holders a method to receive the elective dividend in Shares (rather than ADSs). There can be no assurance that Holders generally, or any Holder in particular, will be given the opportunity to receive elective distributions on the same terms and conditions as the holders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20" w:name="page321"/>
    <w:bookmarkEnd w:id="320"/>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4.4</w:t>
      </w:r>
      <w:r>
        <w:rPr>
          <w:sz w:val="20"/>
          <w:szCs w:val="20"/>
          <w:color w:val="auto"/>
        </w:rPr>
        <w:tab/>
      </w:r>
      <w:r>
        <w:rPr>
          <w:rFonts w:ascii="Times New Roman" w:cs="Times New Roman" w:eastAsia="Times New Roman" w:hAnsi="Times New Roman"/>
          <w:sz w:val="17"/>
          <w:szCs w:val="17"/>
          <w:u w:val="single" w:color="auto"/>
          <w:color w:val="auto"/>
        </w:rPr>
        <w:t>Distribution of Rights to Purchase Shares.</w:t>
      </w:r>
    </w:p>
    <w:p>
      <w:pPr>
        <w:spacing w:after="0" w:line="225" w:lineRule="exact"/>
        <w:rPr>
          <w:sz w:val="20"/>
          <w:szCs w:val="20"/>
          <w:color w:val="auto"/>
        </w:rPr>
      </w:pPr>
    </w:p>
    <w:p>
      <w:pPr>
        <w:jc w:val="both"/>
        <w:ind w:firstLine="980"/>
        <w:spacing w:after="0" w:line="252" w:lineRule="auto"/>
        <w:tabs>
          <w:tab w:leader="none" w:pos="129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to ADS Holders</w:t>
      </w:r>
      <w:r>
        <w:rPr>
          <w:rFonts w:ascii="Times New Roman" w:cs="Times New Roman" w:eastAsia="Times New Roman" w:hAnsi="Times New Roman"/>
          <w:sz w:val="18"/>
          <w:szCs w:val="18"/>
          <w:color w:val="auto"/>
        </w:rPr>
        <w:t>. Whenever the Company intends to distribute to the holders of the Deposited Securities rights to subscribe for additional Shares, the Company shall give notice thereof to the Depositary at least 60 days prior to the proposed distribution stating whether or not it wishes such rights to be made available to Holders of ADSs. Upon timely receipt of a notice indicating that the Company wishes such rights to be made available to Holders of ADSs, the Depositary shall consult with the Company to determine, and the Company shall determine,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hereof and (iii) the Depositary shall have determined that such distribution of rights is lawful and reasonably practicable. In the event any of the conditions set forth above are not satisfied, the Depositary shall proceed with the sale of the rights as contemplated in Section 4.4(b) below or, if timing or market conditions may not permit, do nothing thereby allowing such rights to lapse. In the event all conditions set forth above are satisfied, the Depositary shall establish an ADS Record Date (upon the terms described in Section 4.7 hereof) and establish procedures to distribute such rights (by means of warrants or otherwise) and to enable the Holders to exercise the rights (upon payment of applicable fees and charges of, and expenses incurred by, the Depositary and taxes and/or other governmental charges). Nothing herein shall obligate the Depositary to make available to the Holders a method to exercise such rights to subscribe for Shares (rather than ADSs).</w:t>
      </w:r>
    </w:p>
    <w:p>
      <w:pPr>
        <w:spacing w:after="0" w:line="195" w:lineRule="exact"/>
        <w:rPr>
          <w:rFonts w:ascii="Times New Roman" w:cs="Times New Roman" w:eastAsia="Times New Roman" w:hAnsi="Times New Roman"/>
          <w:sz w:val="18"/>
          <w:szCs w:val="18"/>
          <w:color w:val="auto"/>
        </w:rPr>
      </w:pPr>
    </w:p>
    <w:p>
      <w:pPr>
        <w:jc w:val="both"/>
        <w:ind w:firstLine="980"/>
        <w:spacing w:after="0" w:line="254" w:lineRule="auto"/>
        <w:tabs>
          <w:tab w:leader="none" w:pos="129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Rights</w:t>
      </w:r>
      <w:r>
        <w:rPr>
          <w:rFonts w:ascii="Times New Roman" w:cs="Times New Roman" w:eastAsia="Times New Roman" w:hAnsi="Times New Roman"/>
          <w:sz w:val="18"/>
          <w:szCs w:val="18"/>
          <w:color w:val="auto"/>
        </w:rPr>
        <w:t>. If (i) the Company does not timely request the Depositary to make the rights available to Holders or requests that the rights not be made available to Holders, (ii) the Depositary fails to receive satisfactory documentation within the terms of Section 5.7 hereof or determines it is not lawful or reasonably practicable to make the rights available to Holders or (iii) any rights made available are not exercised and appear to be about to lapse, the Depositary shall determine whether it is lawful and reasonably practicable to sell such rights, and if it so determines that it is lawful and reasonably practicable, endeavour to sell such rights in a riskless principal capacity or otherwise, at such place and upon such terms (including public or private sale) as it may deem proper. The Company shall assist the Depositary to the extent necessary to determine such legality and practicability. The Depositary shall, upon such sale, convert and distribute proceeds of such sale (net of applicable fees and charges of, and expenses incurred by, the Depositary and/or a division or Affiliate(s) of the Depositary and taxes and/or governmental charges) upon the terms set forth in Section 4.1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21" w:name="page322"/>
    <w:bookmarkEnd w:id="321"/>
    <w:p>
      <w:pPr>
        <w:jc w:val="both"/>
        <w:ind w:firstLine="928"/>
        <w:spacing w:after="0" w:line="266" w:lineRule="auto"/>
        <w:tabs>
          <w:tab w:leader="none" w:pos="129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 of Rights</w:t>
      </w:r>
      <w:r>
        <w:rPr>
          <w:rFonts w:ascii="Times New Roman" w:cs="Times New Roman" w:eastAsia="Times New Roman" w:hAnsi="Times New Roman"/>
          <w:sz w:val="18"/>
          <w:szCs w:val="18"/>
          <w:color w:val="auto"/>
        </w:rPr>
        <w:t>. If the Depositary is unable to make any rights available to Holders upon the terms described in Section 4.4(a) hereof or to arrange for the sale of the rights upon the terms described in Section 4.4(b) hereof, the Depositary shall allow such rights to lapse.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covering such offering is in effect or (ii) unless the Company furnishes at its expense the Depositary with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property (including rights) an amount on account of taxes and/or other governmental charges, the amount distributed to the Holders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and/or charges.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 or otherwise to register or qualify the offer or sale of such rights or securities under the applicable law of any other jurisdiction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22" w:name="page323"/>
    <w:bookmarkEnd w:id="322"/>
    <w:p>
      <w:pPr>
        <w:ind w:left="58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4.5</w:t>
      </w:r>
      <w:r>
        <w:rPr>
          <w:sz w:val="20"/>
          <w:szCs w:val="20"/>
          <w:color w:val="auto"/>
        </w:rPr>
        <w:tab/>
      </w:r>
      <w:r>
        <w:rPr>
          <w:rFonts w:ascii="Times New Roman" w:cs="Times New Roman" w:eastAsia="Times New Roman" w:hAnsi="Times New Roman"/>
          <w:sz w:val="17"/>
          <w:szCs w:val="17"/>
          <w:u w:val="single" w:color="auto"/>
          <w:color w:val="auto"/>
        </w:rPr>
        <w:t>Distributions Other Than Cash, Shares or Rights to Purchase Shares.</w:t>
      </w:r>
    </w:p>
    <w:p>
      <w:pPr>
        <w:spacing w:after="0" w:line="225" w:lineRule="exact"/>
        <w:rPr>
          <w:sz w:val="20"/>
          <w:szCs w:val="20"/>
          <w:color w:val="auto"/>
        </w:rPr>
      </w:pPr>
    </w:p>
    <w:p>
      <w:pPr>
        <w:jc w:val="both"/>
        <w:ind w:firstLine="980"/>
        <w:spacing w:after="0" w:line="254" w:lineRule="auto"/>
        <w:tabs>
          <w:tab w:leader="none" w:pos="129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Company intends to distribute to the holders of Deposited Securities property other than cash, Shares or rights to purchase additional Shares, the Company shall give notice thereof to the Depositary at least 30 days prior to the proposed distribution and shall indicate whether or not it wishes such distribution to be made to Holders of ADSs. Upon receipt of a notice indicating that the Company wishes such distribution be made to Holders of ADSs, the Depositary shall determine whether such distribution to Holders is lawful and practicable. The Depositary shall not make such distribution unless (i) the Company shall have timely requested the Depositary to make such distribution to Holders, (ii) the Depositary shall have received satisfactory documentation within the terms of Section 5.7 hereof and (iii) the Depositary shall have determined that such distribution is lawful and reasonably practicable.</w:t>
      </w:r>
    </w:p>
    <w:p>
      <w:pPr>
        <w:spacing w:after="0" w:line="191" w:lineRule="exact"/>
        <w:rPr>
          <w:rFonts w:ascii="Times New Roman" w:cs="Times New Roman" w:eastAsia="Times New Roman" w:hAnsi="Times New Roman"/>
          <w:sz w:val="18"/>
          <w:szCs w:val="18"/>
          <w:color w:val="auto"/>
        </w:rPr>
      </w:pPr>
    </w:p>
    <w:p>
      <w:pPr>
        <w:jc w:val="both"/>
        <w:ind w:firstLine="980"/>
        <w:spacing w:after="0" w:line="254" w:lineRule="auto"/>
        <w:tabs>
          <w:tab w:leader="none" w:pos="129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may distribute the property so received to the Holders of record as of the ADS Record Date, in proportion to the number of ADSs held by such Holders respectively and in such manner as the Depositary may deem practicable for accomplishing such distribution (i) upon receipt of payment or net of the applicable fees and charges of, and expenses incurred by, the Depositary and (ii) net of any taxes and/or other governmental charges. The Depositary may dispose of all or a portion of the property so distributed and deposited, in such amounts and in such manner (including public or private sale) as the Depositary may deem practicable or necessary to satisfy any taxes (including applicable interest and penalties) and other governmental charges applicable to the distribution.</w:t>
      </w:r>
    </w:p>
    <w:p>
      <w:pPr>
        <w:spacing w:after="0" w:line="191" w:lineRule="exact"/>
        <w:rPr>
          <w:rFonts w:ascii="Times New Roman" w:cs="Times New Roman" w:eastAsia="Times New Roman" w:hAnsi="Times New Roman"/>
          <w:sz w:val="18"/>
          <w:szCs w:val="18"/>
          <w:color w:val="auto"/>
        </w:rPr>
      </w:pPr>
    </w:p>
    <w:p>
      <w:pPr>
        <w:jc w:val="both"/>
        <w:ind w:firstLine="980"/>
        <w:spacing w:after="0" w:line="254" w:lineRule="auto"/>
        <w:tabs>
          <w:tab w:leader="none" w:pos="129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Company does not request the Depositary to make such distribution to Holders or requests the Depositary not to make such distribution to Holders, (ii) the Depositary does not receive satisfactory documentation within the terms of Section 5.7 hereof or (iii) the Depositary determines that all or a portion of such distribution is not reasonably practicable or feasible, the Depositary shall endeavor to sell or cause such property to be sold in a public or private sale, at such place or places and upon such terms as it may deem proper and shall distribute the net proceeds, if any, of such sale received by the Depositary (net of applicable fees and charges of, and expenses incurred by, the Depositary and/or a division or Affiliate(s) of the Depositary and taxes and/or governmental charges) to the Holders as of the ADS Record Date upon the terms of Section 4.1 hereof. If the Depositary is unable to sell such property, the Depositary may dispose of such property in any way it deems reasonably practicable under the circumstances for nominal or no consideration and Holders and Beneficial Owners shall have no rights thereto or arising therefrom.</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Conversion of Foreign Currency</w:t>
      </w:r>
      <w:r>
        <w:rPr>
          <w:rFonts w:ascii="Times New Roman" w:cs="Times New Roman" w:eastAsia="Times New Roman" w:hAnsi="Times New Roman"/>
          <w:sz w:val="18"/>
          <w:szCs w:val="18"/>
          <w:color w:val="auto"/>
        </w:rPr>
        <w:t>. Whenever the Depositary or the Custodian shall receive Foreign Currency, by way of dividends or other distributions or the net proceeds from the sale of securities, property or rights, and in the judgment of the Depositary such Foreign Currency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determine, such Foreign Currency into Dollars, and shall distribute such Dollars (net of any fees, expenses, taxes and/or other governmental charges incurred in the process of such conversion) in accordance with the terms of the applicable sections of this Deposit Agreement.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exchange restrictions, the date of delivery of any Receipt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23" w:name="page324"/>
    <w:bookmarkEnd w:id="323"/>
    <w:p>
      <w:pPr>
        <w:jc w:val="both"/>
        <w:spacing w:after="0" w:line="261" w:lineRule="auto"/>
        <w:rPr>
          <w:sz w:val="20"/>
          <w:szCs w:val="20"/>
          <w:color w:val="auto"/>
        </w:rPr>
      </w:pPr>
      <w:r>
        <w:rPr>
          <w:rFonts w:ascii="Times New Roman" w:cs="Times New Roman" w:eastAsia="Times New Roman" w:hAnsi="Times New Roman"/>
          <w:sz w:val="18"/>
          <w:szCs w:val="18"/>
          <w:color w:val="auto"/>
        </w:rPr>
        <w:t>In converting Foreign Currency, amounts received on conversion may be calculated at a rate which exceeds the number of decimal places used by the Depositary to report distribution rates (which in any case will not be less than two decimal places). Any excess amount may be retained by the Depositary as an additional cost of conversion, irrespective of any other fees and expenses payable or owing hereunder and shall not be subject to escheatment.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such conversion or distribution can be effected only with the approval or license of any government or agency thereof, the Depositary may file such application for approval or license, if any, as it may deem necessary, practicable and at nominal cost and expense. Nothing herein shall obligate the Depositary to file or cause to be filed, or to seek effectiveness of any such application or license.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at any time the Depositary shall determine that in its judgment the conversion of any Foreign Currency and the transfer and distribution of proceeds of such conversion received by the Depositary is not practical or lawful, or if any approval or license of any governmental authority or agency thereof that is required for such conversion, transfer and distribution is denied, or not obtainable at a reasonable cost, within a reasonable period or otherwise sought, the Depositary shall, in its sole discretion but subject to applicable laws and regulations, either (i) distribute the Foreign Currency (or an appropriate document evidencing the right to receive such Foreign Currency) received by the Depositary to the Holders entitled to receive such Foreign Currency or (ii) hold such Foreign Currency uninvested and without liability for interest thereon for the respective accounts of the Holders entitled to receive the same.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Holders and Beneficial Owners are directed to refer to Section 7.9 hereof for certain disclosure related to conversion of Foreign Currency.</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Fixing of Record Date</w:t>
      </w:r>
      <w:r>
        <w:rPr>
          <w:rFonts w:ascii="Times New Roman" w:cs="Times New Roman" w:eastAsia="Times New Roman" w:hAnsi="Times New Roman"/>
          <w:sz w:val="18"/>
          <w:szCs w:val="18"/>
          <w:color w:val="auto"/>
        </w:rPr>
        <w:t>. Whenever necessary in connection with any distribution (whether in cash, Shares, rights, or other distribution), or whenever for any reason the Depositary causes a change in the number of Shares that are represented by each American Depositary Share, or whenever the Depositary shall receive notice of any meeting of or solicitation of holders of Shares or other Deposited Securities, or whenever the Depositary shall find it necessary or convenient, the Depositary shall fix a record date (the “ADS Record Date”), as close as practicable to the record date fixed by the Company with respect to the Shares (if applicable), for the determination of the Holders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American Depositary Share or for any other reason. Subject to applicable law and the provisions of Sections 4.1 through 4.6 hereof and to the other terms and conditions of this Deposit Agreement, only the Holders of record at the close of business in New York on such ADS Record Date shall be entitled to receive such distribution, to give such voting instructions, to receive such notice or solicitation, or otherwise take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24" w:name="page325"/>
    <w:bookmarkEnd w:id="32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Voting of Deposited Securities</w:t>
      </w:r>
      <w:r>
        <w:rPr>
          <w:rFonts w:ascii="Times New Roman" w:cs="Times New Roman" w:eastAsia="Times New Roman" w:hAnsi="Times New Roman"/>
          <w:sz w:val="18"/>
          <w:szCs w:val="18"/>
          <w:color w:val="auto"/>
        </w:rPr>
        <w:t>. Subject to the next sentence, as soon as practicable after receipt of notice of any meeting at which the holders of Deposited Securities are entitled to vote, or of solicitation of consents or proxies from holders of Deposited Securities, the Depositary shall fix the ADS Record Date in respect of such meeting or such solicitation of consents or proxies. The Depositary shall, if requested by the Company in writing in a timely manner (the Depositary having no obligation to take any further action if the request shall not have been received by the Depositary at least 30 Business Days prior to the date of such vote or meeting) and at the Company’s expense, and provided no U.S. legal prohibitions exist, mail by regular, ordinary mail delivery (or by electronic mail or as otherwise may be agreed between the Company and the Depositary in writing from time to time) or otherwise distribute as soon as practicable after receipt thereof to Holders as of the ADS Record Date: (a) such notice of meeting or solicitation of consent or proxy; (b) a statement that the Holders at the close of business on the ADS Record Date will be entitled, subject to any applicable law, the provisions of this Deposit Agreement, the Company’s Memorandum and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American Depositary Shares; and (c) a brief statement as to the manner in which such voting instructions may be given to the Depositary, or in which instructions may be deemed to have been given in accordance with this Section 4.8, including an express indication that instructions may be given (or be deemed to have been given in accordance with the immediately following paragraph of this section if no instruction is received) to the Depositary to give a discretionary proxy to a person or persons designated by the Company. Voting instructions may be given only in respect of a number of American Depositary Shares representing an integral number of Deposited Securities. Upon the timely receipt of voting instructions of a Holder on the ADS Record Date in the manner specified by the Depositary, the Depositary shall endeavor, insofar as practicable and permitted under applicable law, the provisions of this Deposit Agreement, the Company’s Memorandum and Articles of Association and the provisions of or governing the Deposited Securities, to vote or cause the Custodian to vote the Deposited Securities (in person or by proxy) represented by American Depositary Shares evidenced by such Receipt in accordance with such voting instructions.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that (i) the Depositary timely receives voting instructions from a Holder which fail to specify the manner in which the Depositary is to vote the Deposited Securities represented by such Holder’s ADSs or (ii) no timely instructions are received by the Depositary from a Holder with respect to any of the Deposited Securities represented by the ADSs held by such Holder on the ADS Record Date, the Depositary shall (unless otherwise specified in the notice distributed to Holders) deem such Holder to have instructed the Depositary to give a discretionary proxy to a person designated by the Company with respect to such Deposited Securities and the Depositary shall give a discretionary proxy to a person designated by the Company to vote such Deposited Securities, provided, however, that no such instruction shall be deemed to have been given and no such discretionary proxy shall be given with respect to any matter as to which the Company informs the Depositary (and the Company agrees to provide such information as promptly as practicable in writing, if applicable) that (x) the Company does not wish to give such proxy, (y) the Company is aware, or should reasonably be aware, that substantial opposition exists from Holders against the outcome for which the person designated by the Company would otherwise vote or (z) the outcome for which the person designated by the Company would otherwise vote would materially and adversely affect the rights of holders of Deposited Securities, provided, further, that the Company will have no liability to any Holder or Beneficial Owner resulting from such notification.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25" w:name="page326"/>
    <w:bookmarkEnd w:id="325"/>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voting on any resolution or matter is conducted on a show of hands basis in accordance with the Memorandum and Articles of Association, the Depositary will refrain from voting and the voting instructions (or the deemed voting instructions, as set out above) received by the Depositary from Holders shall lapse. The Depositary will have no obligation to demand voting on a poll basis with respect to any resolution and shall have no liability to any Holder or Beneficial Owner for not having demanded voting on a poll basis.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such written instructions from Holders, including the deemed instruction to the Depositary to give a discretionary proxy to a person designated by the Company. Deposited Securities represented by ADSs for which (i) no timely voting instructions are received by the Depositary from the Holder, or</w:t>
      </w:r>
    </w:p>
    <w:p>
      <w:pPr>
        <w:spacing w:after="0" w:line="3" w:lineRule="exact"/>
        <w:rPr>
          <w:sz w:val="20"/>
          <w:szCs w:val="20"/>
          <w:color w:val="auto"/>
        </w:rPr>
      </w:pPr>
    </w:p>
    <w:p>
      <w:pPr>
        <w:jc w:val="both"/>
        <w:ind w:firstLine="8"/>
        <w:spacing w:after="0" w:line="252" w:lineRule="auto"/>
        <w:tabs>
          <w:tab w:leader="none" w:pos="27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voting instructions are received by the Depositary from the Holder but such voting instructions fail to specify the manner in which the Depositary is to vote the Deposited Securities represented by such Holder’s ADSs, shall be voted in the manner provided in this Section 4.8. Notwithstanding anything else contained herein, and subject to applicable law, regulation and the Memorandum and Articles of Association, the Depositary shall, if so requested in writing by the Company, represent all Deposited Securities (whether or not voting instructions have been received in respect of such Deposited Securities from Holders as of the ADS Record Date) for the purpose of establishing quorum at a meeting of shareholders.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or Beneficial Owners generally or any Holder or Beneficial Owner in particular will receive the notice described above with sufficient time to enable the Holder to return voting instructions to the Depositary in a timely manner.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above, save for applicable provisions of the law of the Cayman Islands, and in accordance with the terms of Section 5.3 hereof, the Depositary shall not be liable for any failure to carry out any instructions to vote any of the Deposited Securities or the manner in which such vote is cast or the effect of such vote.</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Changes Affecting Deposited Securities</w:t>
      </w:r>
      <w:r>
        <w:rPr>
          <w:rFonts w:ascii="Times New Roman" w:cs="Times New Roman" w:eastAsia="Times New Roman" w:hAnsi="Times New Roman"/>
          <w:sz w:val="18"/>
          <w:szCs w:val="18"/>
          <w:color w:val="auto"/>
        </w:rPr>
        <w:t xml:space="preserve">. Upon any change in par value, split-up, subdivision, cancellation, consolidation or any other reclassification of Deposited Securities or upon any recapitalization, reorganization, amalgamation, merger or consolidation or sale of assets affecting the Company or to which it is otherwise a party, any securities which shall be received by the Depositary or the Custodian in exchange for, or in conversion of or replacement or otherwise in respect of, such Deposited Securities shall, to the extent permitted by law, be treated as new Deposited Securities under this Deposit Agreement and the Receipts shall, subject to the provisions of this Deposit Agreement and applicable law, evidence American Depositary Shares representing the right to receive such additional securities. Alternatively, the Depositary may, with the Company’s approval, and shall, if the Company shall so request, subject to the terms of this Deposit Agreement and receipt of an Opinion of Counsel furnished at the Company’s expense satisfactory to the Depositary (stating that such distributions are not in violation of any applicable laws or regulations), execute and deliver additional Receipts, as in the case of a stock dividend on the Shares, or call for the surrender of outstanding Receipts to be exchanged for new Receipts. In either case, as well as in the event of newly deposited Shares, necessary modifications to the form of Receipt contained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specifically describing such new Deposited Securities and/or corporate change, shall also be made. The Company agrees that it will, jointly with the Depositary, amend the Registration Statement on Form F-6 as filed with the Commission to permit the issuance of such new form of Receipt. Notwithstanding the foregoing, in the event that any security so received may not be lawfully distributed to some or all Holders, the Depositary may, with the Company’s approval, and shall, if the Company requests, subject to receipt of an Opinion of Counsel (furnished at the Company’s expense) satisfactory to the Depositary that such action is not in violation of any applicable laws or regulations, sell such securities at public or private sale, at such place or places and upon such terms as it may deem proper and may allocate the net proceeds of such sales (net of fees and charges of, and expenses incurred by, the Depositary and/or a division or Affiliate(s) of the Depositary and taxes and/or governmental charges) for the account of the Holders otherwise entitled to such securities upon an averaged or other practicable basis without regard to any distinctions among such Holders and distribute the net proceeds so allocated to the extent practicable as in the case of a distribution received in cash pursuant to Section 4.1 hereof. The Depositary shall not be responsible for (i) any failure to determine that it may be lawful or feasible to make such securities available to Holders in general or to any Holder in particular, (ii) any foreign exchange exposure or loss incurred in connection with such sale or (iii) any liability to the purchaser of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26" w:name="page327"/>
    <w:bookmarkEnd w:id="32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Available Information</w:t>
      </w:r>
      <w:r>
        <w:rPr>
          <w:rFonts w:ascii="Times New Roman" w:cs="Times New Roman" w:eastAsia="Times New Roman" w:hAnsi="Times New Roman"/>
          <w:sz w:val="18"/>
          <w:szCs w:val="18"/>
          <w:color w:val="auto"/>
        </w:rPr>
        <w:t>. The Company is subject to the periodic reporting requirements of the Exchange Act applicable to foreign private issuers (as defined in Rule 405 of the Securities Act) and accordingly files certain information with the Commission. These reports and documents can be inspected and copied at the Commission’s website at www.sec.gov or at the public reference facilities maintained by the Commission located at 100 F Street, N.E., Washington D.C. 20549, U.S.A.</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The Depositary shall make available during normal business hours on any Business Day for inspection by Holders at its Corporate Trust Office any reports and communications, including any proxy soliciting materials, received from the Company which are both received by the Depositary, the Custodian, or the nominee of either of them as the holder of the Deposited Securities and made generally available to the holders of such Deposited Securities by the Company. The Company agrees to provide to the Depositary, at the Company’s expense, all such documents that it provides to the Custodian. Unless otherwise agreed in writing by the Company and the Depositary, the Depositary shall, at the expense of the Company and in accordance with Section 5.6 hereof, also mail to Holders by regular, ordinary mail delivery or by electronic transmission (if agreed by the Company and the Depositary) copies of notices and reports when furnished by the Company pursuant to Section 5.6 hereof.</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List of Holders</w:t>
      </w:r>
      <w:r>
        <w:rPr>
          <w:rFonts w:ascii="Times New Roman" w:cs="Times New Roman" w:eastAsia="Times New Roman" w:hAnsi="Times New Roman"/>
          <w:sz w:val="18"/>
          <w:szCs w:val="18"/>
          <w:color w:val="auto"/>
        </w:rPr>
        <w:t>. Promptly upon written request by the Company, the Depositary shall, at the expense of the Company, furnish to it a list, as of a recent date, of the names, addresses and holdings of American Depositary Shares by all persons in whose names Receipts are registered on the books of the Depositary.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Taxation; Withholding</w:t>
      </w:r>
      <w:r>
        <w:rPr>
          <w:rFonts w:ascii="Times New Roman" w:cs="Times New Roman" w:eastAsia="Times New Roman" w:hAnsi="Times New Roman"/>
          <w:sz w:val="18"/>
          <w:szCs w:val="18"/>
          <w:color w:val="auto"/>
        </w:rPr>
        <w:t>. The Depositary will, and will instruct the Custodian to, forward to the Company or its agents such information from its records as the Company may request to enable the Company or its agents to file necessary tax reports with governmental authorities or agencies. The Depositary, the Custodian or the Company and its agents may, but shall not be obligated to, file such reports as are necessary to reduce or eliminate applicable taxes on dividends and on other distributions in respect of Deposited Securities under applicable tax treaties or laws for the Holders and Beneficial Owners. Holders and Beneficial Owners of American Depositary Shares may be required from time to time, and in a timely manner to provide and/or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Holders and Beneficial Owners shall indemnify the Depositary, the Company, the Custodian, the Agents and their respective directors, officers,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by the Beneficial Owner or Holder or out of or in connection with any inaccuracy in or omission from any such proof, certificate, representation, warranty, information or document furnished by or on behalf of such Holder or Beneficial Owner. The obligations of Holders and Beneficial Owners under this Section 4.13 shall survive any transfer of Receipts, any surrender of Receipts and withdrawal of Deposited Securities or the termination of this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27" w:name="page328"/>
    <w:bookmarkEnd w:id="327"/>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shall remit to the appropriate governmental authority or agency any amounts required to be withheld by the Company and owing to such governmental authority or agency. Upon any such withholding, the Company shall remit to the Depositary information, in a form reasonably satisfactory to the Depositary, about such taxes and/or governmental charges withheld or paid, and, if so requested, the tax receipt (or other proof of payment to the applicable governmental authority) therefor. The Depositary shall, to the extent required by U.S. law, report to Holders (i) any taxes withheld by it; (ii) any taxes withheld by the Custodian, subject to information being provided to the Depositary by the Custodian and (iii) any taxes withheld by the Company, subject to information being provided to the Depositary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None of the Depositary, the Custodian or the Company shall be liable for the failure by any Holder or Beneficial Owner to obtain the benefits of credits on the basis of non-U.S. tax paid against such Holder’s or Beneficial Owner’s income tax liability.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and rights to subscribe therefor) is subject to any tax or other governmental charge which the Depositary is obligated to withhold, the Depositary shall withhold the amount required to be withheld and may by public or private sale dispose of all or a portion of such property (including Shares and rights to subscribe therefor) in such amounts and in such manner as the Depositary deems necessary and practicable to pay such taxes and/or charges and the Depositary shall distribute the net proceeds of any such sale after deduction of such taxes and/or charges to the Holders entitled thereto in proportion to the number of American Depositary Shares held by them respectively.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American Depositary Shares, including without limitation, tax consequences resulting from the Company (or any of its subsidiaries) being treated as a “Passive Foreign Investment Company” (as defined in the U.S. Internal Revenue Code of 1986, as amended and the regulations issued thereunder)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28" w:name="page329"/>
    <w:bookmarkEnd w:id="328"/>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DEPOSITARY, THE CUSTODIAN AND THE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Maintenance of Office and Transfer Books by the Registrar</w:t>
      </w:r>
      <w:r>
        <w:rPr>
          <w:rFonts w:ascii="Times New Roman" w:cs="Times New Roman" w:eastAsia="Times New Roman" w:hAnsi="Times New Roman"/>
          <w:sz w:val="18"/>
          <w:szCs w:val="18"/>
          <w:color w:val="auto"/>
        </w:rPr>
        <w:t>. Until termination of this Deposit Agreement in accordance with its terms, the Depositary or if a Registrar for the Receipts shall have been appointed, the Registrar shall maintain in the Borough of Manhattan, the City of New York, an office and facilities for the execution and delivery, registration, registration of transfers, combination and split-up of Receipts, the surrender of Receipts and the Delivery and withdrawal of Deposited Securities in accordance with the provisions of this Deposit Agreement.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Depositary or the Registrar as applicable, shall keep books for the registration of Receipts and transfers of Receipts which at all reasonable times shall be open for inspection by the Company and by the Holders of such Receipts, provided that such inspection shall not be, to the Depositary’s or the Registrar’s knowledge, for the purpose of communicating with Holders of such Receipts in the interest of a business or object other than the business of the Company or other than a matter related to this Deposit Agreement or the Receipts.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Depositary or the Registrar, as applicable, may close the transfer books with respect to the Receipts, at any time and from time to time, when deemed necessary or advisable by it in connection with the performance of its duties hereunder, or at the reasonable written request of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Receipts or the American Depositary Shares evidenced thereby are listed on one or more stock exchanges or automated quotation systems in the United States, the Depositary shall act as Registrar or appoint a Registrar or one or more co-registrars for registration of Receipts and transfers, combinations and split-ups, and to countersign such Receipts in accordance with any requirements of such exchanges or systems. Such Registrar or co-registrars may be removed and a substitute or substitutes appointed by the Depositary.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Receipts or the American Depositary Shares evidenced thereby are listed on one or more securities exchanges, markets or automated quotation systems, (i) the Depositary shall be entitled to, and shall, take or refrain from taking such action(s) as it may deem necessary or appropriate to comply with the requirements of such securities exchange(s), market(s) or automated quotation system(s) applicable to it, notwithstanding any other provision of this Deposit Agreement; and (ii) upon the reasonable request of the Depositary, the Company shall provide the Depositary such information and assistance as may be reasonably necessary for the Depositary to comply with such requirements, to the extent that the Company may lawfully do so.</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Registrar and co-registrar appointed under this Section 5.1 shall give notice in writing to the Depositary accepting such appointment and agreeing to be bound by the applicable terms of this Deposit Agreement.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Exoneration</w:t>
      </w:r>
      <w:r>
        <w:rPr>
          <w:rFonts w:ascii="Times New Roman" w:cs="Times New Roman" w:eastAsia="Times New Roman" w:hAnsi="Times New Roman"/>
          <w:sz w:val="18"/>
          <w:szCs w:val="18"/>
          <w:color w:val="auto"/>
        </w:rPr>
        <w:t>. None of the Depositary, the Custodian or the Company shall be obligated to do or perform any act which is inconsistent with the provisions of this Deposit Agreement or shall incur any liability to Holders, Beneficial Owners or any third parties (i) if the Depositary, the Custodian or the Company or their respective controlling persons or agents (including without limitation, the Agents) shall be prevented or forbidden from, or delayed in, doing or performing any act or thing required by the terms of this Deposit Agreement, by reason of any provision of any present or future law or regulation of the United States or any state thereof, the Cayman Islands or any other country, or of any other governmental authority or regulatory authority or stock exchange, or on account of the possible criminal or civil penalties or restraint, or by reason of any provision, present or future, of the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 (ii) by reason of any exercise of, or failure to exercise, any discretion provided for in this Deposit Agreement or in the Memorandum and Articles of Association or provisions of or governing Deposited Securities, (iii) for any action or inaction of the Depositary, the Custodian or the Company or their respective controlling persons or agents (including without limitation, the Agents)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this Deposit Agreement, made available to Holders of American Depositary Shares or (v) for any special, consequential, indirect or punitive damages for any breach of the terms of this Deposit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29" w:name="page330"/>
    <w:bookmarkEnd w:id="32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Depositary, its controlling persons, its agents (including without limitation, the Agents), the Custodian and the Company, its controlling persons and its agents may rely and shall be protected in acting upon any written notice, request, opinion or other document believed by it to be genuine and to have been signed or presented by the proper party or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disclaimer of liability under the Securities Act or the Exchange Act is intended by any provision of this Deposit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Standard of Care</w:t>
      </w:r>
      <w:r>
        <w:rPr>
          <w:rFonts w:ascii="Times New Roman" w:cs="Times New Roman" w:eastAsia="Times New Roman" w:hAnsi="Times New Roman"/>
          <w:sz w:val="18"/>
          <w:szCs w:val="18"/>
          <w:color w:val="auto"/>
        </w:rPr>
        <w:t>. The Company and the Depositary and their respective directors, officers, Affiliates, employees and agents (including without limitation, the Agents) assume no obligation and shall not be subject to any liability under this Deposit Agreement or any Receipts to any Holder(s) or Beneficial Owner(s) or other persons, except in accordance with Section 5.8 hereof, provided, that the Company and the Depositary and their respective directors, officers, Affiliates, employees and agents (including without limitation, the Agents) agree to perform their respective obligations specifically set forth in this Deposit Agreement or the applicable ADRs without gross negligence or willful misconduct.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directors, officers, affiliates, employees or agents (including without limitation, the Agents), shall be under any obligation to appear in, prosecute or defend any action, suit or other proceeding in respect of any Deposited Securities or in respect of the Receipts, which in its opinion may involve it in expense or liability, unless indemnity satisfactory to it against all expenses (including fees and disbursements of counsel) and liabilities be furnished as often as may be required (and no Custodian shall be under any obligation whatsoever with respect to such proceedings, the responsibility of the Custodian being solely to the Depositary).</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Depositary and its directors, officers, affiliates, employees and agents (including without limitation, the Agents) shall not be liable for any failure to carry out any instructions to vote any of the Deposited Securities, or for the manner in which any vote is cast or the effects of any vote.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 upon the terms of this Deposit Agreement or for the failure or timeliness of any notice from the Company, or for any action or non action by it in reliance upon the opinion, advice of or information from legal counsel, accountants, any person presenting Shares for deposit, any Holder or any other person believed by it in good faith to be competent to give such advice or information. The Depositary and its agents (including without limitation, the Agents)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30" w:name="page331"/>
    <w:bookmarkEnd w:id="33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Resignation and Removal of the Depositary; Appointment of Successor Depositary</w:t>
      </w:r>
      <w:r>
        <w:rPr>
          <w:rFonts w:ascii="Times New Roman" w:cs="Times New Roman" w:eastAsia="Times New Roman" w:hAnsi="Times New Roman"/>
          <w:sz w:val="18"/>
          <w:szCs w:val="18"/>
          <w:color w:val="auto"/>
        </w:rPr>
        <w:t>. The Depositary may at any time resign as Depositary hereunder by written notice of resignation delivered to the Company, such resignation to be effective on the earlier of (i) the 90th day after delivery thereof to the Company (whereupon the Depositary shall, in the event no successor depositary has been appointed by the Company, be entitled to take the actions contemplated in Section 6.2 hereof) and (ii) the appointment by the Company of a successor depositary and its acceptance of such appointment as hereinafter provided, save that, any amounts, fees, costs or expenses owed to the Depositary hereunder or in accordance with any other agreements otherwise agreed in writing between the Company and the Depositary from time to time shall be paid to the Depositary prior to such resignation.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shall use reasonable efforts to appoint such successor depositary, and give notice to the Depositary of such appointment, not more than 90 days after delivery by the Depositary of written notice of resignation as provided in this Section 5.4. In the event that notice of the appointment of a successor depositary is not provided by the Company in accordance with the preceding sentence, the Depositary shall be entitled to take the actions contemplated in Section 6.2 hereof.</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hereof if a successor depositary has not been appointed), and (ii) the appointment by the Company of a successor depositary and its acceptance of such appointment as hereinafter provided, save that, any amounts, fees, costs or expenses owed to the Depositary hereunder or in accordance with any other agreements otherwise agreed in writing between the Company and the Depositary from time to time shall be paid to the Depositary prior to such removal.</w:t>
      </w:r>
    </w:p>
    <w:p>
      <w:pPr>
        <w:spacing w:after="0" w:line="1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The predecessor depositary, upon payment of all sums due to it and on the written request of the Company, shall (i) execute and deliver an instrument transferring to such successor all rights and powers of such predecessor hereunder (other than as contemplated in Sections 5.8 and 5.9 hereof), (ii) duly assign, transfer and deliver all right, title and interest to the Deposited Securities to such successor, and (iii) deliver to such successor a list of the Holders of all outstanding Receipts and such other information relating to Receipts and Holders thereof as the successor may reasonably request. Any such successor depositary shall promptly mail notice of its appointment to such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31" w:name="page332"/>
    <w:bookmarkEnd w:id="331"/>
    <w:p>
      <w:pPr>
        <w:jc w:val="both"/>
        <w:spacing w:after="0" w:line="258" w:lineRule="auto"/>
        <w:rPr>
          <w:sz w:val="20"/>
          <w:szCs w:val="20"/>
          <w:color w:val="auto"/>
        </w:rPr>
      </w:pPr>
      <w:r>
        <w:rPr>
          <w:rFonts w:ascii="Times New Roman" w:cs="Times New Roman" w:eastAsia="Times New Roman" w:hAnsi="Times New Roman"/>
          <w:sz w:val="18"/>
          <w:szCs w:val="18"/>
          <w:color w:val="auto"/>
        </w:rPr>
        <w:t>Any corporation into or with which the Depositary may be merged or consolidated shall be the successor of the Depositary without the execution or filing of any document or any further act and, notwithstanding anything to the contrary in this Deposit Agreement, the Depositary may assign or otherwise transfer all or any of its rights and benefits under this Deposit Agreement (including any cause of action arising in connection with it) to Deutsche Bank AG or any branch thereof or any entity which is a direct or indirect subsidiary or other affiliate of Deutsche Bank AG.</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The Custodian</w:t>
      </w:r>
      <w:r>
        <w:rPr>
          <w:rFonts w:ascii="Times New Roman" w:cs="Times New Roman" w:eastAsia="Times New Roman" w:hAnsi="Times New Roman"/>
          <w:sz w:val="18"/>
          <w:szCs w:val="18"/>
          <w:color w:val="auto"/>
        </w:rPr>
        <w:t>. The Custodian or its successors in acting hereunder shall be subject at all times and in all respects to the direction of the Depositary for the Deposited Securities for which the Custodian acts as custodian and shall be responsible solely to it. If any Custodian resigns or is discharged from its duties hereunder with respect to any Deposited Securities and no other Custodian has previously been appointed hereunder, the Depositary shall promptly appoint a substitute custodian. The Depositary shall require such resigning or discharged Custodian to deliver the Deposited Securities held by it, together with all such records maintained by it as Custodian with respect to such Deposited Securities as the Depositary may request, to the Custodian designated by the Depositary. Whenever the Depositary determines, in its discretion, that it is appropriate to do so, it may appoint an additional entity to act as Custodian with respect to any Deposited Securities, or discharge the Custodian with respect to any Deposited Securities and appoint a substitute custodian, which shall thereafter be Custodian hereunder with respect to the Deposited Securities. After any such change, the Depositary shall give notice thereof in writing to all Holders.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appointment of any successor depositary, any Custodian then acting hereunder shall, unless otherwise instructed by the Depositary, continue to be the Custodian of the Deposited Securities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Notices and Reports</w:t>
      </w:r>
      <w:r>
        <w:rPr>
          <w:rFonts w:ascii="Times New Roman" w:cs="Times New Roman" w:eastAsia="Times New Roman" w:hAnsi="Times New Roman"/>
          <w:sz w:val="18"/>
          <w:szCs w:val="18"/>
          <w:color w:val="auto"/>
        </w:rPr>
        <w:t>. On or before the first date on which the Company gives notice, by publication or otherwise, of any 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English but otherwise in the form given or to be given to holders of Shares or other Deposited Securities. The Company shall also furnish to the Custodian and the Depositary a summary, in English, of any applicable provisions or proposed provisions of the Memorandum and Articles of Association that may be relevant or pertain to such notice of meeting or be the subject of a vote thereat.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32" w:name="page333"/>
    <w:bookmarkEnd w:id="332"/>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will also transmit to the Depositary (a) English language versions of the other notices, reports and communications which are made generally available by the Company to holders of its Shares or other Deposited Securities and (b) English language versions of the Company’s annual and other reports prepared in accordance with the applicable requirements of the Commission. The Depositary shall arrange, at the request of the Company and at the Company’s expense, for the mailing of copies thereof to all Holders, or by any other means as agreed between the Company and the Depositary (at the Company’s expense) or make such notices, reports and other communications available for inspection by all Holders, provided, that, the Depositary shall have received evidence sufficiently satisfactory to it, including in the form of an Opinion of Counsel regarding U.S. law or of any other applicable jurisdiction, furnished at the expense of the Company, as the Depositary reasonably requests, that the distribution of such notices, reports and any such other communications to Holders from time to time is valid and does not or will not infringe any local, U.S. or other applicable jurisdiction regulatory restrictions or requirements if so distributed and made available to Holders. The Company will timely provide the Depositary with the quantity of such notices, reports, and communications, as requested by the Depositary from time to time, in order for the Depositary to effect such mailings. The Company has delivered to the Depositary and the Custodian a copy of the Memorandum and Articles of Association along with the provisions of or governing the Shares and any other Deposited Securities issued by the Company or any Affiliate of the Company, in connection with the Shares, in each case, to the extent not in English, along with a certified English translation thereof, and promptly upon any amendment thereto or change therein, the Company shall deliver to the Depositary and the Custodian a copy of such amendment thereto or change therein, to the extent not in English, along with a certified English translation thereof. The Depositary may rely upon such copy for all purposes of this Deposit Agreement.</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Depositary will make available, at the expense of the Company, a copy of any such notices, reports or communications issued by the Company and delivered to the Depositary for inspection by the Holders of the Receipts evidencing the American Depositary Shares representing such Shares governed by such provisions at the Depositary’s Corporate Trust Office, at the office of the Custodian and at any other designated transfer office.</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Issuance of Additional Shares, ADSs etc</w:t>
      </w:r>
      <w:r>
        <w:rPr>
          <w:rFonts w:ascii="Times New Roman" w:cs="Times New Roman" w:eastAsia="Times New Roman" w:hAnsi="Times New Roman"/>
          <w:sz w:val="18"/>
          <w:szCs w:val="18"/>
          <w:color w:val="auto"/>
        </w:rPr>
        <w:t>. The Company agrees that in the event it or any of its Affiliates proposes (i) an issuance, sale or distribution of additional Shares, (ii) an offering of rights to subscribe for Shares or other Deposited Securities, (iii) an issuance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subdivision, amalgamation or consolidation or transfer of assets, (viii) any reclassification, recapitalization, reorganization, merger, amalgamation, consolidation or sale of assets which affects the Deposited Securities or (ix) a distribution of property other than cash, Shares or rights to purchase additional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or the securities laws of the states of the United States). In support of the foregoing, the Company will furnish to the Depositary at its request, at the Company’s expense, (a) a written opinion of U.S. counsel (satisfactory to the Depositary) stating whether or not application of such transaction to Holders and Beneficial Owners (1) requires a registration statement under the Securities Act to be in effect or (2) is exempt from the registration requirements of the Securities Act and/or (3) dealing with such other issues requested by the Depositary; (b) a written opinion of Cayman Islands counsel (satisfactory to the Depositary) stating that (1) making the transaction available to Holders and Beneficial Owners does not violate the laws or regulations of the Cayman Islands and (2) all requisite regulatory and corporate consents and approvals have been obtained in the Cayman Islands; and (c) as the Depositary may request, a written Opinion of Counsel in any other jurisdiction in which Holders or Beneficial Owners reside to the effect that making the transaction available to such Holders or Beneficial Owners does not violate the laws or regulations of such jurisdiction as well as certificates of the Company as to such matters as the Depositary may deem necessary or appropriate in the circumstances. If the filing of a registration statement is required, the Depositary shall not have any obligation to proceed with the transaction unless it shall have received evidence reasonably satisfactory to it that such registration statement has been declared effective and that such distribution is in accordance with all applicable laws or regulations.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this Deposit Agreement, to prevent such transaction from violating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33" w:name="page334"/>
    <w:bookmarkEnd w:id="333"/>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unless such transaction and the securities issuable in such transaction are exempt from registration under the Securities Act or have been registered under the Securities Act (and such registration statement has been declared effective).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Notwithstanding anything else contained in this Deposit Agreement, nothing in this Deposit Agreement shall be deemed to obligate the Company to file any registration statement in respect of any proposed transaction.</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agrees to indemnify the Depositary, any Custodian and each of their respective directors, officers, employees, agents (including without limitation, the Agents) and Affiliates against, and hold each of them harmless from, any losses, liabilities, taxes, costs, claims, judgments, proceedings, actions, demands and any charges or expenses of any kind whatsoever (including, but not limited to, reasonable fees and expenses of counsel together with, in each case, value added tax and any similar tax charged or otherwise imposed in respect thereof) (collectively referred to as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which the Depositary or any agent (including without limitation, the Agents) thereof may incur or which may be made against it as a result of or in connection with its appointment or the exercise of its powers and duties under this Agreement or that may arise (a) out of or in connection with any offer, issuance, sale, resale, transfer, deposit or withdrawal of Receipts, American Depositary Shares, the Shares, or other Deposited Securities, as the case may be, (b) out of or in connection with any offering documents in respect thereof or (c) out of or in connection with acts performed or omitted, including, but not limited to, any delivery by the Depositary on behalf of the Company of information regarding the Company in connection with this Deposit Agreement, the Receipts, the American Depositary Shares, the Shares, or any Deposited Securities, in any such case (i) by the Depositary, the Custodian or any of their respective directors, officers, employees, agents (including without limitation, the Agents) and Affiliates, except to the extent any such Losses arise out of the gross negligence or wilful misconduct of any of them, or (ii) by the Company or any of its directors, officers, employees, agents and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34" w:name="page335"/>
    <w:bookmarkEnd w:id="334"/>
    <w:p>
      <w:pPr>
        <w:jc w:val="both"/>
        <w:spacing w:after="0" w:line="261" w:lineRule="auto"/>
        <w:rPr>
          <w:sz w:val="20"/>
          <w:szCs w:val="20"/>
          <w:color w:val="auto"/>
        </w:rPr>
      </w:pPr>
      <w:r>
        <w:rPr>
          <w:rFonts w:ascii="Times New Roman" w:cs="Times New Roman" w:eastAsia="Times New Roman" w:hAnsi="Times New Roman"/>
          <w:sz w:val="18"/>
          <w:szCs w:val="18"/>
          <w:color w:val="auto"/>
        </w:rPr>
        <w:t>The Depositary agrees to indemnify the Company and hold it harmless from any Losses which may arise out of acts performed or omitted to be performed by the Depositary arising out of its gross negligence or wilful misconduct. Notwithstanding the above, in no event shall the Depositary or any of its directors, officers, employees, agents (including without limitation, the Agents) and/or Affiliates be liable for any special, consequential, indirect or punitive damages to the Company, Holders, Beneficial Owners or any other person.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person seeking indemnification hereunder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notify the person from whom it is seeking indemnification (the “</w:t>
      </w:r>
      <w:r>
        <w:rPr>
          <w:rFonts w:ascii="Times New Roman" w:cs="Times New Roman" w:eastAsia="Times New Roman" w:hAnsi="Times New Roman"/>
          <w:sz w:val="18"/>
          <w:szCs w:val="18"/>
          <w:b w:val="1"/>
          <w:bCs w:val="1"/>
          <w:color w:val="auto"/>
        </w:rPr>
        <w:t>Indemnifying Person</w:t>
      </w:r>
      <w:r>
        <w:rPr>
          <w:rFonts w:ascii="Times New Roman" w:cs="Times New Roman" w:eastAsia="Times New Roman" w:hAnsi="Times New Roman"/>
          <w:sz w:val="18"/>
          <w:szCs w:val="18"/>
          <w:color w:val="auto"/>
        </w:rPr>
        <w:t>”) of the commencement of any indemnifiable action or claim promptly after such Indemnified Person becomes aware of such commencement (provided that the failure to make such notification shall not affect such Indemnified Person’s rights to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under the circumstances. No Indemnified Person shall compromise or settle any action or claim that may give rise to an indemnity hereunder without the consent of the Indemnifying Person, which consent shall not be unreasonably withheld.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obligations set forth in this Section shall survive the termination of this Deposit Agreement and the succession or substitution of any party hereto.</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Fees and Charges of Depositary</w:t>
      </w:r>
      <w:r>
        <w:rPr>
          <w:rFonts w:ascii="Times New Roman" w:cs="Times New Roman" w:eastAsia="Times New Roman" w:hAnsi="Times New Roman"/>
          <w:sz w:val="18"/>
          <w:szCs w:val="18"/>
          <w:color w:val="auto"/>
        </w:rPr>
        <w:t>. The Company, the Holders, the Beneficial Owners, and persons depositing Shares or surrendering ADSs for cancellation and withdrawal of Deposited Securities shall be required to pay to the Depositary the Depositary’s fees and related charges identified as payable by them respectively as provided for under Article (9) of the Receipt. All fees and charges so payable may, at any time and from time to time, be changed by agreement between the Depositary and the Company, but, in the case of fees and charges payable by Holders and Beneficial Owners, only in the manner contemplated in Section 6.1 hereof. The Depositary shall provide, without charge, a copy of its latest fee schedule to anyone upon request.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Depositary and the Company may reach separate agreement in relation to the payment of any additional remuneration to the Depositary in respect of any exceptional duties which the Depositary finds necessary or desirable and agreed by both parties in the performance of its obligations hereunder and in respect of the actual costs and expenses of the Depositary in respect of any notices required to be given to the Holders in accordance with Article (20) of the Receipt.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any payment by the Company to the Depositary:</w:t>
      </w:r>
    </w:p>
    <w:p>
      <w:pPr>
        <w:spacing w:after="0" w:line="225" w:lineRule="exact"/>
        <w:rPr>
          <w:sz w:val="20"/>
          <w:szCs w:val="20"/>
          <w:color w:val="auto"/>
        </w:rPr>
      </w:pPr>
    </w:p>
    <w:p>
      <w:pPr>
        <w:jc w:val="both"/>
        <w:ind w:left="460" w:hanging="452"/>
        <w:spacing w:after="0" w:line="266" w:lineRule="auto"/>
        <w:tabs>
          <w:tab w:leader="none" w:pos="4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taxes, duties, charges, costs and expenses which are payable by the Company shall be paid or be procured to be paid by the Company (and any such amounts which are paid by the Depositary shall be reimbursed to the Depositary by the Company upon demand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35" w:name="page336"/>
    <w:bookmarkEnd w:id="335"/>
    <w:p>
      <w:pPr>
        <w:jc w:val="both"/>
        <w:ind w:left="460" w:hanging="452"/>
        <w:spacing w:after="0" w:line="266" w:lineRule="auto"/>
        <w:tabs>
          <w:tab w:leader="none" w:pos="4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payment shall be subject to all necessary applicable exchange control and other consents and approvals having been obtained. The Company undertakes to use its reasonable endeavours to obtain all necessary approvals that are required to be obtained by it in this connection; and</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request, in its sole but reasonable discretion after reasonable consultation with the Company, an Opinion of Counsel regarding U.S. law, the laws of the Cayman Islands or of any other relevant jurisdiction, to be furnished at the expense of the Company, if at any time it deems it necessary to seek such an Opinion of Counsel regarding the validity of any action to be taken or instructed to be taken under this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agrees to promptly pay to the Depositary such other fees, charges and expenses and to reimburse the Depositary for such out-of-pocket expenses as the Depositary and the Company may agree to in writing from time to time. Responsibility for payment of such charges may at any time and from time to time be changed by agreement between the Company and the Depositary.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payments by the Company to the Depositary under this Section 5.9 shall be paid without set-off or counterclaim, and free and clear of and without deduction or withholding for or on account of, any present or future taxes, levies, imports, duties, fees, assessments or other charges of whatever nature, imposed by the Cayman Islands or by any department, agency or other political subdivision or taxing authority thereof or therein, and all interest, penalties or similar liabilities with respect thereto.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right of the Depositary to receive payment of fees, charges and expenses as provided above shall survive the termination of this Deposit Agreement. As to any Depositary, upon the resignation or removal of such Depositary as described in Section 5.4 hereof, such right shall extend for those fees, charges and expenses incurred prior to the effectiveness of such resignation or removal.</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Restricted Securities Owners/Ownership Restrictions</w:t>
      </w:r>
      <w:r>
        <w:rPr>
          <w:rFonts w:ascii="Times New Roman" w:cs="Times New Roman" w:eastAsia="Times New Roman" w:hAnsi="Times New Roman"/>
          <w:sz w:val="18"/>
          <w:szCs w:val="18"/>
          <w:color w:val="auto"/>
        </w:rPr>
        <w:t>. From time to time or upon request of the Depositary, the Company shall provide to the Depositary a list setting forth, to the actual knowledge of the Company, those persons or entities who beneficially own Restricted Securities and the Company shall update such list on a regular basis. The Depositary may rely on such list or update but shall not be liable for any action or omission made in reliance thereon. The Company agrees to advise in writing each of the persons or entities who, to the knowledge of the Company, holds Restricted Securities that such Restricted Securities are ineligible for deposit hereunder (except under the circumstances contemplated in Section 2.11) and, to the extent practicable, shall require each of such persons to represent in writing that such person will not deposit Restricted Securities hereunder (except under the circumstances contemplated in Section 2.11). Holders and Beneficial Owners shall comply with any limitations on ownership of Shares under the Memorandum and Articles of Association or applicable Cayman Islands law as if they held the number of Shares their ADSs represent. The Company shall, in accordance with Article (24) of the Receipt, inform Holders and Beneficial Owners and the Depositary of any other limitations on ownership of Shares that the Holders and Beneficial Owners may be subject to by reason of the number of ADSs held under the Articles of Association or applicable Cayman Islands law, as such restrictions may be in force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36" w:name="page337"/>
    <w:bookmarkEnd w:id="336"/>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in its sole discretion, but subject to applicable law, instruct the Depositary to take action with respect to the ownership interest of any Holder or Beneficial Owner pursuant to the Memorandum and Articles of Association, including but not limited to, the removal or limitation of voting rights or the mandatory sale or disposition on behalf of a Holder or Beneficial Owner of the Shares represented by the ADRs held by such Holder or Beneficial Owner in excess of such limitations, if and to the extent such disposition is permitted by applicable law and the Memorandum and Articles of Association; provided that any such measures are practicable and legal and can be undertaken without undue burden or expense, and provided further the Depositary’s agreement to the foregoing is conditional upon it being advised of any applicable changes in the Memorandum and Articles of Association. The Depositary shall have no liability for any actions taken in accordance with such instructions.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Amendment/Supplement</w:t>
      </w:r>
      <w:r>
        <w:rPr>
          <w:rFonts w:ascii="Times New Roman" w:cs="Times New Roman" w:eastAsia="Times New Roman" w:hAnsi="Times New Roman"/>
          <w:sz w:val="18"/>
          <w:szCs w:val="18"/>
          <w:color w:val="auto"/>
        </w:rPr>
        <w:t>. Subject to the terms and conditions of this Section 6.1 and applicable law, the Receipts outstanding at any time, the provisions of this Deposit Agreement and the form of Receipt attached hereto and to be issued under the terms hereof may at any time and from time to time be amended or supplemented by written agreement between the Company and the Depositary in any respect which they may deem necessary or desirable and not materially prejudicial to the Holders without the consent of the Holders or Beneficial Owners. Any amendment or supplement which shall impose or increase any fees or charges (other than charges in connection with foreign exchange control regulations, and taxes and/or other governmental charges, delivery and other such expenses payable by Holders or Beneficial Owners), or which shall otherwise materially prejudice any substantial existing right of Holders or Beneficial Owners, shall not, however, become effective as to outstanding Receipts until 30 days after notice of such amendment or supplement shall have been given to the Holders of outstanding Receipts. Notice of any amendment to this Deposit Agreement or form of Receipts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(i.e., upon retrieval from the Commission’s, the Depositary’s or the Company’s website or upon request from the Depositary).The parties hereto agree that any amendments or supplements which (i) are reasonably necessary (as agreed by the Company and the Depositary) in order for (a) the American Depositary Shares to be registered on Form F-6 under the Securities Act or (b) the American Depositary Shares or the Shares to be traded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American Depositary Share or Shares, to consent and agree to such amendment or supplement and to be bound by this Deposit Agreement as amended and supplemented thereby. In no event shall any amendment or supplement impair the right of the Holder to surrender such Receipt and receive therefor the Deposited Securities represented thereby, except in order to comply with mandatory provisions of applicable law. Notwithstanding the foregoing, if any governmental body should adopt new laws, rules or regulations which would require amendment or supplement of this Deposit Agreement to ensure compliance therewith, the Company and the Depositary may amend or supplement this Deposit Agreement and the Receipt at any time in accordance with such changed laws, rules or regulations. Such amendment or supplement to this Deposit Agreement in such circumstances may become effective before a notice of such amendment or supplement is given to Holders or within any other period of time as required for compliance with such laws, rules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37" w:name="page338"/>
    <w:bookmarkEnd w:id="33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Depositary shall, at any time at the written direction of the Company, terminate this Deposit Agreement by mailing notice of such termination to the Holders of all Receipts then outstanding at least 90 days prior to the date fixed in such notice for such termination, provided that, the Depositary shall be reimbursed for any amounts, fees, costs or expenses owed to it in accordance with the terms of this Deposit Agreement and in accordance with any other agreements as otherwise agreed in writing between the Company and the Depositary from time to time, prior to such termination shall take effect. If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hereof, the Depositary may terminate this Deposit Agreement by mailing notice of such termination to the Holders of all Receipts then outstanding at least 30 days prior to the date fixed for such termination. On and after the date of termination of this Deposit Agreement, each Holder will, upon surrender of such Receipt at the Corporate Trust Office of the Depositary, upon the payment of the charges of the Depositary for the surrender of Receipts referred to in Section 2.6 hereof and subject to the conditions and restrictions therein set forth, and upon payment of any applicable taxes and/or governmental charges, be entitled to Delivery, to him or upon his order, of the amount of Deposited Securities represented by such Receipt. If any Receipts shall remain outstanding after the date of termination of this Deposit Agreement, the Registrar thereafter shall discontinue the registration of transfers of Receipts, and the Depositary shall suspend the distribution of dividends to the Holders thereof, and shall not give any further notices or perform any further acts under this Deposit Agreement, except that the Depositary shall continue to collect dividends and other distributions pertaining to Deposited Securities, shall sell rights or other property as provided in this Deposit Agreement, and shall continue to Deliver Deposited Securities, subject to the conditions and restrictions set forth in Section 2.6 hereof, together with any dividends or other distributions received with respect thereto and the net proceeds of the sale of any rights or other property, in exchange for Receipts surrendered to the Depositary (after deducting, or charging, as the case may be, in each case, the charges of the Depositary for the surrender of a Receipt, any expenses for the account of the Holder in accordance with the terms and conditions of this Deposit Agreement and any applicable taxes and/or governmental charges or assessments). At any time after the expiration of six months from the date of termination of this Deposit Agreement,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of Receipts whose Receipts have not theretofore been surrendered. After making such sale, the Depositary shall be discharged from all obligations under this Deposit Agreement with respect to the Receipts and the Shares, Deposited Securities and American Depositary Shares, except to account for such net proceeds and other cash (after deducting, or charging, as the case may be, in each case, the charges of the Depositary for the surrender of a Receipt, any expenses for the account of the Holder in accordance with the terms and conditions of this Deposit Agreement and any applicable taxes and/or governmental charges or assessments). Upon the termination of this Deposit Agreement, the Company shall be discharged from all obligations under this Deposit Agreement except for its obligations to the Depositary hereunder. The obligations under the terms of this Deposit Agreement and Receipts of Holders and Beneficial Owners of ADSs outstanding as of the effective date of any termination shall survive such effective date of termination and shall be discharged only when the applicable ADSs are presented by their Holders to the Depositary for cancellation under the terms of this Deposit Agreement and the Holders have each satisfied any and all of their obligations hereunder (including, but not limited to, any payment and/or reimbursement obligations which relate to prior to the effective date of termination but which payment and/or reimbursement is claimed after such effective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38" w:name="page339"/>
    <w:bookmarkEnd w:id="338"/>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Deposit Agreement may be executed in any number of counterparts, each of which shall be deemed an original, and all of such counterparts together shall constitute one and the same agreement. Copies of this Deposit Agreement shall be maintained with the Depositary and shall be open to inspection by any Holder during business hours.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Deposit Agreement is for the exclusive benefit of the parties hereto (and their successors) and shall not be deemed to give any legal or equitable right, remedy or claim whatsoever to any other person, except to the extent specifically set forth in this Deposit Agreement. Nothing in this Deposit Agreement shall be deemed to give rise to a partnership or joint venture among the parties hereto nor establish a fiduciary or similar relationship among the parties. The parties hereto acknowledge and agree that (i) the Depositary and its Affiliates may at any time have multiple banking relationships with the Company and its Affiliates, (ii) the Depositary and its Affiliates may be engaged at any time in transactions in which parties adverse to the Company or the Holders or Beneficial Owners may have interests and (iii) nothing contained in this Agreement shall (a) preclude the Depositary or any of its Affiliates from engaging in such transactions or establishing or maintaining such relationships, or (b) obligate the Depositary or any of its Affiliates to disclose such transactions or relationships or to account for any profit made or payment received in such transactions or relationships.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contained in this Deposit Agreement or in the Receipts should be or become invalid, illegal or unenforceable in any respect, the validity, legality and enforceability of the remaining provisions contained herein or therein shall in no way be affected, prejudiced or disturbed thereby.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Holders and Beneficial Owners as Parties; Binding Effect</w:t>
      </w:r>
      <w:r>
        <w:rPr>
          <w:rFonts w:ascii="Times New Roman" w:cs="Times New Roman" w:eastAsia="Times New Roman" w:hAnsi="Times New Roman"/>
          <w:sz w:val="18"/>
          <w:szCs w:val="18"/>
          <w:color w:val="auto"/>
        </w:rPr>
        <w:t>. The Holders and Beneficial Owners from time to time of American Depositary Shares shall be parties to this Deposit Agreement and shall be bound by all of the terms and conditions hereof and of any Receipt by acceptance hereof or any beneficial interest therein.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to be given to the Company shall be deemed to have been duly given if personally delivered or sent by first-class mail, air courier or cable, telex, facsimile transmission or electronic transmission, confirmed by letter, addressed to Lotus Technology Inc., No. 800 Century Avenue, Pudong District, Shanghai, People’s Republic of China Attention: Alexious Kuen Long Lee or to any other address which the Company may specify in writing to the Depositary or at which it may be effectively given such notice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339" w:name="page340"/>
    <w:bookmarkEnd w:id="33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and all notices to be given to the Depositary shall be deemed to have been duly given if personally delivered or sent by first-class mail, air courier or cable, telex, facsimile transmission or by electronic transmission (if agreed by the Company and the Depositary), at the Company’s expense, unless otherwise agreed in writing between the Company and the Depositary, confirmed by letter, addressed to Deutsche Bank Trust Company Americas, 1 Columbus Circle, New York, NY 10019, USA, Attention: ADR Department, telephone: +1 212 250- 9100, facsimile: + 1 212 797 0327 or to any other address which the Depositary may specify in writing to the Company.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and all notices to be given to any Holder shall be deemed to have been duly given if personally delivered or sent by first-class mail or cable, telex, facsimile transmission or by electronic transmission (if agreed by the Company and the Depositary), at the Company’s expense, unless otherwise agreed in writing between the Company and the Depositary, addressed to such Holder at the address of such Holder as it appears on the transfer books for Receipts of the Depositary, or, if such Holder shall have filed with the Depositary a written request that notices intended for such Holder be mailed to some other address, at the address specified in such request. Notice to Holders shall be deemed to be notice to Beneficial Owners for all purposes of this Deposit Agreement.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Delivery of a notice sent by mail, air courier or cable, telex, facsimile or electronic transmission shall be deemed to be effective at the time when a duly addressed letter containing the same (or a confirmation thereof in the case of a cable, telex, facsimile or electronic transmission) is deposited, postage prepaid, in a post-office letter box or delivered to an air courier service. The Depositary or the Company may, however, act upon any cable, telex, facsimile or electronic transmission received by it from the other or from any Holder, notwithstanding that such cable, telex, facsimile or electronic transmission shall not subsequently be confirmed by letter as aforesaid, as the case may be.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This Deposit Agreement and the Receipts shall be interpreted in accordance with, and all rights hereunder and thereunder and provisions hereof and thereof shall be governed by, the laws of the State of New York without reference to the principles of choice of law thereof. Subject to the Depositary’s rights under the third paragraph of this Section 7.6, the Company and the Depositary agree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suit, action or proceeding and to settle any dispute between them that may arise out of or relate in any way to this Deposit Agreement including without limitation claims under the Securities Act and, for such purposes, each irrevocably submits to the exclusive jurisdiction of such courts. Notwithstanding the above, the parties hereto agree that any judgment and/or order from any such New York court can be enforced in any court having jurisdiction thereof. The Company hereby irrevocably designates, appoints and empowers Cogency Global Inc., (the “</w:t>
      </w:r>
      <w:r>
        <w:rPr>
          <w:rFonts w:ascii="Times New Roman" w:cs="Times New Roman" w:eastAsia="Times New Roman" w:hAnsi="Times New Roman"/>
          <w:sz w:val="18"/>
          <w:szCs w:val="18"/>
          <w:b w:val="1"/>
          <w:bCs w:val="1"/>
          <w:color w:val="auto"/>
        </w:rPr>
        <w:t>Process Agent</w:t>
      </w:r>
      <w:r>
        <w:rPr>
          <w:rFonts w:ascii="Times New Roman" w:cs="Times New Roman" w:eastAsia="Times New Roman" w:hAnsi="Times New Roman"/>
          <w:sz w:val="18"/>
          <w:szCs w:val="18"/>
          <w:color w:val="auto"/>
        </w:rPr>
        <w:t>”), now at 122 East 42nd Street, 18th Floor, New York, NY 10168, as its authorized agent to receive and accept for and on its behalf, and on behalf of its properties, assets and revenues, service by mail of any and all legal process, summons, notices and documents that may be served in any suit, action or proceeding brought against the Company in such courts as described in the preceding sentence or in the next paragraph of this Section 7.6. If for any reason the Process Agent shall cease to be available to act as such, the Company agrees to designate a new agent in the City of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Process Agent (whether or not the appointment of such Process Agent shall for any reason prove to be ineffective or such Process Agent shall fail to accept or acknowledge such service), with a copy mailed to the Company by registered or certified air mail, postage prepaid, to its address provided in Section 7.5 hereof. The Company agrees that the failure of the Process Agent to give any notice of such service to it shall not impair or affect in any way the validity of such service or any judgment rendered in any action or proceeding based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40" w:name="page341"/>
    <w:bookmarkEnd w:id="34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the Depositary and by holding an American Depositary Share (or interest therein) Holders and Beneficial Owners each agree that, notwithstanding the foregoing, with regard to any claim or dispute or difference of whatever nature between or involving the parties hereto arising directly or indirectly from the relationship created by this Deposit Agreement, the Depositary, in its sole discretion, shall be entitled to refer such dispute or difference for final settlement by arbitration (“</w:t>
      </w: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 in accordance with the Commercial Arbitration Rules of the American Arbitration Association (the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then in force. The arbitration shall be conducted by three arbitrators, one nominated by the Depositary, one nominated by the Company, and one nominated by the two party-appointed arbitrators within 30 calendar days of the confirmation of the nomination of the second arbitrator. If any arbitrator has not been nominated within the time limits specified herein and in the Rules, then such arbitrator shall be appointed by the American Arbitration Association in accordance with the Rules. Judgment upon the award rendered by the arbitrators may be enforced in any court having jurisdiction thereof. The seat and place of any reference to arbitration shall be New York City, New York, and the procedural law of such arbitration shall be New York law. The language to be used in the arbitration shall be English. The fees of the arbitrator and other costs incurred by the parties in connection with such Arbitration shall be paid by the party or parties that is (are) unsuccessful in such Arbitration. For the avoidance of doubt this paragraph does not preclude Holders and Beneficial Owners from pursuing claims under the Securities Act or the Exchange Act in federal courts.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Holders and Beneficial Owners understand, and by holding an American Depositary Share or an interest therein, such Holders and Beneficial Owners each irrevocably agrees that any legal suit, action or proceeding against or involving the Company or the Depositary, regardless of whether such legal suit, action or proceeding also involves parties other than the Company or the Depositary, arising out of or relating in any way to the Deposit Agreement, the American Depositary Shares or Receipts, or the transactions contemplated hereby or thereby or by virtue of ownership thereof, including without limitation claims under the Securities Act,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by holding an American Depositary Share or an interest therein each irrevocably waives any objection which it may now or hereafter have to the laying of venue of any such proceeding, and irrevocably submits to the exclusive jurisdiction of such courts in any such suit, action or proceeding. Holders and Beneficial Owners agree that the provisions of this paragraph shall survive such Holders’ and Beneficial Owners’ ownership of American Depositary Shares or interests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41" w:name="page342"/>
    <w:bookmarkEnd w:id="34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PARTY TO THIS DEPOSIT AGREEMENT (INCLUDING, FOR AVOIDANCE OF DOUBT, EACH HOLDER AND BENEFICIAL OWNER AND/OR HOLDER OF INTERESTS IN ANY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THIS DEPOSIT AGREEMENT OR ANY TRANSACTION CONTEMPLATED HEREIN OR THEREIN, OR THE BREACH HEREOF OR THEREOF (WHETHER BASED ON CONTRACT, TORT, COMMON LAW OR ANY OTHER THEORY).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7.6 shall survive any termination of this Deposit Agreement, in whole or in part.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Subject to the provisions and exceptions set forth in Section 5.4 hereof, this Deposit Agreement may not be assigned by either the Company or the Depositary.</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The Depositary shall be entitled, in its sole but reasonable discretion, to appoint one or more agents (the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xml:space="preserve">”) of which it shall have control for the purpose,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of making distributions to the Holders or otherwise carrying out its obligations under this Agreement.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Affiliates etc</w:t>
      </w:r>
      <w:r>
        <w:rPr>
          <w:rFonts w:ascii="Times New Roman" w:cs="Times New Roman" w:eastAsia="Times New Roman" w:hAnsi="Times New Roman"/>
          <w:sz w:val="18"/>
          <w:szCs w:val="18"/>
          <w:color w:val="auto"/>
        </w:rPr>
        <w:t>. The Depositary reserves the right to utilize and retain a division or Affiliate(s) of the Depositary to direct, manage and/or execute any public and/or private sale of Shares, rights, securities, property or other entitlements hereunder and to engage in the conversion of Foreign Currency hereunder. It is anticipated that such division and/or Affiliate(s) will charge the Depositary a fee and/or commission in connection with each such transaction, and seek reimbursement of its costs and expenses related thereto. Such fees/commissions, costs and expenses, shall be deducted from amounts distributed hereunder and shall not be deemed to be fees of the Depositary under Article (9) of the Receipt or otherwise. Persons are advised that in converting foreign currency into U.S. dollars the Depositary may utilize Deutsche Bank AG or its affiliates (collectively, “</w:t>
      </w:r>
      <w:r>
        <w:rPr>
          <w:rFonts w:ascii="Times New Roman" w:cs="Times New Roman" w:eastAsia="Times New Roman" w:hAnsi="Times New Roman"/>
          <w:sz w:val="18"/>
          <w:szCs w:val="18"/>
          <w:b w:val="1"/>
          <w:bCs w:val="1"/>
          <w:color w:val="auto"/>
        </w:rPr>
        <w:t>DBAG</w:t>
      </w:r>
      <w:r>
        <w:rPr>
          <w:rFonts w:ascii="Times New Roman" w:cs="Times New Roman" w:eastAsia="Times New Roman" w:hAnsi="Times New Roman"/>
          <w:sz w:val="18"/>
          <w:szCs w:val="18"/>
          <w:color w:val="auto"/>
        </w:rPr>
        <w:t>”) to effect such conversion by seeking to enter into a foreign exchange (“</w:t>
      </w:r>
      <w:r>
        <w:rPr>
          <w:rFonts w:ascii="Times New Roman" w:cs="Times New Roman" w:eastAsia="Times New Roman" w:hAnsi="Times New Roman"/>
          <w:sz w:val="18"/>
          <w:szCs w:val="18"/>
          <w:b w:val="1"/>
          <w:bCs w:val="1"/>
          <w:color w:val="auto"/>
        </w:rPr>
        <w:t>FX</w:t>
      </w:r>
      <w:r>
        <w:rPr>
          <w:rFonts w:ascii="Times New Roman" w:cs="Times New Roman" w:eastAsia="Times New Roman" w:hAnsi="Times New Roman"/>
          <w:sz w:val="18"/>
          <w:szCs w:val="18"/>
          <w:color w:val="auto"/>
        </w:rPr>
        <w:t>”) transaction with DBAG. When converting currency, the Depositary is not acting as a fiduciary for the holders or beneficial owners of depositary receipts or any other person. Moreover, in executing FX transactions, DBAG will be acting in a principal capacity, and not as agent, fiduciary or broker, and may hold positions for its own account that are the same, similar, different or opposite to the positions of its customers, including the Depositary. When the Depositary seeks to execute an FX transaction to accomplish such conversion, customers should be aware that DBAG is a global dealer in FX for a full range of FX products and, as a result, the rate obtained in connection with any requested foreign currency conversion may be impacted by DBAG executing FX transactions for its own account or with another customer. In addition, in order to source liquidity for any FX transaction relating to any foreign currency conversion, DBAG may internally share economic terms relating to the relevant FX transaction with persons acting in a sales or trading capacity for DBAG or one of its agents. DBAG may charge fees and/or commissions to the Depositary or add a mark-up in connection with such conversions, which are reflected in the rate at which the foreign currency will be converted into U.S. dollars. The Depositary, its Affiliates and their agents, on their own behalf, may own and deal in any class of securities of the Company and its Affiliates and in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42" w:name="page343"/>
    <w:bookmarkEnd w:id="34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The Company agrees not to appoint any other depositary for the issuance or administration of depositary receipts evidencing any class of stock of the Company so long as Deutsche Bank Trust Company Americas is acting as Depositary hereunder.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Compliance with U.S. Securities Laws</w:t>
      </w:r>
      <w:r>
        <w:rPr>
          <w:rFonts w:ascii="Times New Roman" w:cs="Times New Roman" w:eastAsia="Times New Roman" w:hAnsi="Times New Roman"/>
          <w:sz w:val="18"/>
          <w:szCs w:val="18"/>
          <w:color w:val="auto"/>
        </w:rPr>
        <w:t>. Notwithstanding anything in this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All references in this Deposit Agreement to exhibits, Articles, sections, subsections, and other subdivisions refer to the exhibits, Articles, sections, subsections and other subdivisions of this Deposit Agreement unless expressly provided otherwise. The words “</w:t>
      </w:r>
      <w:r>
        <w:rPr>
          <w:rFonts w:ascii="Times New Roman" w:cs="Times New Roman" w:eastAsia="Times New Roman" w:hAnsi="Times New Roman"/>
          <w:sz w:val="18"/>
          <w:szCs w:val="18"/>
          <w:b w:val="1"/>
          <w:bCs w:val="1"/>
          <w:color w:val="auto"/>
        </w:rPr>
        <w:t>this Deposit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hereby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hereunder</w:t>
      </w:r>
      <w:r>
        <w:rPr>
          <w:rFonts w:ascii="Times New Roman" w:cs="Times New Roman" w:eastAsia="Times New Roman" w:hAnsi="Times New Roman"/>
          <w:sz w:val="18"/>
          <w:szCs w:val="18"/>
          <w:color w:val="auto"/>
        </w:rPr>
        <w:t>”, and words of similar import refer to this Deposit Agreement as a whole as in effect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vice versa unless the context otherwise requires. Titles to sections of this Deposit Agreement are included for convenience only and shall be disregarded in construing the language contained in this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43" w:name="page344"/>
    <w:bookmarkEnd w:id="343"/>
    <w:p>
      <w:pPr>
        <w:jc w:val="both"/>
        <w:spacing w:after="0" w:line="266" w:lineRule="auto"/>
        <w:rPr>
          <w:sz w:val="20"/>
          <w:szCs w:val="20"/>
          <w:color w:val="auto"/>
        </w:rPr>
      </w:pPr>
      <w:r>
        <w:rPr>
          <w:rFonts w:ascii="Times New Roman" w:cs="Times New Roman" w:eastAsia="Times New Roman" w:hAnsi="Times New Roman"/>
          <w:sz w:val="18"/>
          <w:szCs w:val="18"/>
          <w:color w:val="auto"/>
        </w:rPr>
        <w:t>IN WITNESS WHEREOF, Lotus Technology Inc. and DEUTSCHE BANK TRUST COMPANY AMERICAS have duly executed this Deposit Agreement as of the day and year first above set forth and all Holders and Beneficial Owners shall become parties hereto upon acceptance by them of American Depositary Shares evidenced by Receipts issued in accordance with the terms hereof.</w:t>
      </w:r>
    </w:p>
    <w:p>
      <w:pPr>
        <w:spacing w:after="0" w:line="17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Qingfeng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Qingfeng Feng</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Director and Chief Executive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Christopher Konopelko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4">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Christopher Konopelko</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Robert Martello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Robert Martello</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[Signature Page to Deposit Agreement]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093" w:right="117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color w:val="auto"/>
        </w:rPr>
        <w:t>CUSIP</w:t>
      </w:r>
    </w:p>
    <w:p>
      <w:pPr>
        <w:spacing w:after="0" w:line="225"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color w:val="auto"/>
        </w:rPr>
        <w:t>ISIN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Depositary Shares (Each</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Depositary Share representing one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Fully Paid Ordinary Share)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FACE OF RECEIPT]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DEPOSITED ORDINARY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Lotus Technology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DEUTSCHE BANK TRUST COMPANY AMERICAS, as depositary (herein called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hereby certifies that is the owner of American Depositary Shares (hereinafter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representing deposited ordinary shares, each of Par Value of U.S. $0.00001 including evidence of rights to receive such ordinary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Lotus Technology Inc., a company incorporated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of the date of the Deposit Agreement (hereinafter referred to), each ADS represents one Share deposited under the Deposit Agreement with the Custodian which at the date of execution of the Deposit Agreement is Deutsche Bank AG, Hong Kong Branch (the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The ratio of Depositary Shares to shares of stock is subject to subsequent amendment as provided in Article IV of the Deposit Agreement. The Depositary’s Corporate Trust Office is located at 1 Columbus Circle, New York, NY 10019, U.S.A.</w:t>
      </w:r>
    </w:p>
    <w:p>
      <w:pPr>
        <w:spacing w:after="0" w:line="185" w:lineRule="exact"/>
        <w:rPr>
          <w:sz w:val="20"/>
          <w:szCs w:val="20"/>
          <w:color w:val="auto"/>
        </w:rPr>
      </w:pPr>
    </w:p>
    <w:p>
      <w:pPr>
        <w:jc w:val="both"/>
        <w:ind w:firstLine="8"/>
        <w:spacing w:after="0" w:line="254" w:lineRule="auto"/>
        <w:tabs>
          <w:tab w:leader="none" w:pos="64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Deposit Agreement</w:t>
      </w:r>
      <w:r>
        <w:rPr>
          <w:rFonts w:ascii="Times New Roman" w:cs="Times New Roman" w:eastAsia="Times New Roman" w:hAnsi="Times New Roman"/>
          <w:sz w:val="18"/>
          <w:szCs w:val="18"/>
          <w:color w:val="auto"/>
        </w:rPr>
        <w:t>. This American Depositary Receipt is one of an issue of American Depositary Receipts (“</w:t>
      </w:r>
      <w:r>
        <w:rPr>
          <w:rFonts w:ascii="Times New Roman" w:cs="Times New Roman" w:eastAsia="Times New Roman" w:hAnsi="Times New Roman"/>
          <w:sz w:val="18"/>
          <w:szCs w:val="18"/>
          <w:b w:val="1"/>
          <w:bCs w:val="1"/>
          <w:color w:val="auto"/>
        </w:rPr>
        <w:t>Receipts</w:t>
      </w:r>
      <w:r>
        <w:rPr>
          <w:rFonts w:ascii="Times New Roman" w:cs="Times New Roman" w:eastAsia="Times New Roman" w:hAnsi="Times New Roman"/>
          <w:sz w:val="18"/>
          <w:szCs w:val="18"/>
          <w:color w:val="auto"/>
        </w:rPr>
        <w:t>”), all issued or to be issued upon the terms and conditions set forth in the Deposit Agreement, dated as of [ • ], 2023 (as amended from time to time,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by and among the Company, the Depositary, and all Holders and Beneficial Owners from time to time of Receipts issued thereunder, each of whom by accepting a Receipt agrees to become a party thereto and becomes bound by all the terms and conditions thereof. The Deposit Agreement sets forth the rights and obligations of Holders and Beneficial Owners of Receipts and the rights and duties of the Depositary in respect of the Shares deposited thereunder and any and all other securities, property and cash from time to time, received in respect of such Shares and held thereunder (such Shares, other securities, property and cash are herein called “</w:t>
      </w:r>
      <w:r>
        <w:rPr>
          <w:rFonts w:ascii="Times New Roman" w:cs="Times New Roman" w:eastAsia="Times New Roman" w:hAnsi="Times New Roman"/>
          <w:sz w:val="18"/>
          <w:szCs w:val="18"/>
          <w:b w:val="1"/>
          <w:bCs w:val="1"/>
          <w:color w:val="auto"/>
        </w:rPr>
        <w:t>Deposited Securities</w:t>
      </w:r>
      <w:r>
        <w:rPr>
          <w:rFonts w:ascii="Times New Roman" w:cs="Times New Roman" w:eastAsia="Times New Roman" w:hAnsi="Times New Roman"/>
          <w:sz w:val="18"/>
          <w:szCs w:val="18"/>
          <w:color w:val="auto"/>
        </w:rPr>
        <w:t>”). Copies of the Deposit Agreement are on file at the Corporate Trust Office of the Depositary and the Custodian.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345" w:name="page346"/>
    <w:bookmarkEnd w:id="345"/>
    <w:p>
      <w:pPr>
        <w:jc w:val="both"/>
        <w:spacing w:after="0" w:line="255" w:lineRule="auto"/>
        <w:rPr>
          <w:sz w:val="20"/>
          <w:szCs w:val="20"/>
          <w:color w:val="auto"/>
        </w:rPr>
      </w:pPr>
      <w:r>
        <w:rPr>
          <w:rFonts w:ascii="Times New Roman" w:cs="Times New Roman" w:eastAsia="Times New Roman" w:hAnsi="Times New Roman"/>
          <w:sz w:val="18"/>
          <w:szCs w:val="18"/>
          <w:color w:val="auto"/>
        </w:rPr>
        <w:t>Each owner and each Beneficial Owner, upon acceptance of any ADSs (or any interest therein) issued in accordance with the terms and conditions of the Deposit Agreement, shall be deemed for all purposes to (a) be a party to and bound by the terms of the Deposit Agreement and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statements made on the face and reverse of this Receipt are summaries of certain provisions of the Deposit Agreement and the Memorandum and Articles of Association (as in effect on the date of the Deposit Agreement) and are qualified by and subject to the detailed provisions of the Deposit Agreement, to which reference is hereby made. All capitalized terms used herein which are not otherwise defined herein shall have the meanings ascribed thereto in the Deposit Agreement. To the extent there is any inconsistency between the terms of this Receipt and the terms of the Deposit Agreement, the terms of the Deposit Agreement shall prevail. Prospective and actual Holders and Beneficial Owners are encouraged to read the terms of the Deposit Agreement. The Depositary makes no representation or warranty as to the validity or worth of the Deposited Securities. The Depositary has made arrangements for the acceptance of the American Depositary Shares into DTC. Each Beneficial Owner of American Depositary Shares held through DTC must rely on the procedures of DTC and the DTC Participants to exercise and be entitled to any rights attributable to such American Depositary Shares. The Receipt evidencing the American Depositary Shares held through DTC will be registered in the name of a nominee of DTC. So long as the American Depositary Shares are held through DTC or unless otherwise required by law, ownership of beneficial interests in the Receipt registered in the name of DTC (or its nominee) will be shown on, and transfers of such ownership will be effected only through, records maintained by (i) DTC (or its nominee), or (ii) DTC Participants (or their nominees).</w:t>
      </w:r>
    </w:p>
    <w:p>
      <w:pPr>
        <w:spacing w:after="0" w:line="187" w:lineRule="exact"/>
        <w:rPr>
          <w:sz w:val="20"/>
          <w:szCs w:val="20"/>
          <w:color w:val="auto"/>
        </w:rPr>
      </w:pPr>
    </w:p>
    <w:p>
      <w:pPr>
        <w:jc w:val="both"/>
        <w:ind w:firstLine="8"/>
        <w:spacing w:after="0" w:line="261" w:lineRule="auto"/>
        <w:tabs>
          <w:tab w:leader="none" w:pos="648"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 of Receipts and Withdrawal of Deposited Securities</w:t>
      </w:r>
      <w:r>
        <w:rPr>
          <w:rFonts w:ascii="Times New Roman" w:cs="Times New Roman" w:eastAsia="Times New Roman" w:hAnsi="Times New Roman"/>
          <w:sz w:val="18"/>
          <w:szCs w:val="18"/>
          <w:color w:val="auto"/>
        </w:rPr>
        <w:t>. Upon surrender, at the Corporate Trust Office of the Depositary, of ADSs evidenced by this Receipt for the purpose of withdrawal of the Deposited Securities represented thereby, and upon payment of</w:t>
      </w: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fees and charges of the Depositary for the making of withdrawals of Deposited Securities and cancellation of Receipts (as set forth in Section 5.9 of the Deposit Agreement and Article (9) hereof) and (ii) all fees, taxes and/or governmental charges payable in connection with such surrender and withdrawal, and, subject to the terms and conditions of the Deposit Agreement, the Memorandum and Articles of Association, Section 7.11 of the Deposit Agreement, Article (22) hereof and the provisions of or governing the Deposited Securities and other applicable laws, the Holder of the American Depositary Shares evidenced hereby is entitled to Delivery, to him or upon his order, of the Deposited Securities represented by the ADS so surrendered. ADS may be surrendered for the purpose of withdrawing Deposited Securities by Delivery of a Receipt evidencing such ADS (if held in registered form) or by book-entry delivery of such ADS to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46" w:name="page347"/>
    <w:bookmarkEnd w:id="346"/>
    <w:p>
      <w:pPr>
        <w:jc w:val="both"/>
        <w:spacing w:after="0" w:line="251" w:lineRule="auto"/>
        <w:rPr>
          <w:sz w:val="20"/>
          <w:szCs w:val="20"/>
          <w:color w:val="auto"/>
        </w:rPr>
      </w:pPr>
      <w:r>
        <w:rPr>
          <w:rFonts w:ascii="Times New Roman" w:cs="Times New Roman" w:eastAsia="Times New Roman" w:hAnsi="Times New Roman"/>
          <w:sz w:val="18"/>
          <w:szCs w:val="18"/>
          <w:color w:val="auto"/>
        </w:rPr>
        <w:t>A Receipt surrendered for such purposes shall, if so required by the Depositary, be properly endorsed in blank or accompanied by proper instruments of transfer in blank, and if the Depositary so requires, the Holder thereof shall execute and deliver to the Depositary a written order directing the Depositary to cause the Deposited Securities being withdrawn to be Delivered to or upon the written order of a person or persons designated in such order. Thereupon, the Depositary shall direct the Custodian to Deliver (without unreasonable delay) at the designated office of the Custodian or through a book-entry delivery of the Shares (in either case subject to the terms and conditions of the Deposit Agreement, to the Memorandum and Articles of Association, and to the provisions of or governing the Deposited Securities and applicable laws, now or hereafter in effect), to or upon the written order of the person or persons designated in the order delivered to the Depositary as provided above, the Deposited Securities represented by such ADSs, together with any certificate or other proper documents of or relating to title for the Deposited Securities or evidence of the electronic transfer thereof (if available) as the case may be to or for the account of such person. Subject to Article (4) hereof, in the case of surrender of a Receipt evidencing a number of ADSs representing other than a whole number of Shares, the Depositary shall cause ownership of the appropriate whole number of Shares to be Delivered in accordance with the terms hereof, and shall, at the discretion of the Depositary, either (i) issue and Deliver to the person surrendering such Receipt a new Receipt evidencing American Depositary Shares representing any remaining fractional Share, or (ii) sell or cause to be sold the fractional Shares represented by the Receipt so surrendered and remit the proceeds thereof (net of (a) applicable fees and charges of, and expenses incurred by, the Depositary and/or a division or Affiliate(s) of the Depositary and (b) taxes and/or governmental charges) to the person surrendering the Receipt. At the request, risk and expense of any Holder so surrendering a Receipt, and for the account of such Holder, the Depositary shall direct the Custodian to forward (to the extent permitted by law) any cash or other property (other than securities) held in respect of, and any certificate or certificates and other proper documents of or relating to title to, the Deposited Securities represented by such Receipt to the Depositary for Delivery at the Corporate Trust Office of the Depositary, and for further Delivery to such Holder. Such direction shall be given by letter or, at the request, risk and expense of such Holder, by cable, telex or facsimile transmission. Upon receipt of such direction by the Depositary, the Depositary may make delivery to such person or persons entitled thereto at the Corporate Trust Office of the Depositary of any dividends or cash distributions with respect to the Deposited Securities represented by such Receipt, or of any proceeds of sale of any dividends, distributions or rights, which may at the time be held by the Depositary.</w:t>
      </w:r>
    </w:p>
    <w:p>
      <w:pPr>
        <w:spacing w:after="0" w:line="205" w:lineRule="exact"/>
        <w:rPr>
          <w:sz w:val="20"/>
          <w:szCs w:val="20"/>
          <w:color w:val="auto"/>
        </w:rPr>
      </w:pPr>
    </w:p>
    <w:p>
      <w:pPr>
        <w:jc w:val="both"/>
        <w:ind w:firstLine="8"/>
        <w:spacing w:after="0" w:line="253" w:lineRule="auto"/>
        <w:tabs>
          <w:tab w:leader="none" w:pos="64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Split-Ups and Combinations of Receipts</w:t>
      </w:r>
      <w:r>
        <w:rPr>
          <w:rFonts w:ascii="Times New Roman" w:cs="Times New Roman" w:eastAsia="Times New Roman" w:hAnsi="Times New Roman"/>
          <w:sz w:val="18"/>
          <w:szCs w:val="18"/>
          <w:color w:val="auto"/>
        </w:rPr>
        <w:t>. Subject to the terms and conditions of the Deposit Agreement, the Registrar shall register transfers of Receipts on its books, upon surrender at the Corporate Trust Office of the Depositary of a Receipt by the Holder thereof in person or by duly authorized attorney, properly endorsed in the case of a certificated Receipt or accompanied by, or in the case of Receipts issued through any book-entry system, including, without limitation, DRS/Profile, receipt by the Depositary of proper instruments of transfer (including signature guarantees in accordance with standard industry practice) and duly stamped as may be required by the laws of the State of New York, of the United States, of the Cayman Islands and of any other applicable jurisdiction. Subject to the terms and conditions of the Deposit Agreement, including payment of the applicable fees and expenses incurred by, and charges of, the Depositary, the Depositary shall execute and Deliver a new Receipt(s) (and if necessary, cause the Registrar to countersign such Receipt(s)) and deliver same to or upon the order of the person entitled to such Receipts evidencing the same aggregate number of ADSs as those evidenced by the Receipts surrendered. Upon surrender of a Receipt or Receipts for the purpose of effecting a split-up or combination of such Receipt or Receipts upon payment of the applicable fees and charges of the Depositary, and subject to the terms and conditions of the Deposit Agreement, the Depositary shall execute and deliver a new Receipt or Receipts for any authorized number of ADSs requested, evidencing the same aggregate number of ADSs as the Receipt or Receipts surrendered.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47" w:name="page348"/>
    <w:bookmarkEnd w:id="347"/>
    <w:p>
      <w:pPr>
        <w:jc w:val="both"/>
        <w:ind w:firstLine="8"/>
        <w:spacing w:after="0" w:line="253" w:lineRule="auto"/>
        <w:tabs>
          <w:tab w:leader="none" w:pos="648"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Pre-Conditions to Registration, Transfer, Etc</w:t>
      </w:r>
      <w:r>
        <w:rPr>
          <w:rFonts w:ascii="Times New Roman" w:cs="Times New Roman" w:eastAsia="Times New Roman" w:hAnsi="Times New Roman"/>
          <w:sz w:val="18"/>
          <w:szCs w:val="18"/>
          <w:color w:val="auto"/>
        </w:rPr>
        <w:t>. As a condition precedent to the execution and Delivery, registration, registration of transfer, split-up, subdivision, combination or surrender of any Receipt, the delivery of any distribution thereon (whether in cash or shares) or withdrawal of any Deposited Securities, the Depositary or the Custodian may require (i) payment from the depositor of Shares or presenter of the Receipt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the Deposit Agreement and in this Receipt, (ii) the production of proof satisfactory to it as to the identity and genuineness of any signature or any other matter and (iii) compliance with (A) any laws or governmental regulations relating to the execution and Delivery of Receipts and ADSs or to the withdrawal of Deposited Securities and (B) such reasonable regulations of the Depositary or the Company consistent with the Deposit Agreement and applicable law.</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issuance of ADSs against the deposit of particular Shares may be withheld, or the registration of transfer of Receipts in particular instances may be refused, or the registration of transfer of Receipts generally may be suspended, during any period when the transfer books of the Depositary are closed or if any such action is deemed necessary or advisable by the Depositary or the Company, in good faith, at any time or from time to time because of any requirement of law, any government or governmental body or commission or any securities exchange upon which the Receipts or Share are listed, or under any provision of the Deposit Agreement or provisions of, or governing, the Deposited Securities or any meeting of shareholders of the Company or for any other reason, subject in all cases to Article (22)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shall not issue ADSs prior to the receipt of Shares or deliver Shares prior to the receipt and cancellation of ADSs.</w:t>
      </w:r>
    </w:p>
    <w:p>
      <w:pPr>
        <w:spacing w:after="0" w:line="225" w:lineRule="exact"/>
        <w:rPr>
          <w:sz w:val="20"/>
          <w:szCs w:val="20"/>
          <w:color w:val="auto"/>
        </w:rPr>
      </w:pPr>
    </w:p>
    <w:p>
      <w:pPr>
        <w:jc w:val="both"/>
        <w:ind w:firstLine="8"/>
        <w:spacing w:after="0" w:line="254" w:lineRule="auto"/>
        <w:tabs>
          <w:tab w:leader="none" w:pos="64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Information Requests</w:t>
      </w:r>
      <w:r>
        <w:rPr>
          <w:rFonts w:ascii="Times New Roman" w:cs="Times New Roman" w:eastAsia="Times New Roman" w:hAnsi="Times New Roman"/>
          <w:sz w:val="18"/>
          <w:szCs w:val="18"/>
          <w:color w:val="auto"/>
        </w:rPr>
        <w:t>. Notwithstanding any other provision of the Deposit Agreement or this Receipt, each Holder and Beneficial Owner of the ADSs represented hereby agrees to comply with requests from the Company pursuant to the laws of the Cayman Islands, the rules and requirements of the NASDAQ and any other stock exchange on which the Shares are, or will be registered, traded or listed, the Memorandum and Articles of Association, which are made to provide information as to the capacity in which such Holder or Beneficial Owner owns ADSs and regarding the identity of any other person interested in such ADSs and the nature of such interest and various other matters whether or not they are Holders and/or Beneficial Owner at the time of such request. The Depositary agrees to use reasonable efforts to forward any such requests to the Holders and to forward to the Company any such responses to such requests received by the Depositary.</w:t>
      </w:r>
    </w:p>
    <w:p>
      <w:pPr>
        <w:spacing w:after="0" w:line="191" w:lineRule="exact"/>
        <w:rPr>
          <w:rFonts w:ascii="Times New Roman" w:cs="Times New Roman" w:eastAsia="Times New Roman" w:hAnsi="Times New Roman"/>
          <w:sz w:val="18"/>
          <w:szCs w:val="18"/>
          <w:color w:val="auto"/>
        </w:rPr>
      </w:pPr>
    </w:p>
    <w:p>
      <w:pPr>
        <w:jc w:val="both"/>
        <w:ind w:firstLine="8"/>
        <w:spacing w:after="0" w:line="254" w:lineRule="auto"/>
        <w:tabs>
          <w:tab w:leader="none" w:pos="64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of Holder for Taxes, Duties and Other Charges</w:t>
      </w:r>
      <w:r>
        <w:rPr>
          <w:rFonts w:ascii="Times New Roman" w:cs="Times New Roman" w:eastAsia="Times New Roman" w:hAnsi="Times New Roman"/>
          <w:sz w:val="18"/>
          <w:szCs w:val="18"/>
          <w:color w:val="auto"/>
        </w:rPr>
        <w:t>. If any tax or other governmental charge shall become payable by the Depositary or the Custodian with respect to any Receipt or any Deposited Securities or ADSs, such tax or other governmental charge shall be payable by the Holders and Beneficial Owners to the Depositary. The Company, the Custodian and/or the Depositary may withhold or deduct from any distributions made in respect of Deposited Securities and may sell for the account of the Holder and/or Beneficial Owner any or all of the Deposited Securities and apply such distributions and sale proceeds in payment of such taxes (including applicable interest and penalties) or charges, with the Holder and the Beneficial Owner hereof remaining fully liable for any deficiency. The Custodian may refuse the deposit of Shares, and the Depositary may refuse to issue ADSs, to deliver Receipts, register the transfer, split- up or combination of ADRs and (subject to Article (22) hereof) the withdrawal of Deposited Securities, until payment in full of such tax, charge, penalty or interest is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48" w:name="page349"/>
    <w:bookmarkEnd w:id="348"/>
    <w:p>
      <w:pPr>
        <w:jc w:val="both"/>
        <w:spacing w:after="0" w:line="282" w:lineRule="auto"/>
        <w:rPr>
          <w:sz w:val="20"/>
          <w:szCs w:val="20"/>
          <w:color w:val="auto"/>
        </w:rPr>
      </w:pPr>
      <w:r>
        <w:rPr>
          <w:rFonts w:ascii="Times New Roman" w:cs="Times New Roman" w:eastAsia="Times New Roman" w:hAnsi="Times New Roman"/>
          <w:sz w:val="18"/>
          <w:szCs w:val="18"/>
          <w:color w:val="auto"/>
        </w:rPr>
        <w:t>The liability of Holders and Beneficial Owners under the Deposit Agreement shall survive any transfer of Receipts, any surrender of Receipts and withdrawal of Deposited Securities or the termination of the Deposit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understand that in converting Foreign Currency, amounts received on conversion are calculated at a rate which may exceed the number of decimal places used by the Depositary to report distribution rates (which in any case will not be less than two decimal places). Any excess amount may be retained by the Depositary as an additional cost of conversion, irrespective of any other fees and expenses payable or owing hereunder and shall not be subject to escheatment.</w:t>
      </w:r>
    </w:p>
    <w:p>
      <w:pPr>
        <w:spacing w:after="0" w:line="180" w:lineRule="exact"/>
        <w:rPr>
          <w:sz w:val="20"/>
          <w:szCs w:val="20"/>
          <w:color w:val="auto"/>
        </w:rPr>
      </w:pPr>
    </w:p>
    <w:p>
      <w:pPr>
        <w:jc w:val="both"/>
        <w:ind w:firstLine="8"/>
        <w:spacing w:after="0" w:line="253" w:lineRule="auto"/>
        <w:tabs>
          <w:tab w:leader="none" w:pos="64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Depositors</w:t>
      </w:r>
      <w:r>
        <w:rPr>
          <w:rFonts w:ascii="Times New Roman" w:cs="Times New Roman" w:eastAsia="Times New Roman" w:hAnsi="Times New Roman"/>
          <w:sz w:val="18"/>
          <w:szCs w:val="18"/>
          <w:color w:val="auto"/>
        </w:rPr>
        <w:t>. Each person depositing Shares under the Deposit Agreement shall be deemed thereby to represent and warrant that (i) such Shares (and the certificates therefor) are duly authorized, validly issued, fully paid, non-assessable and were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 are not, and the ADSs issuable upon such deposit will not be, Restricted Securities (except as contemplated by Section 2.11 of the Deposit Agreement), (v) the Shares presented for deposit have not been stripped of any rights or entitlements and (vi) the Shares are not subject to any lock-up agreement with the Company or other party, or the Shares are subject to a lock-up agreement but such lock-up agreement has terminated or the lock-up restrictions imposed thereunder have expired or been validly waived. Such representations and warranties shall survive the deposit and withdrawal of Shares and the issuance, cancellation and transfer of ADSs. If any such representations or warranties are false in any way, the Company and Depositary shall be authorized, at the cost and expense of the person depositing Shares, to take any and all actions necessary to correct the consequences thereof.</w:t>
      </w:r>
    </w:p>
    <w:p>
      <w:pPr>
        <w:spacing w:after="0" w:line="189" w:lineRule="exact"/>
        <w:rPr>
          <w:rFonts w:ascii="Times New Roman" w:cs="Times New Roman" w:eastAsia="Times New Roman" w:hAnsi="Times New Roman"/>
          <w:sz w:val="18"/>
          <w:szCs w:val="18"/>
          <w:color w:val="auto"/>
        </w:rPr>
      </w:pPr>
    </w:p>
    <w:p>
      <w:pPr>
        <w:jc w:val="both"/>
        <w:ind w:firstLine="8"/>
        <w:spacing w:after="0" w:line="252" w:lineRule="auto"/>
        <w:tabs>
          <w:tab w:leader="none" w:pos="64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Proofs, Certificates and Other Information</w:t>
      </w:r>
      <w:r>
        <w:rPr>
          <w:rFonts w:ascii="Times New Roman" w:cs="Times New Roman" w:eastAsia="Times New Roman" w:hAnsi="Times New Roman"/>
          <w:sz w:val="18"/>
          <w:szCs w:val="18"/>
          <w:color w:val="auto"/>
        </w:rPr>
        <w:t>. Any person presenting Shares for deposit shall provide, any Holder and any Beneficial Owner may be required to provide, and every Holder and Beneficial Owner agrees from time to time to provide, to the Depositary such proof of citizenship or residence, taxpayer status, payment of all applicable taxes and/or other governmental charges, exchange control approval, legal or beneficial ownership of ADSs and Deposited Securities, compliance with applicable laws and the terms of the Deposit Agreement and the provisions of, or governing, the Deposited Securities or other information as the Depositary deems necessary or proper or as the Company may reasonably require by written request to the Depositary consistent with its obligations under the Deposit Agreement. Pursuant to the Deposit Agreement, the Depositary and the Registrar, as applicable, may withhold the execution or Delivery or registration of transfer of any Receipt or the distribution or sale of any dividend or other distribution of rights or of the proceeds thereof, or to the extent not limited by the terms of Article (22) hereof or the terms of the Deposit Agreement, the Delivery of any Deposited Securities until such proof or other information is filed or such certifications are executed, or such representations and warranties are made, or such other documentation or information provided, in each case to the Depositary’s and the Company’s satisfaction. The Depositary shall from time to time on the written request of the Company advise the Company of the availability of any such proofs, certificates or other information and shall, at the Company’s sole expense, provide or otherwise make available copies thereof to the Company upon written request therefor by the Company, unless such disclosure is prohibited by law. Each Holder and Beneficial Owner agrees to provide any information requested by the Company or the Depositary pursuant to this paragraph.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49" w:name="page350"/>
    <w:bookmarkEnd w:id="349"/>
    <w:p>
      <w:pPr>
        <w:jc w:val="both"/>
        <w:spacing w:after="0" w:line="258" w:lineRule="auto"/>
        <w:rPr>
          <w:sz w:val="20"/>
          <w:szCs w:val="20"/>
          <w:color w:val="auto"/>
        </w:rPr>
      </w:pPr>
      <w:r>
        <w:rPr>
          <w:rFonts w:ascii="Times New Roman" w:cs="Times New Roman" w:eastAsia="Times New Roman" w:hAnsi="Times New Roman"/>
          <w:sz w:val="18"/>
          <w:szCs w:val="18"/>
          <w:color w:val="auto"/>
        </w:rPr>
        <w:t>Every Holder and Beneficial Owner agrees to indemnify the Depositary, the Company, the Custodian, the Agents and each of their respective directors, officers, employees, agents and Affiliates against, and to hold each of them harmless from, any Losses which any of them may incur or which may be made against any of them as a result of or in connection with any inaccuracy in or omission from any such proof, certificate, representation, warranty, information or document furnished by or on behalf of such Holder and/or Beneficial Owner or as a result of any such failure to furnish any of the foregoing.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obligations of Holders and Beneficial Owners under the Deposit Agreement shall survive any transfer of Receipts, any surrender of Receipts and withdrawal of Deposited Securities or the termination of the Deposit Agreement.</w:t>
      </w:r>
    </w:p>
    <w:p>
      <w:pPr>
        <w:spacing w:after="0" w:line="162" w:lineRule="exact"/>
        <w:rPr>
          <w:sz w:val="20"/>
          <w:szCs w:val="20"/>
          <w:color w:val="auto"/>
        </w:rPr>
      </w:pPr>
    </w:p>
    <w:p>
      <w:pPr>
        <w:jc w:val="both"/>
        <w:ind w:firstLine="8"/>
        <w:spacing w:after="0" w:line="266" w:lineRule="auto"/>
        <w:tabs>
          <w:tab w:leader="none" w:pos="64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of Depositary</w:t>
      </w:r>
      <w:r>
        <w:rPr>
          <w:rFonts w:ascii="Times New Roman" w:cs="Times New Roman" w:eastAsia="Times New Roman" w:hAnsi="Times New Roman"/>
          <w:sz w:val="18"/>
          <w:szCs w:val="18"/>
          <w:color w:val="auto"/>
        </w:rPr>
        <w:t>. The Depositary reserves the right to charge the following fees for the services performed under the terms of the Deposit Agreement, provided, however, that no fees shall be payable upon distribution of cash dividends so long as the charging of such fee is prohibited by the exchange, if any, upon which the ADSs are listed: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1308"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to whom ADSs are issued or to any person to whom a distribution is made in respect of ADS distributions pursuant to stock dividends or other free distributions of stock, bonus distributions, stock splits or other distributions (except where converted to cash), a fee not in excess of U.S. $ 5.00 per 100 ADSs (or fraction thereof) so issued under the terms of the Deposit Agreement to be determined by the Depositary;</w:t>
      </w:r>
    </w:p>
    <w:p>
      <w:pPr>
        <w:spacing w:after="0" w:line="179"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08"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surrendering ADSs for withdrawal of Deposited Securities or whose ADSs are cancelled or reduced for any other reason including, inter alia, cash distributions made pursuant to a cancellation or withdrawal, a fee not in excess of U.S. $ 5.00 per 100 ADSs reduced, cancelled or surrendered (as the case may be);</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1308"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of ADSs (including, without limitation, Holders), a fee not in excess of U.S. $ 5.00 per 100 ADSs held for the distribution of cash dividends;</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08"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of ADSs (including, without limitation, Holders), a fee not in excess of U.S. $ 5.00 per 100 ADSs held for the distribution of cash entitlements (other than cash dividends) and/or cash proceeds, including proceeds from the sale of rights, securities and other entitlements;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50" w:name="page351"/>
    <w:bookmarkEnd w:id="350"/>
    <w:p>
      <w:pPr>
        <w:ind w:left="660" w:hanging="4"/>
        <w:spacing w:after="0" w:line="282" w:lineRule="auto"/>
        <w:tabs>
          <w:tab w:leader="none" w:pos="130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of ADSs (including, without limitation, Holders), a fee not in excess of U.S. $ 5.00 per 100 ADSs (or portion thereof) issued upon the exercise of rights;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130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operation and maintenance costs in administering the ADSs an annual fee not in excess of U.S. $ 5.00 per 100 ADSs, such fee to be assessed against Holders of record as of the date or dates set by the Depositary as it sees fit and collected at the sole discretion of the Depositary by billing such Holders for such fee or by deducting such fee from one or more cash dividends or other cash distributions.</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Holders, Beneficial Owners, any person depositing Shares for deposit and any person surrendering ADSs for cancellation and withdrawal of Deposited Securities will be required to pay the following charges:</w:t>
      </w:r>
    </w:p>
    <w:p>
      <w:pPr>
        <w:spacing w:after="0" w:line="162" w:lineRule="exact"/>
        <w:rPr>
          <w:sz w:val="20"/>
          <w:szCs w:val="20"/>
          <w:color w:val="auto"/>
        </w:rPr>
      </w:pPr>
    </w:p>
    <w:p>
      <w:pPr>
        <w:ind w:left="1300" w:hanging="644"/>
        <w:spacing w:after="0"/>
        <w:tabs>
          <w:tab w:leader="none" w:pos="13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0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with the Foreign Registrar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0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facsimile and electronic transmission and delivery expenses as are expressly provided in the Deposit Agreement to be at the expense of the depositor depositing or person withdrawing Shares or Holders and Beneficial Owners of ADSs;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130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charges incurred by the Depositary and/or a division or Affiliate(s) of the Depositary in the conversion of Foreign Currency;</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30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fees and expenses as are incurred by the Depositary in connection with compliance with exchange control regulations and other regulatory requirements applicable to Shares, Deposited Securities, ADSs and ADRs;</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130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in connection with the delivery of Deposited Securities, including any fees of a central depository for securities in the local market, where applicable;</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130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fees, charges, costs or expenses that may be incurred by the Depositary or a division or Affiliate(s) of the Depositary from time to time.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other fees and charges of, and expenses incurred by, the Depositary or the Custodian under the Deposit Agreement shall be for the account of the Company unless otherwise agreed in writing between the Company and the Depositary from time to time. All fees and charges may, at any time and from time to time, be changed by agreement between the Depositary and Company but, in the case of fees and charges payable by Holders or Beneficial Owners, only in the manner contemplated by Article (20) hereof.</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Depositary may make payments to the Company and/or may share revenue with the Company derived from fees collected from Holders and Beneficial Owners, upon such terms and conditions as the Company and the Depositary may agree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51" w:name="page352"/>
    <w:bookmarkEnd w:id="351"/>
    <w:p>
      <w:pPr>
        <w:jc w:val="both"/>
        <w:ind w:firstLine="8"/>
        <w:spacing w:after="0" w:line="254" w:lineRule="auto"/>
        <w:tabs>
          <w:tab w:leader="none" w:pos="64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Receipts</w:t>
      </w:r>
      <w:r>
        <w:rPr>
          <w:rFonts w:ascii="Times New Roman" w:cs="Times New Roman" w:eastAsia="Times New Roman" w:hAnsi="Times New Roman"/>
          <w:sz w:val="18"/>
          <w:szCs w:val="18"/>
          <w:color w:val="auto"/>
        </w:rPr>
        <w:t>. It is a condition of this Receipt, and every successive Holder of this Receipt by accepting or holding the same consents and agrees, that title to this Receipt (and to each ADS evidenced hereby) is transferable by delivery of the Receipt, provided it has been properly endorsed or accompanied by proper instruments of transfer, such Receipt being a certificated security under the laws of the State of New York. Notwithstanding any notice to the contrary, the Depositary may deem and treat the Holder of this Receipt (that is, the person in whose name this Receipt is registered on the books of the Depositary) as the absolute owner hereof for all purposes. The Depositary shall have no obligation or be subject to any liability under the Deposit Agreement or this Receipt to any holder of this Receipt or any Beneficial Owner unless such holder is the Holder of this Receipt registered on the books of the Depositary or, in the case of a Beneficial Owner, such Beneficial Owner or the Beneficial Owner’s representative is the Holder registered on the books of the Depositary.</w:t>
      </w:r>
    </w:p>
    <w:p>
      <w:pPr>
        <w:spacing w:after="0" w:line="188" w:lineRule="exact"/>
        <w:rPr>
          <w:rFonts w:ascii="Times New Roman" w:cs="Times New Roman" w:eastAsia="Times New Roman" w:hAnsi="Times New Roman"/>
          <w:sz w:val="18"/>
          <w:szCs w:val="18"/>
          <w:color w:val="auto"/>
        </w:rPr>
      </w:pPr>
    </w:p>
    <w:p>
      <w:pPr>
        <w:jc w:val="both"/>
        <w:ind w:firstLine="8"/>
        <w:spacing w:after="0" w:line="254" w:lineRule="auto"/>
        <w:tabs>
          <w:tab w:leader="none" w:pos="64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of Receipt</w:t>
      </w:r>
      <w:r>
        <w:rPr>
          <w:rFonts w:ascii="Times New Roman" w:cs="Times New Roman" w:eastAsia="Times New Roman" w:hAnsi="Times New Roman"/>
          <w:sz w:val="18"/>
          <w:szCs w:val="18"/>
          <w:color w:val="auto"/>
        </w:rPr>
        <w:t>. This Receipt shall not be entitled to any benefits under the Deposit Agreement or be valid or enforceable for any purpose, unless this Receipt has been (i) dated, (ii) signed by the manual or facsimile signature of a duly authorized signatory of the Depositary, (iii) if a Registrar for the Receipts shall have been appointed, countersigned by the manual or facsimile signature of a duly authorized signatory of the Registrar and (iv) registered in the books maintained by the Depositary or the Registrar, as applicable, for the issuance and transfer of Receipts. Receipts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execution and delivery of such Receipt by the Depositary or did not hold such office on the date of issuance of such Receipts.</w:t>
      </w:r>
    </w:p>
    <w:p>
      <w:pPr>
        <w:spacing w:after="0" w:line="191" w:lineRule="exact"/>
        <w:rPr>
          <w:rFonts w:ascii="Times New Roman" w:cs="Times New Roman" w:eastAsia="Times New Roman" w:hAnsi="Times New Roman"/>
          <w:sz w:val="18"/>
          <w:szCs w:val="18"/>
          <w:color w:val="auto"/>
        </w:rPr>
      </w:pPr>
    </w:p>
    <w:p>
      <w:pPr>
        <w:jc w:val="both"/>
        <w:ind w:firstLine="8"/>
        <w:spacing w:after="0" w:line="254" w:lineRule="auto"/>
        <w:tabs>
          <w:tab w:leader="none" w:pos="64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Available Information; Reports; Inspection of Transfer Books</w:t>
      </w:r>
      <w:r>
        <w:rPr>
          <w:rFonts w:ascii="Times New Roman" w:cs="Times New Roman" w:eastAsia="Times New Roman" w:hAnsi="Times New Roman"/>
          <w:sz w:val="18"/>
          <w:szCs w:val="18"/>
          <w:color w:val="auto"/>
        </w:rPr>
        <w:t>. The Company is subject to the periodic reporting requirements of the Exchange Act applicable to foreign private issuers (as defined in Rule 405 of the Securities Act) and accordingly files certain information with the Commission. These reports and documents can be inspected and copied at the public reference facilities maintained by the Commission located at 100 F Street, N.E., Washington D.C. 20549, U.S.A. The Depositary shall make available during normal business hours on any Business Day for inspection by Holders at its Corporate Trust Office any reports and communications, including any proxy soliciting materials, received from the Company which are both (a) received by the Depositary, the Custodian, or the nominee of either of them as the holder of the Deposited Securities and (b) made generally available to the holders of such Deposited Securities by the Company.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Depositary or the Registrar, as applicable, shall keep books for the registration of Receipts and transfers of Receipts which at all reasonable times shall be open for inspection by the Company and by the Holders of such Receipts, provided that such inspection shall not be, to the Depositary’s or the Registrar’s knowledge, for the purpose of communicating with Holders of such Receipts in the interest of a business or object other than the business of the Company or other than a matter related to the Deposit Agreement or the Receipts.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Depositary or the Registrar, as applicable, may close the transfer books with respect to the Receipts, at any time or from time to time, when deemed necessary or advisable by it in good faith in connection with the performance of its duties hereunder, or at the reasonable written request of the Company subject, in all cases, to Article (22)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52" w:name="page353"/>
    <w:bookmarkEnd w:id="352"/>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18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DEUTSCHE BANK TRUST</w:t>
            </w:r>
          </w:p>
        </w:tc>
      </w:tr>
      <w:tr>
        <w:trPr>
          <w:trHeight w:val="238"/>
        </w:trPr>
        <w:tc>
          <w:tcPr>
            <w:tcW w:w="2740" w:type="dxa"/>
            <w:vAlign w:val="bottom"/>
          </w:tcPr>
          <w:p>
            <w:pPr>
              <w:spacing w:after="0"/>
              <w:rPr>
                <w:sz w:val="20"/>
                <w:szCs w:val="20"/>
                <w:color w:val="auto"/>
              </w:rPr>
            </w:pPr>
          </w:p>
        </w:tc>
        <w:tc>
          <w:tcPr>
            <w:tcW w:w="718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COMPANY AMERICAS, as Depositary</w:t>
            </w:r>
          </w:p>
        </w:tc>
      </w:tr>
      <w:tr>
        <w:trPr>
          <w:trHeight w:val="432"/>
        </w:trPr>
        <w:tc>
          <w:tcPr>
            <w:tcW w:w="2740" w:type="dxa"/>
            <w:vAlign w:val="bottom"/>
          </w:tcPr>
          <w:p>
            <w:pPr>
              <w:spacing w:after="0"/>
              <w:rPr>
                <w:sz w:val="24"/>
                <w:szCs w:val="24"/>
                <w:color w:val="auto"/>
              </w:rPr>
            </w:pPr>
          </w:p>
        </w:tc>
        <w:tc>
          <w:tcPr>
            <w:tcW w:w="25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spacing w:after="0"/>
              <w:rPr>
                <w:sz w:val="24"/>
                <w:szCs w:val="24"/>
                <w:color w:val="auto"/>
              </w:rPr>
            </w:pPr>
          </w:p>
        </w:tc>
      </w:tr>
      <w:tr>
        <w:trPr>
          <w:trHeight w:val="425"/>
        </w:trPr>
        <w:tc>
          <w:tcPr>
            <w:tcW w:w="2740" w:type="dxa"/>
            <w:vAlign w:val="bottom"/>
          </w:tcPr>
          <w:p>
            <w:pPr>
              <w:spacing w:after="0"/>
              <w:rPr>
                <w:sz w:val="24"/>
                <w:szCs w:val="24"/>
                <w:color w:val="auto"/>
              </w:rPr>
            </w:pPr>
          </w:p>
        </w:tc>
        <w:tc>
          <w:tcPr>
            <w:tcW w:w="25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of the Corporate Trust Office of the Depositary is 1 Columbus Circle, New York, NY 10019, U.S.A.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353" w:name="page354"/>
    <w:bookmarkEnd w:id="353"/>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REVERSE OF RECEIPT]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 OF THE DEPOSIT AGREEMENT</w:t>
      </w:r>
    </w:p>
    <w:p>
      <w:pPr>
        <w:spacing w:after="0" w:line="207" w:lineRule="exact"/>
        <w:rPr>
          <w:sz w:val="20"/>
          <w:szCs w:val="20"/>
          <w:color w:val="auto"/>
        </w:rPr>
      </w:pPr>
    </w:p>
    <w:p>
      <w:pPr>
        <w:jc w:val="both"/>
        <w:ind w:firstLine="8"/>
        <w:spacing w:after="0" w:line="252" w:lineRule="auto"/>
        <w:tabs>
          <w:tab w:leader="none" w:pos="64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 in Cash, Shares, etc</w:t>
      </w:r>
      <w:r>
        <w:rPr>
          <w:rFonts w:ascii="Times New Roman" w:cs="Times New Roman" w:eastAsia="Times New Roman" w:hAnsi="Times New Roman"/>
          <w:sz w:val="18"/>
          <w:szCs w:val="18"/>
          <w:color w:val="auto"/>
        </w:rPr>
        <w:t>. Whenever the Depositary receives confirmation from the Custodian of receipt of any cash dividend or other cash distribution on any Deposited Securities, or receives proceeds from the sale of any Shares, rights securities or other entitlements under the Deposit Agreement, the Depositary will, if at the time of receipt thereof any amounts received in a Foreign Currency can, in the judgment of the Depositary (upon the terms of the Deposit Agreement), be converted on a practicable basis, into Dollars transferable to the United States, promptly convert or cause to be converted such dividend, distribution or proceeds into Dollars and will distribute promptly the amount thus received (net of applicable fees and charges of, and expenses incurred by, the Depositary and/or a division or Affiliate(s) of the Depositary and taxes and/or governmental charges) to the Holders of record as of the ADS Record Date in proportion to the number of ADSs representing such Deposited Securities held by such Holders respectively as of the ADS Record Date. The Depositary shall distribute only such amount, however, as can be distributed without attributing to any Holder a fraction of one cent. Any such fractional amounts shall be rounded down to the nearest whole cent and so distributed to Holders entitled thereto. Holders and Beneficial Owners understand that in converting Foreign Currency, amounts received on conversion are calculated at a rate which exceeds the number of decimal places used by the Depositary to report distribution rates. The excess amount may be retained by the Depositary as an additional cost of conversion, irrespective of any other fees and expenses payable or owing hereunder and shall not be subject to escheatment.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shall forward to the Company or its agent such information from its records as the Company may reasonably request to enable the Company or its agent to file with governmental agencies such reports as are necessary to obtain benefits under the applicable tax treaties for the Holders and Beneficial Owners of Receipts.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distribution upon any Deposited Securities consists of a dividend in, or free distribution of, Shares, the Company shall cause such Shares to be deposited with the Custodian and registered, as the case may be, in the name of the Depositary, the Custodian or their nominees. Upon receipt of confirmation of such deposit, the Depositary shall, subject to and in accordance with the Deposit Agreement, establish the ADS Record Date and either (i) distribute to the Holders as of the ADS Record Date in proportion to the number of ADSs held by such Holders as of the ADS Record Date, additional ADSs, which represent in aggregate the number of Shares received as such dividend, or free distribution, subject to the terms of the Deposit Agreement (including, without limitation, the applicable fees and charges of, and expenses incurred by, the Depositary, and taxes and/or governmental charges), or (ii) if additional ADSs are not so distributed, each ADS issued and outstanding after the ADS Record Date shall, to the extent permissible by law, thenceforth also represent rights and interests in the additional Shares distributed upon the Deposited Securities represented thereby (net of the applicable fees and charges of, and the expenses incurred by, the Depositary, and taxes and/or governmental charges). In lieu of delivering fractional ADSs, the Depositary shall sell the number of Shares represented by the aggregate of such fractions and distribute the proceeds upon the terms set forth in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54" w:name="page355"/>
    <w:bookmarkEnd w:id="354"/>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that (x) the Depositary determines that any distribution in property (including Shares) is subject to any tax or other governmental charges which the Depositary is obligated to withhold, or, (y) if the Company, in the fulfillment of its obligations under the Deposit Agreement, has either (a) furnished an opinion of U.S. counsel determining that Shares must be registered under the Securities Act or other laws in order to be distributed to Holders (and no such registration statement has been declared effective), or (b) fails to timely deliver the documentation contemplated in the Deposit Agreement,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taxes and/or governmental charges, and fees and charges of, and expenses incurred by, the Depositary and/or a division or Affiliate(s) of the Depositary) to Holders entitled thereto upon the terms of the Deposit Agreement. The Depositary shall hold and/or distribute any unsold balance of such property in accordance with the provisions of the Deposit Agreement.</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Upon timely receipt of a notice indicating that the Company wishes an elective distribution to be made available to Holders upon the terms described in the Deposit Agreement, the Depositary shall, upon provision of all documentation required under the Deposit Agreement, (including, without limitation, any legal opinions the Depositary may request under the Deposit Agreement) determine whether such distribution is lawful and reasonably practicable. If so, the Depositary shall, subject to the terms and conditions of the Deposit Agreement, establish an ADS Record Date according to Article (14) hereof and establish procedures to enable the Holder hereof to elect to receive the proposed distribution in cash or in additional ADSs. If a Holder elects to receive the distribution in cash, the dividend shall be distributed as in the case of a distribution in cash. If the Holder hereof elects to receive the distribution in additional ADSs, the distribution shall be distributed as in the case of a distribution in Shares upon the terms described in the Deposit Agreement. If such elective distribution is not lawful or reasonably practicable or if the Depositary did not receive satisfactory documentation set forth in the Deposit Agreement, the Depositary shall, to the extent permitted by law, distribute to Holders, on the basis of the same determination as is made in the Cayman Islands, in respect of the Shares for which no election is made, either (x) cash or (y) additional ADSs representing such additional Shares, in each case, upon the terms described in the Deposit Agreement. Nothing herein shall obligate the Depositary to make available to the Holder hereof a method to receive the elective dividend in Shares (rather than ADSs). There can be no assurance that the Holder hereof will be given the opportunity to receive elective distributions on the same terms and conditions as the holders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55" w:name="page356"/>
    <w:bookmarkEnd w:id="355"/>
    <w:p>
      <w:pPr>
        <w:jc w:val="both"/>
        <w:spacing w:after="0" w:line="251" w:lineRule="auto"/>
        <w:rPr>
          <w:sz w:val="20"/>
          <w:szCs w:val="20"/>
          <w:color w:val="auto"/>
        </w:rPr>
      </w:pPr>
      <w:r>
        <w:rPr>
          <w:rFonts w:ascii="Times New Roman" w:cs="Times New Roman" w:eastAsia="Times New Roman" w:hAnsi="Times New Roman"/>
          <w:sz w:val="18"/>
          <w:szCs w:val="18"/>
          <w:color w:val="auto"/>
        </w:rPr>
        <w:t>Whenever the Company intends to distribute to the holders of the Deposited Securities rights to subscribe for additional Shares, the Company shall give notice thereof to the Depositary at least 60 days prior to the proposed distribution stating whether or not it wishes such rights to be made available to Holders of ADSs. Upon timely receipt by the Depositary of a notice indicating that the Company wishes such rights to be made available to Holders of ADSs, the Company shall determine whether it is lawful and reasonably practicable to make such rights available to the Holders. The Depositary shall make such rights available to any Holders only if the Company shall have timely requested that such rights be made available to Holders, the Depositary shall have received the documentation required by the Deposit Agreement, and the Depositary shall have determined that such distribution of rights is lawful and reasonably practicable. If such conditions are not satisfied, the Depositary shall sell the rights as described below. In the event all conditions set forth above are satisfied, the Depositary shall establish an ADS Record Date and establish procedures (x) to distribute such rights (by means of warrants or otherwise) and (y) to enable the Holders to exercise the rights (upon payment of the applicable fees and charges of, and expenses incurred by, the Depositary and/or a division or Affiliate(s) of the Depositary and taxes and/or governmental charges). Nothing herein or in the Deposit Agreement shall obligate the Depositary to make available to the Holders a method to exercise such rights to subscribe for Shares (rather than ADSs). If (i) the Company does not timely request the Depositary to make the rights available to Holders or if the Company requests that the rights not be made available to Holders, (ii) the Depositary fails to receive the documentation required by the Deposit Agreement or determines it is not lawful or reasonably practicable to make the rights available to Holders, or (iii) any rights made available are not exercised and appear to be about to lapse, the Depositary shall determine whether it is lawful and reasonably practicable to sell such rights, and if it so determines that it is lawful and reasonably practicable, endeavour to sell such rights in a riskless principal capacity or otherwise, at such place and upon such terms (including public and/or private sale) as it may deem proper. The Depositary shall, upon such sale, convert and distribute proceeds of such sale (net of applicable fees and charges of, and expenses incurred by, the Depositary and/or a division or Affiliate(s) of the Depositary and taxes and/or governmental charges) upon the terms hereof and in the Deposit Agreement. If the Depositary is unable to make any rights available to Holders or to arrange for the sale of the rights upon the terms described above, the Depositary shall allow such rights to lapse. 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Notwithstanding anything herein to the contrary, if registration (under the Securities Act and/or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covering such offering is in effect or (ii) unless the Company furnishes to the Depositary opinion(s) of counsel for the Company in the United States and counsel to the Company in any other applicable country in which rights would be distributed, in each case satisfactorily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property (including rights) an amount on account of taxes and/or other governmental charges, the amount distributed to the Holders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and/or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56" w:name="page357"/>
    <w:bookmarkEnd w:id="356"/>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exercise rights on the same terms and conditions as the holders of Shares or to exercise such rights. Nothing herein shall obligate the Company to file any registration statement in respect of any rights or Shares or other securities to be acquired upon the exercise of such rights or otherwise to register or qualify the offer or sale of such rights or securities under the applicable law of any other jurisdiction for any purpose.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receipt of a notice regarding property other than cash, Shares or rights to purchase additional Shares, to be made to Holders of ADSs, the Depositary shall determine, after consultation with the Company, whether such distribution to Holders is lawful and reasonably practicable. The Depositary shall not make such distribution unless (i) the Company shall have timely requested the Depositary to make such distribution to Holders, (ii) the Depositary shall have received the documentation required by the Deposit Agreement, and (iii) the Depositary shall have determined that such distribution is lawful and reasonably practicable. Upon satisfaction of such conditions, the Depositary shall distribute the property so received to the Holders of record as of the ADS Record Date, in proportion to the number of ADSs held by such Holders respectively and in such manner as the Depositary may deem practicable for accomplishing such distribution (i) upon receipt of payment or net of the applicable fees and charges of, and expenses incurred by, the Depositary, and (ii) net of any taxes and/or governmental charges.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conditions above are not satisfied, the Depositary shall sell or cause such property to be sold in a public or private sale, at such place or places and upon such terms as it may deem proper and shall distribute the proceeds of such sale received by the Depositary (net of (a) applicable fees and charges of, and expenses incurred by, the Depositary and/or a division or Affiliate(s) of the Depositary and (b) taxes and/or governmental charges) to the Holders upon the terms hereof and of the Deposit Agreement. If the Depositary is unable to sell such property, the Depositary may dispose of such property in any way it deems reasonably practicable under the circumstances.</w:t>
      </w:r>
    </w:p>
    <w:p>
      <w:pPr>
        <w:spacing w:after="0" w:line="183" w:lineRule="exact"/>
        <w:rPr>
          <w:sz w:val="20"/>
          <w:szCs w:val="20"/>
          <w:color w:val="auto"/>
        </w:rPr>
      </w:pPr>
    </w:p>
    <w:p>
      <w:pPr>
        <w:jc w:val="both"/>
        <w:ind w:firstLine="8"/>
        <w:spacing w:after="0" w:line="253" w:lineRule="auto"/>
        <w:tabs>
          <w:tab w:leader="none" w:pos="64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Fixing of Record Date</w:t>
      </w:r>
      <w:r>
        <w:rPr>
          <w:rFonts w:ascii="Times New Roman" w:cs="Times New Roman" w:eastAsia="Times New Roman" w:hAnsi="Times New Roman"/>
          <w:sz w:val="18"/>
          <w:szCs w:val="18"/>
          <w:color w:val="auto"/>
        </w:rPr>
        <w:t>. Whenever necessary in connection with any distribution (whether in cash, Shares, rights or other distribution), or whenever for any reason the Depositary causes a change in the number of Shares that are represented by each ADS, or whenever the Depositary shall receive notice of any meeting of or solicitation of holders of Shares or other Deposited Securities, or whenever the Depositary shall find it necessary or convenient in connection with the giving of any notice, or any other matter, the Depositary shall fix a record date (the “ADS Record Date”), as close as practicable to the record date fixed by the Company with respect to the Shares (if applicable), for the determination of the Holders who shall be entitled to receive such distribution, to give instructions for the exercise of voting rights at any such meeting, or to give or withhold such consent, or to receive such notice or solicitation or to otherwise take action, or to exercise the rights of Holders with respect to such changed number of Shares represented by each ADS or for any other reason. Subject to applicable law and the terms and conditions of this Receipt and the Deposit Agreement, only the Holders of record at the close of business in New York on such ADS Record Date shall be entitled to receive such distributions, to give such voting instructions, to receive such notice or solicitation, or otherwise take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57" w:name="page358"/>
    <w:bookmarkEnd w:id="357"/>
    <w:p>
      <w:pPr>
        <w:jc w:val="both"/>
        <w:ind w:firstLine="8"/>
        <w:spacing w:after="0" w:line="251" w:lineRule="auto"/>
        <w:tabs>
          <w:tab w:leader="none" w:pos="64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of Deposited Securities</w:t>
      </w:r>
      <w:r>
        <w:rPr>
          <w:rFonts w:ascii="Times New Roman" w:cs="Times New Roman" w:eastAsia="Times New Roman" w:hAnsi="Times New Roman"/>
          <w:sz w:val="18"/>
          <w:szCs w:val="18"/>
          <w:color w:val="auto"/>
        </w:rPr>
        <w:t>. Subject to the next sentence, as soon as practicable after receipt of notice of any meeting at which the holders of Deposited Securities are entitled to vote, or of solicitation of consents or proxies from holders of Deposited Securities, the Depositary shall fix the ADS Record Date in respect of such meeting or such solicitation of consents or proxies. The Depositary shall, if requested by the Company in writing in a timely manner (the Depositary having no obligation to take any further action if the request shall not have been received by the Depositary at least 30 Business Days prior to the date of such vote or meeting) and at the Company’s expense, and provided no U.S. legal prohibitions exist, mail by regular, ordinary mail delivery (or by electronic mail or as otherwise may be agreed between the Company and the Depositary in writing from time to time) or otherwise distribute as soon as practicable after receipt thereof to Holders as of the ADS Record Date: (a) such notice of meeting or solicitation of consent or proxy; (b) a statement that the Holders at the close of business on the ADS Record Date will be entitled, subject to any applicable law, the provisions of the Deposit Agreement, the Company’s Memorandum and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American Depositary Shares; and (c) a brief statement as to the manner in which such voting instructions may be given to the Depositary, or in which instructions may be deemed to have been given in accordance with this Article (15), including an express indication that instructions may be given (or be deemed to have been given in accordance with the immediately following paragraph of this section if no instruction is received) to the Depositary to give a discretionary proxy to a person or persons designated by the Company. Voting instructions may be given only in respect of a number of American Depositary Shares representing an integral number of Deposited Securities. Upon the timely receipt of voting instructions of a Holder on the ADS Record Date in the manner specified by the Depositary, the Depositary shall endeavor, insofar as practicable and permitted under applicable law, the provisions of the Deposit Agreement, the Company’s Memorandum and Articles of Association and the provisions of or governing the Deposited Securities, to vote or cause the Custodian to vote the Deposited Securities (in person or by proxy) represented by American Depositary Shares evidenced by such Receipt in accordance with such voting instructions.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that (i) the Depositary timely receives voting instructions from a Holder which fail to specify the manner in which the Depositary is to vote the Deposited Securities represented by such Holder’s ADSs or (ii) no timely instructions are received by the Depositary from a Holder with respect to any of the Deposited Securities represented by the ADSs held by such Holder on the ADS Record Date, the Depositary shall (unless otherwise specified in the notice distributed to Holders) deem such Holder to have instructed the Depositary to give a discretionary proxy to a person designated by the Company with respect to such Deposited Securities and the Depositary shall give a discretionary proxy to a person designated by the Company to vote such Deposited Securities, provided, however, that no such instruction shall be deemed to have been given and no such discretionary proxy shall be given with respect to any matter as to which the Company informs the Depositary (and the Company agrees to provide such information as promptly as practicable in writing, if applicable) that (x) the Company does not wish to give such proxy, (y) the Company is aware, or should reasonably be aware, that substantial opposition exists from Holders against the outcome for which the person designated by the Company would otherwise vote or (z) the outcome for which the person designated by the Company would otherwise vote would materially and adversely affect the rights of holders of Deposited Securities, provided, further, that the Company will have no liability to any Holder or Beneficial Owner resulting from such notification.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58" w:name="page359"/>
    <w:bookmarkEnd w:id="358"/>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voting on any resolution or matter is conducted on a show of hands basis in accordance with the Memorandum and Articles of Association, the Depositary will refrain from voting and the voting instructions (or the deemed voting instructions, as set out above) received by the Depositary from Holders shall lapse. The Depositary will have no obligation to demand voting on a poll basis with respect to any resolution and shall have no liability to any Holder or Beneficial Owner for not having demanded voting on a poll basis.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Deposited Securities represented by ADSs except pursuant to and in accordance with such written instructions from Holders, including the deemed instruction to the Depositary to give a discretionary proxy to a person designated by the Company. Deposited Securities represented by ADSs for which (i) no timely voting instructions are received by the Depositary from the Holder, or (ii) timely voting instructions are received by the Depositary from the Holder but such voting instructions fail to specify the manner in which the Depositary is to vote the Deposited Securities represented by such Holder’s ADSs, shall be voted in the manner provided in this Article (15). Notwithstanding anything else contained herein, and subject to applicable law, regulation and the Memorandum and Articles of Association, the Depositary shall, if so requested in writing by the Company, represent all Deposited Securities (whether or not voting instructions have been received in respect of such Deposited Securities from Holders as of the ADS Record Date) for the purpose of establishing quorum at a meeting of shareholders.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or Beneficial Owners generally or any Holder or Beneficial Owner in particular will receive the notice described above with sufficient time to enable the Holder to return voting instructions to the Depositary in a timely manner.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above, save for applicable provisions of the law of the Cayman Islands, and in accordance with the terms of Section 5.3 of the Deposit Agreement, the Depositary shall not be liable for any failure to carry out any instructions to vote any of the Deposited Securities or the manner in which such vote is cast or the effect of such vote.</w:t>
      </w:r>
    </w:p>
    <w:p>
      <w:pPr>
        <w:spacing w:after="0" w:line="176" w:lineRule="exact"/>
        <w:rPr>
          <w:sz w:val="20"/>
          <w:szCs w:val="20"/>
          <w:color w:val="auto"/>
        </w:rPr>
      </w:pPr>
    </w:p>
    <w:p>
      <w:pPr>
        <w:jc w:val="both"/>
        <w:ind w:firstLine="8"/>
        <w:spacing w:after="0" w:line="252" w:lineRule="auto"/>
        <w:tabs>
          <w:tab w:leader="none" w:pos="64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Affecting Deposited Securities</w:t>
      </w:r>
      <w:r>
        <w:rPr>
          <w:rFonts w:ascii="Times New Roman" w:cs="Times New Roman" w:eastAsia="Times New Roman" w:hAnsi="Times New Roman"/>
          <w:sz w:val="18"/>
          <w:szCs w:val="18"/>
          <w:color w:val="auto"/>
        </w:rPr>
        <w:t>. Upon any change in par value, split-up, subdivision, cancellation, consolidation or any other reclassification of Deposited Securities, or upon any recapitalization, reorganization, merger, amalgamation or consolidation or sale of assets affecting the Company or to which it otherwise is a party, any securities which shall be received by the Depositary or a Custodian in exchange for, or in conversion of or replacement or otherwise in respect of, such Deposited Securities shall, to the extent permitted by law, be treated as new Deposited Securities under the Deposit Agreement, and the Receipts shall, subject to the provisions of the Deposit Agreement and applicable law, evidence ADSs representing the right to receive such additional securities. Alternatively, the Depositary may, with the Company’s approval, and shall, if the Company shall so requests, subject to the terms of the Deposit Agreement and receipt of satisfactory documentation contemplated by the Deposit Agreement, execute and deliver additional Receipts as in the case of a stock dividend on the Shares, or call for the surrender of outstanding Receipts to be exchanged for new Receipts, in either case, as well as in the event of newly deposited Shares, with necessary modifications to this form of Receipt specifically describing such new Deposited Securities and/or corporate change. Notwithstanding the foregoing, in the event that any security so received may not be lawfully distributed to some or all Holders, the Depositary may, with the Company’s approval, and shall if the Company requests, subject to receipt of satisfactory legal documentation contemplated in the Deposit Agreement, sell such securities at public or private sale, at such place or places and upon such terms as it may deem proper and may allocate the net proceeds of such sales (net of fees and charges of, and expenses incurred by, the Depositary and/or a division or Affiliate(s) of the Depositary and taxes and/or governmental charges) for the account of the Holders otherwise entitled to such securities and distribute the net proceeds so allocated to the extent practicable as in the case of a distribution received in cash pursuant to the Deposit Agreement. The Depositary shall not be responsible for (i) any failure to determine that it may be lawful or feasible to make such securities available to Holders in general or any Holder in particular, (ii) any foreign exchange exposure or loss incurred in connection with such sale, or (iii) any liability to the purchaser of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59" w:name="page360"/>
    <w:bookmarkEnd w:id="359"/>
    <w:p>
      <w:pPr>
        <w:jc w:val="both"/>
        <w:ind w:firstLine="8"/>
        <w:spacing w:after="0" w:line="261" w:lineRule="auto"/>
        <w:tabs>
          <w:tab w:leader="none" w:pos="64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Exoneration</w:t>
      </w:r>
      <w:r>
        <w:rPr>
          <w:rFonts w:ascii="Times New Roman" w:cs="Times New Roman" w:eastAsia="Times New Roman" w:hAnsi="Times New Roman"/>
          <w:sz w:val="18"/>
          <w:szCs w:val="18"/>
          <w:color w:val="auto"/>
        </w:rPr>
        <w:t>. None of the Depositary, the Custodian or the Company shall be obligated to do or perform any act which is inconsistent with the provisions of the Deposit Agreement or shall incur any liability to Holders, Beneficial Owners or any third parties</w:t>
      </w: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the Depositary, the Custodian or the Company or their respective controlling persons or agents shall be prevented or forbidden from, or subjected to any civil or criminal penalty or restraint on account of, or delayed in, doing or performing any act or thing required by the terms of the Deposit Agreement and this Receipt, by reason of any provision of any present or future law or regulation of the United States, the Cayman Islands or any other country, or of any other governmental authority or regulatory authority or stock exchange, or by reason of any provision, present or future of the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 (ii) by reason of any exercise of, or failure to exercise, any discretion provided for in the Deposit Agreement or in the Memorandum and Articles of Association or provisions of or governing Deposited Securities, (iii) for any action or inaction of the Depositary, the Custodian or the Company or their respective controlling persons or agents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any inability by a Holder or Beneficial Owner to benefit from any distribution, offering, right or other benefit which is made available to holders of Deposited Securities but is not, under the terms of the Deposit Agreement, made available to Holders of ADS or (v) for any special, consequential, indirect or punitive damages for any breach of the terms of the Deposit Agreement or otherwise. The Depositary, its controlling persons, its agents (including without limitation, the Agents), any Custodian and the Company, its controlling persons and its agents may rely and shall be protected in acting upon any written notice, request, opinion or other document believed by it to be genuine and to have been signed or presented by the proper party or parties. No disclaimer of liability under the Securities Act or the Exchange Act is intended by any provision of the Deposit Agreement.</w:t>
      </w:r>
    </w:p>
    <w:p>
      <w:pPr>
        <w:spacing w:after="0" w:line="188" w:lineRule="exact"/>
        <w:rPr>
          <w:rFonts w:ascii="Times New Roman" w:cs="Times New Roman" w:eastAsia="Times New Roman" w:hAnsi="Times New Roman"/>
          <w:sz w:val="18"/>
          <w:szCs w:val="18"/>
          <w:color w:val="auto"/>
        </w:rPr>
      </w:pPr>
    </w:p>
    <w:p>
      <w:pPr>
        <w:jc w:val="both"/>
        <w:ind w:firstLine="8"/>
        <w:spacing w:after="0" w:line="252" w:lineRule="auto"/>
        <w:tabs>
          <w:tab w:leader="none" w:pos="64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of Care</w:t>
      </w:r>
      <w:r>
        <w:rPr>
          <w:rFonts w:ascii="Times New Roman" w:cs="Times New Roman" w:eastAsia="Times New Roman" w:hAnsi="Times New Roman"/>
          <w:sz w:val="18"/>
          <w:szCs w:val="18"/>
          <w:color w:val="auto"/>
        </w:rPr>
        <w:t>. The Company and the Depositary and their respective directors, officers, Affiliates, employees and agents (including without limitation, the Agents) assume no obligation and shall not be subject to any liability under the Deposit Agreement or the Receipts to Holders or Beneficial Owners or other persons, except in accordance with Section 5.8 of the Deposit Agreement, provided, that the Company and the Depositary and their respective directors, officers, Affiliates, employees and agents (including without limitation, the Agents) agree to perform their respective obligations specifically set forth in the Deposit Agreement without gross negligence or wilful misconduct. The Depositary and its directors, officers, Affiliates, employees and agents (including without limitation, the Agents) shall not be liable for any failure to carry out any instructions to vote any of the Deposited Securities, or for the manner in which any vote is cast or the effect of any vote.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 upon the terms of the Deposit Agreement or for the failure or timeliness of any notice from the Company or for any action or non action by it in reliance upon the opinion, advice of or information from legal counsel, accountants, any person presenting Shares for deposit, any Holder or any other person believed by it in good faith to be competent to give such advice or information. The Depositary and its agents (including without limitation, the Agents)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60" w:name="page361"/>
    <w:bookmarkEnd w:id="360"/>
    <w:p>
      <w:pPr>
        <w:jc w:val="both"/>
        <w:ind w:firstLine="8"/>
        <w:spacing w:after="0" w:line="251" w:lineRule="auto"/>
        <w:tabs>
          <w:tab w:leader="none" w:pos="64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and Removal of the Depositary; Appointment of Successor Depositary.</w:t>
      </w:r>
      <w:r>
        <w:rPr>
          <w:rFonts w:ascii="Times New Roman" w:cs="Times New Roman" w:eastAsia="Times New Roman" w:hAnsi="Times New Roman"/>
          <w:sz w:val="18"/>
          <w:szCs w:val="18"/>
          <w:color w:val="auto"/>
        </w:rPr>
        <w:t xml:space="preserve"> The Depositary may at any time resign as Depositary under the Deposit Agreement by written notice of resignation delivered to the Company, such resignation to be effective on the earlier of (i) the 90th day after delivery thereof to the Company (whereupon the Depositary shall, in the event no successor depositary has been appointed by the Company, be entitled to take the actions contemplated in the Deposit Agreement), or (ii) the appointment of a successor depositary and its acceptance of such appointment as provided in the Deposit Agreement, save that, any amounts, fees, costs or expenses owed to the Depositary under the Deposit Agreement or in accordance with any other agreements otherwise agreed in writing between the Company and the Depositary from time to time shall be paid to the Depositary prior to such resignation. The Company shall use reasonable efforts to appoint such successor depositary, and give notice to the Depositary of such appointment, not more than 90 days after delivery by the Depositary of written notice of resignation as provided in the Deposit Agreement. The Depositary may at any time be removed by the Company by written notice of such removal which notice shall be effective on the later of (i) the 90th day after delivery thereof to the Depositary (whereupon the Depositary shall be entitled to take the actions contemplated in the Deposit Agreement if a successor depositary has not been appointed), or (ii) the appointment of a successor depositary and its acceptance of such appointment as provided in the Deposit Agreement save that, any amounts, fees, costs or expenses owed to the Depositary under the Deposit Agreement or in accordance with any other agreements otherwise agreed in writing between the Company and the Depositary from time to time shall be paid to the Depositary prior to such removal. In case at any time the Depositary acting hereunder shall resign or be removed, the Company shall use its best efforts to appoint a successor depositary which shall be a bank or trust company having an office in the Borough of Manhattan, the City of New York and if it shall have not appointed a successor depositary the provisions referred to in Article (21) hereof and correspondingly in the Deposit Agreement shall apply. Every successor depositary shall be required by the Company to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The predecessor depositary, upon payment of all sums due to it and on the written request of the Company, shall (i) execute and deliver an instrument transferring to such successor all rights and powers of such predecessor hereunder (other than as contemplated in the Deposit Agreement), (ii) duly assign, transfer and deliver all right, title and interest to the Deposited Securities to such successor, and (iii) deliver to such successor a list of the Holders of all outstanding Receipts and such other information relating to Receipts and Holders thereof as the successor may reasonably request. Any such successor depositary shall promptly mail notice of its appointment to such Holders. Any corporation into or with which the Depositary may be merged or consolidated shall be the successor of the Depositary without the execution or filing of any document or any further act and, notwithstanding anything to the contrary in the Deposit Agreement, the Depositary may assign or otherwise transfer all or any of its rights and benefits under the Deposit Agreement (including any cause of action arising in connection with it) to Deutsche Bank AG or any branch thereof or any entity which is a direct or indirect subsidiary or other affiliate of Deutsche Bank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61" w:name="page362"/>
    <w:bookmarkEnd w:id="361"/>
    <w:p>
      <w:pPr>
        <w:jc w:val="both"/>
        <w:ind w:firstLine="8"/>
        <w:spacing w:after="0" w:line="251" w:lineRule="auto"/>
        <w:tabs>
          <w:tab w:leader="none" w:pos="64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Amendment/Supplement</w:t>
      </w:r>
      <w:r>
        <w:rPr>
          <w:rFonts w:ascii="Times New Roman" w:cs="Times New Roman" w:eastAsia="Times New Roman" w:hAnsi="Times New Roman"/>
          <w:sz w:val="18"/>
          <w:szCs w:val="18"/>
          <w:color w:val="auto"/>
        </w:rPr>
        <w:t>. Subject to the terms and conditions of this Article (20), and applicable law, this Receipt and any provisions of the Deposit Agreement may at any time and from time to time be amended or supplemented by written agreement between the Company and the Depositary in any respect which they may deem necessary or desirable without the consent of the Holders or Beneficial Owners. Any amendment or supplement which shall impose or increase any fees or charges (other than the charges of the Depositary in connection with foreign exchange control regulations, and taxes and/or other governmental charges, delivery and other such expenses), or which shall otherwise materially prejudice any substantial existing right of Holders or Beneficial Owners, shall not, however, become effective as to outstanding Receipts until 30 days after notice of such amendment or supplement shall have been given to the Holders of outstanding Receipts. Notice of any amendment to the Deposit Agreement or form of Receipts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(i.e.,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or Shares to be traded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 to consent and agree to such amendment or supplement and to be bound by the Deposit Agreement as amended or supplemented thereby. In no event shall any amendment or supplement impair the right of the Holder to surrender such Receipt and receive therefor the Deposited Securities represented thereby, except in order to comply with mandatory provisions of applicable law. Notwithstanding the foregoing, if any governmental body should adopt new laws, rules or regulations which would require amendment or supplement of the Deposit Agreement to ensure compliance therewith, the Company and the Depositary may amend or supplement the Deposit Agreement and the Receipt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with such laws, or rules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62" w:name="page363"/>
    <w:bookmarkEnd w:id="362"/>
    <w:p>
      <w:pPr>
        <w:jc w:val="both"/>
        <w:ind w:firstLine="8"/>
        <w:spacing w:after="0" w:line="251" w:lineRule="auto"/>
        <w:tabs>
          <w:tab w:leader="none" w:pos="64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Depositary shall, at any time at the written direction of the Company, terminate the Deposit Agreement by mailing notice of such termination to the Holders of all Receipts then outstanding at least 90 days prior to the date fixed in such notice for such termination provided that, the Depositary shall be reimbursed for any amounts, fees, costs or expenses owed to it in accordance with the terms of the Deposit Agreement and in accordance with any other agreements as otherwise agreed in writing between the Company and the Depositary from time to time, prior to such termination shall take effect. If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herein and in the Deposit Agreement, the Depositary may terminate the Deposit Agreement by mailing notice of such termination to the Holders of all Receipts then outstanding at least 30 days prior to the date fixed for such termination. On and after the date of termination of the Deposit Agreement, each Holder will, upon surrender of such Holder’s Receipt at the Corporate Trust Office of the Depositary, upon the payment of the charges of the Depositary for the surrender of Receipts referred to in Article (2) hereof and in the Deposit Agreement and subject to the conditions and restrictions therein set forth, and upon payment of any applicable taxes and/or governmental charges, be entitled to delivery, to him or upon his order, of the amount of Deposited Securities represented by such Receipt. If any Receipts shall remain outstanding after the date of termination of the Deposit Agreement, the Registrar thereafter shall discontinue the registration of transfers of Receipts, and the Depositary shall suspend the distribution of dividends to the Holders thereof, and shall not give any further notices or perform any further acts under the Deposit Agreement, except that the Depositary shall continue to collect dividends and other distributions pertaining to Deposited Securities, shall sell rights or other property as provided in the Deposit Agreement, and shall continue to deliver Deposited Securities, subject to the conditions and restrictions set forth in the Deposit Agreement, together with any dividends or other distributions received with respect thereto and the net proceeds of the sale of any rights or other property, in exchange for Receipts surrendered to the Depositary (after deducting, or charging, as the case may be, in each case the charges of the Depositary for the surrender of a Receipt, any expenses for the account of the Holder in accordance with the terms and conditions of the Deposit Agreement and any applicable taxes and/or governmental charges or assessments). At any time after the expiration of six months from the date of termination of the Deposit Agreement,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of Receipts whose Receipts have not theretofore been surrendered. After making such sale, the Depositary shall be discharged from all obligations under the Deposit Agreement with respect to the Receipts and the Shares, Deposited Securities and ADSs, except to account for such net proceeds and other cash (after deducting, or charging, as the case may be, in each case the charges of the Depositary for the surrender of a Receipt, any expenses for the account of the Holder in accordance with the terms and conditions of the Deposit Agreement and any applicable taxes and/or governmental charges or assessments) and except as set forth in the Deposit Agreement. Upon the termination of the Deposit Agreement, the Company shall be discharged from all obligations under the Deposit Agreement except as set forth in the Deposit Agreement. The obligations under the terms of the Deposit Agreement and Receipts of Holders and Beneficial Owners of ADSs outstanding as of the effective date of any termination shall survive such effective date of termination and shall be discharged only when the applicable ADSs are presented by their Holders to the Depositary for cancellation under the terms of the Deposit Agreement and the Holders have each satisfied any and all of their obligations hereunder (including, but not limited to, any payment and/or reimbursement obligations which relate to prior to the effective date of termination but which payment and/or reimbursement is claimed after such effective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63" w:name="page364"/>
    <w:bookmarkEnd w:id="363"/>
    <w:p>
      <w:pPr>
        <w:jc w:val="both"/>
        <w:ind w:firstLine="8"/>
        <w:spacing w:after="0" w:line="261" w:lineRule="auto"/>
        <w:tabs>
          <w:tab w:leader="none" w:pos="64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 Securities Laws; Regulatory Compliance</w:t>
      </w:r>
      <w:r>
        <w:rPr>
          <w:rFonts w:ascii="Times New Roman" w:cs="Times New Roman" w:eastAsia="Times New Roman" w:hAnsi="Times New Roman"/>
          <w:sz w:val="18"/>
          <w:szCs w:val="18"/>
          <w:color w:val="auto"/>
        </w:rPr>
        <w:t>. Notwithstanding any provisions in this Receipt or the Deposit Agreement to the contrary, the withdrawal or Delivery of Deposited Securities will not be suspended by the Company or the Depositary except as would be permitted by Section I.A.(1) of the General Instructions to Form F-6 Registration Statement, as amended from time to time, under the Securities Act.</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64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Rights of the Depositary</w:t>
      </w:r>
      <w:r>
        <w:rPr>
          <w:rFonts w:ascii="Times New Roman" w:cs="Times New Roman" w:eastAsia="Times New Roman" w:hAnsi="Times New Roman"/>
          <w:sz w:val="18"/>
          <w:szCs w:val="18"/>
          <w:color w:val="auto"/>
        </w:rPr>
        <w:t>. The Depositary, its Affiliates and their agents, on their own behalf, may own and deal in any class of securities of the Company and its Affiliates and in ADSs. The Depositary may issue ADSs against evidence of rights to receive Shares from the Company, any agent of the Company or any custodian, registrar, transfer agent, clearing agency or other entity involved in ownership or transaction records in respect of the Shares.</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64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Restrictions</w:t>
      </w:r>
      <w:r>
        <w:rPr>
          <w:rFonts w:ascii="Times New Roman" w:cs="Times New Roman" w:eastAsia="Times New Roman" w:hAnsi="Times New Roman"/>
          <w:sz w:val="18"/>
          <w:szCs w:val="18"/>
          <w:color w:val="auto"/>
        </w:rPr>
        <w:t>. Owners and Beneficial Owners shall comply with any limitations on ownership of Shares under the Memorandum and Articles of Association or applicable Cayman Islands law as if they held the number of Shares their American Depositary Shares represent. The Company shall inform the Owners, Beneficial Owners and the Depositary of any such ownership restrictions in place from time to time.</w:t>
      </w:r>
    </w:p>
    <w:p>
      <w:pPr>
        <w:spacing w:after="0" w:line="179" w:lineRule="exact"/>
        <w:rPr>
          <w:rFonts w:ascii="Times New Roman" w:cs="Times New Roman" w:eastAsia="Times New Roman" w:hAnsi="Times New Roman"/>
          <w:sz w:val="18"/>
          <w:szCs w:val="18"/>
          <w:color w:val="auto"/>
        </w:rPr>
      </w:pPr>
    </w:p>
    <w:p>
      <w:pPr>
        <w:jc w:val="both"/>
        <w:ind w:firstLine="8"/>
        <w:spacing w:after="0" w:line="255" w:lineRule="auto"/>
        <w:tabs>
          <w:tab w:leader="none" w:pos="64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EACH PARTY TO THE DEPOSIT AGREEMENT (INCLUDING, FOR AVOIDANCE OF DOUBT, EACH HOLDER AND BENEFICIAL OWNER AND/OR HOLDER OF INTERESTS IN ANY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w:t>
      </w:r>
    </w:p>
    <w:p>
      <w:pPr>
        <w:spacing w:after="0" w:line="27" w:lineRule="exact"/>
        <w:rPr>
          <w:sz w:val="20"/>
          <w:szCs w:val="20"/>
          <w:color w:val="auto"/>
        </w:rPr>
      </w:pPr>
    </w:p>
    <w:p>
      <w:pPr>
        <w:spacing w:after="0"/>
        <w:tabs>
          <w:tab w:leader="none" w:pos="600" w:val="left"/>
          <w:tab w:leader="none" w:pos="1380" w:val="left"/>
          <w:tab w:leader="none" w:pos="2500" w:val="left"/>
          <w:tab w:leader="none" w:pos="3220" w:val="left"/>
          <w:tab w:leader="none" w:pos="3500" w:val="left"/>
          <w:tab w:leader="none" w:pos="5720" w:val="left"/>
          <w:tab w:leader="none" w:pos="6140" w:val="left"/>
          <w:tab w:leader="none" w:pos="6760" w:val="left"/>
          <w:tab w:leader="none" w:pos="7460" w:val="left"/>
          <w:tab w:leader="none" w:pos="8300" w:val="left"/>
          <w:tab w:leader="none" w:pos="8900" w:val="left"/>
          <w:tab w:leader="none" w:pos="9280" w:val="left"/>
          <w:tab w:leader="none" w:pos="9780" w:val="left"/>
        </w:tabs>
        <w:rPr>
          <w:sz w:val="20"/>
          <w:szCs w:val="20"/>
          <w:color w:val="auto"/>
        </w:rPr>
      </w:pPr>
      <w:r>
        <w:rPr>
          <w:rFonts w:ascii="Times New Roman" w:cs="Times New Roman" w:eastAsia="Times New Roman" w:hAnsi="Times New Roman"/>
          <w:sz w:val="18"/>
          <w:szCs w:val="18"/>
          <w:color w:val="auto"/>
        </w:rPr>
        <w:t>whose</w:t>
        <w:tab/>
        <w:t>taxpayer</w:t>
        <w:tab/>
        <w:t>identification</w:t>
        <w:tab/>
        <w:t>number</w:t>
        <w:tab/>
        <w:t>is</w:t>
        <w:tab/>
        <w:t>_______________________</w:t>
        <w:tab/>
        <w:t>and</w:t>
        <w:tab/>
        <w:t>whose</w:t>
        <w:tab/>
        <w:t>address</w:t>
        <w:tab/>
        <w:t>including</w:t>
        <w:tab/>
        <w:t>postal</w:t>
        <w:tab/>
        <w:t>zip</w:t>
        <w:tab/>
        <w:t>code</w:t>
      </w:r>
      <w:r>
        <w:rPr>
          <w:sz w:val="20"/>
          <w:szCs w:val="20"/>
          <w:color w:val="auto"/>
        </w:rPr>
        <w:tab/>
      </w:r>
      <w:r>
        <w:rPr>
          <w:rFonts w:ascii="Times New Roman" w:cs="Times New Roman" w:eastAsia="Times New Roman" w:hAnsi="Times New Roman"/>
          <w:sz w:val="17"/>
          <w:szCs w:val="17"/>
          <w:color w:val="auto"/>
        </w:rPr>
        <w:t>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 the within Receipt and all rights thereunder, hereby irrevocably constituting and appointing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 attorney-in-fact to transfer said Receipt on the books of the Depositary with full power of substitution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5715</wp:posOffset>
            </wp:positionV>
            <wp:extent cx="288861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7">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both"/>
        <w:ind w:left="4880"/>
        <w:spacing w:after="0" w:line="261" w:lineRule="auto"/>
        <w:rPr>
          <w:sz w:val="20"/>
          <w:szCs w:val="20"/>
          <w:color w:val="auto"/>
        </w:rPr>
      </w:pPr>
      <w:r>
        <w:rPr>
          <w:rFonts w:ascii="Times New Roman" w:cs="Times New Roman" w:eastAsia="Times New Roman" w:hAnsi="Times New Roman"/>
          <w:sz w:val="18"/>
          <w:szCs w:val="18"/>
          <w:color w:val="auto"/>
        </w:rPr>
        <w:t>NOTICE: The signature of the Holder to this assignment must correspond with the name as written upon the face of the within instrument in every particular, without alteration or enlargement or any change whatsoever.</w:t>
      </w:r>
    </w:p>
    <w:p>
      <w:pPr>
        <w:spacing w:after="0" w:line="180" w:lineRule="exact"/>
        <w:rPr>
          <w:sz w:val="20"/>
          <w:szCs w:val="20"/>
          <w:color w:val="auto"/>
        </w:rPr>
      </w:pPr>
    </w:p>
    <w:p>
      <w:pPr>
        <w:jc w:val="both"/>
        <w:ind w:left="4880"/>
        <w:spacing w:after="0" w:line="258" w:lineRule="auto"/>
        <w:rPr>
          <w:sz w:val="20"/>
          <w:szCs w:val="20"/>
          <w:color w:val="auto"/>
        </w:rPr>
      </w:pPr>
      <w:r>
        <w:rPr>
          <w:rFonts w:ascii="Times New Roman" w:cs="Times New Roman" w:eastAsia="Times New Roman" w:hAnsi="Times New Roman"/>
          <w:sz w:val="18"/>
          <w:szCs w:val="18"/>
          <w:color w:val="auto"/>
        </w:rPr>
        <w:t>If the endorsement be executed by an attorney, executor, administrator, trustee or guardian, the person executing the endorsement must give his/her full title in such capacity and proper evidence of authority to act in such capacity, if not on file with the Depositary, must be forwarded with this Receipt.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437515</wp:posOffset>
            </wp:positionV>
            <wp:extent cx="309435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8">
                      <a:extLst>
                        <a:ext uri="{28A0092B-C50C-407E-A947-70E740481C1C}"/>
                      </a:extLst>
                    </a:blip>
                    <a:srcRect/>
                    <a:stretch>
                      <a:fillRect/>
                    </a:stretch>
                  </pic:blipFill>
                  <pic:spPr bwMode="auto">
                    <a:xfrm>
                      <a:off x="0" y="0"/>
                      <a:ext cx="309435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154305</wp:posOffset>
            </wp:positionV>
            <wp:extent cx="309435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9">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365" w:name="page366"/>
    <w:bookmarkEnd w:id="365"/>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7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1.1</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1.3</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“American Depositary Share(s)” and “ADS(s)”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1.4</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“Article”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1.5</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“Articles of Association”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1.6</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“ADS Record Date”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1.7</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“Beneficial Owner”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1.8</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Day”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1.9</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1.10</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1.11</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Trust Office”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1.12</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“Custodian”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1.13</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“Deliver”, “Deliverable” and “Delivery”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1.14</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 Agreement”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1.15</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“Depositary”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1.16</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“Deposited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1.17</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“Dollars” and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1.18</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“DRS/Profile”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1.19</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“DTC”</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1.20</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“DTC Participants”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1.21</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Act”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1.22</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1.23</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Registrar”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1.24</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1.25</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“Indemnified Person” and “Indemnifying Person”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1.26</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1.27</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“Memorandum”</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1.28</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“Opinion of Counsel”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1.29</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“Receipt(s); “American Depositary Receipt(s)”; and “ADR(s)”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1.30</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“Registrar”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1.31</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ADRs”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1.32</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ADSs”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1.33</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1.34</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1.35</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Act”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1.36</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1.37</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 or “U.S.”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APPOINTMENT OF DEPOSITARY; FORM OF RECEIPT; DEPOSIT OF SHARES; EXECUTION AND</w:t>
            </w:r>
          </w:p>
        </w:tc>
        <w:tc>
          <w:tcPr>
            <w:tcW w:w="660" w:type="dxa"/>
            <w:vAlign w:val="bottom"/>
          </w:tcPr>
          <w:p>
            <w:pPr>
              <w:spacing w:after="0"/>
              <w:rPr>
                <w:sz w:val="18"/>
                <w:szCs w:val="18"/>
                <w:color w:val="auto"/>
              </w:rPr>
            </w:pPr>
          </w:p>
        </w:tc>
      </w:tr>
      <w:tr>
        <w:trPr>
          <w:trHeight w:val="23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TRANSFER AND SURRENDER OF RECEIPTS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2.1</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Appointment of Depositary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2.2</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and Transferability of Receipts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2.3</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2.4</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Execution and Delivery of Receipts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2.5</w:t>
            </w:r>
          </w:p>
        </w:tc>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of Receipts; Combination and Split-up of Receipts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640"/>
        </w:trPr>
        <w:tc>
          <w:tcPr>
            <w:tcW w:w="224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91" w:right="999" w:bottom="1440" w:gutter="0" w:footer="0" w:header="0"/>
        </w:sectPr>
      </w:pPr>
    </w:p>
    <w:bookmarkStart w:id="366" w:name="page367"/>
    <w:bookmarkEnd w:id="3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2.6</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Surrender of Receipts and Withdrawal of Deposited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2.7</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Limitations on Execution and Delivery, Transfer, etc. of Receipts; Suspension of Delivery,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2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etc.</w:t>
            </w:r>
          </w:p>
        </w:tc>
        <w:tc>
          <w:tcPr>
            <w:tcW w:w="600" w:type="dxa"/>
            <w:vAlign w:val="bottom"/>
          </w:tcPr>
          <w:p>
            <w:pPr>
              <w:spacing w:after="0"/>
              <w:rPr>
                <w:sz w:val="18"/>
                <w:szCs w:val="18"/>
                <w:color w:val="auto"/>
              </w:rPr>
            </w:pP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2.8</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Lost Receipts, etc.</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2.9</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Cancellation and Destruction of Surrendered Receipts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2.10</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 of Records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2.11</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ADSs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CERTAIN OBLIGATIONS OF HOLDERS AND BENEFICIAL OWNERS OF RECEIPTS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3.1</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Proofs, Certificates and Other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3.2</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Liability for Taxes and Other Charges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3.3</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Representations and Warranties on Deposit of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3.4</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Information Requests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THE DEPOSITED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14"/>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4.1</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Distributions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4.2</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 in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4.3</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Elective Distributions in Cash or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4.4</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 of Rights to Purchase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4.5</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Other Than Cash, Shares or Rights to Purchase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4.6</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Conversion of Foreign Currency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4.7</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Fixing of Record Date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4.8</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Voting of Deposited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4.9</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Affecting Deposited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4.10</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4.11</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Reports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4.12</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List of Holders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4.13</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Taxation; Withholding</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THE DEPOSITARY, THE CUSTODIAN AND THE COMPANY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4"/>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5.1</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 of Office and Transfer Books by the Registrar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5.2</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Exoneration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5.3</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Standard of Care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5.4</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5.5</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Custodian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5.6</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 and Reports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5.7</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Additional Shares, ADSs etc.</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5.8</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5.9</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Fees and Charges of Depositary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5.10</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Securities Owners/Ownership Restrictions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AMENDMENT AND TERMINATION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4"/>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6.1</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Amendment/Supplement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6.2</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MISCELLANEOUS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7.1</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1640"/>
        </w:trPr>
        <w:tc>
          <w:tcPr>
            <w:tcW w:w="22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07" w:right="999" w:bottom="1440" w:gutter="0" w:footer="0" w:header="0"/>
        </w:sectPr>
      </w:pPr>
    </w:p>
    <w:bookmarkStart w:id="367" w:name="page368"/>
    <w:bookmarkEnd w:id="3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7.2</w:t>
            </w: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7.3</w:t>
            </w: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7.4</w:t>
            </w: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Holders and Beneficial Owners as Parties; Binding Effect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7.5</w:t>
            </w: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7.6</w:t>
            </w: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7.7</w:t>
            </w: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7.8</w:t>
            </w: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7.9</w:t>
            </w: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Affiliates etc</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7.10</w:t>
            </w: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Exclusivity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7.11</w:t>
            </w: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U.S. Securities Laws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2"/>
        </w:trPr>
        <w:tc>
          <w:tcPr>
            <w:tcW w:w="2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7.12</w:t>
            </w: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59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8"/>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59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1424"/>
        </w:trPr>
        <w:tc>
          <w:tcPr>
            <w:tcW w:w="222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93" w:right="99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18"/>
          <w:szCs w:val="18"/>
          <w:b w:val="1"/>
          <w:bCs w:val="1"/>
          <w:color w:val="auto"/>
        </w:rPr>
        <w:t>Exhibit 2.6</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ASSUMPTION AND AMENDMENT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ASSIGNMENT, ASSUMPTION AND AMENDMENT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February 22, 2024, by and among L Catterton Asia Acquisition Corp, a Cayman Islands exempted company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Lotus Technology Inc., a Cayman Islands exempted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Continental Stock Transfer &amp; Trust Company, a New York corporation (the “</w:t>
      </w:r>
      <w:r>
        <w:rPr>
          <w:rFonts w:ascii="Times New Roman" w:cs="Times New Roman" w:eastAsia="Times New Roman" w:hAnsi="Times New Roman"/>
          <w:sz w:val="18"/>
          <w:szCs w:val="18"/>
          <w:u w:val="single" w:color="auto"/>
          <w:color w:val="auto"/>
        </w:rPr>
        <w:t>Predecessor Warrant Agent</w:t>
      </w:r>
      <w:r>
        <w:rPr>
          <w:rFonts w:ascii="Times New Roman" w:cs="Times New Roman" w:eastAsia="Times New Roman" w:hAnsi="Times New Roman"/>
          <w:sz w:val="18"/>
          <w:szCs w:val="18"/>
          <w:color w:val="auto"/>
        </w:rPr>
        <w:t>”), and Equiniti Trust Company, LLC, a New York limited liability trust company (the “</w:t>
      </w:r>
      <w:r>
        <w:rPr>
          <w:rFonts w:ascii="Times New Roman" w:cs="Times New Roman" w:eastAsia="Times New Roman" w:hAnsi="Times New Roman"/>
          <w:sz w:val="18"/>
          <w:szCs w:val="18"/>
          <w:u w:val="single" w:color="auto"/>
          <w:color w:val="auto"/>
        </w:rPr>
        <w:t>Successor Warrant Agent</w:t>
      </w:r>
      <w:r>
        <w:rPr>
          <w:rFonts w:ascii="Times New Roman" w:cs="Times New Roman" w:eastAsia="Times New Roman" w:hAnsi="Times New Roman"/>
          <w:sz w:val="18"/>
          <w:szCs w:val="18"/>
          <w:color w:val="auto"/>
        </w:rPr>
        <w:t>”). Capitalized terms used but not otherwise defined herein shall have the respective meanings assigned to such terms in the Warrant Agreement (as defined below) (and if such term is not defined in the Warrant Agreement, then the Merger Agreement (as defined below)).</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WHEREAS, SPAC and the Predecessor Warrant Agent are parties to that certain Warrant Agreement, dated March 10, 2021 (as amended, including without limitation by this Agreement,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pursuant to which the Predecessor Warrant Agent agreed to act as SPAC’s warrant agent with respect to the issuance, registration, transfer, exchange, redemption and exercise of</w:t>
      </w:r>
    </w:p>
    <w:p>
      <w:pPr>
        <w:spacing w:after="0" w:line="1" w:lineRule="exact"/>
        <w:rPr>
          <w:sz w:val="20"/>
          <w:szCs w:val="20"/>
          <w:color w:val="auto"/>
        </w:rPr>
      </w:pPr>
    </w:p>
    <w:p>
      <w:pPr>
        <w:jc w:val="both"/>
        <w:ind w:firstLine="8"/>
        <w:spacing w:after="0" w:line="252" w:lineRule="auto"/>
        <w:tabs>
          <w:tab w:leader="none" w:pos="21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ordinary shares of SPAC issued in SPAC’s initial public offering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Public Warrants</w:t>
      </w:r>
      <w:r>
        <w:rPr>
          <w:rFonts w:ascii="Times New Roman" w:cs="Times New Roman" w:eastAsia="Times New Roman" w:hAnsi="Times New Roman"/>
          <w:sz w:val="18"/>
          <w:szCs w:val="18"/>
          <w:color w:val="auto"/>
        </w:rPr>
        <w:t>”), (ii) warrants to purchase ordinary shares of SPAC acquired by LCA Acquisition Sponsor, LP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in a private placement concurrent with IPO (the “</w:t>
      </w:r>
      <w:r>
        <w:rPr>
          <w:rFonts w:ascii="Times New Roman" w:cs="Times New Roman" w:eastAsia="Times New Roman" w:hAnsi="Times New Roman"/>
          <w:sz w:val="18"/>
          <w:szCs w:val="18"/>
          <w:u w:val="single" w:color="auto"/>
          <w:color w:val="auto"/>
        </w:rPr>
        <w:t>Private Placement Warrants</w:t>
      </w:r>
      <w:r>
        <w:rPr>
          <w:rFonts w:ascii="Times New Roman" w:cs="Times New Roman" w:eastAsia="Times New Roman" w:hAnsi="Times New Roman"/>
          <w:sz w:val="18"/>
          <w:szCs w:val="18"/>
          <w:color w:val="auto"/>
        </w:rPr>
        <w:t>”), and (iii) warrants to purchase ordinary shares issuable to the Sponsor or an affiliate of the Sponsor or certain officers and directors of SPAC upon conversion of up to $1,500,000 of working capital loans (the “</w:t>
      </w:r>
      <w:r>
        <w:rPr>
          <w:rFonts w:ascii="Times New Roman" w:cs="Times New Roman" w:eastAsia="Times New Roman" w:hAnsi="Times New Roman"/>
          <w:sz w:val="18"/>
          <w:szCs w:val="18"/>
          <w:u w:val="single" w:color="auto"/>
          <w:color w:val="auto"/>
        </w:rPr>
        <w:t>Working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together with the Public Warrants and the Private Placement Warrants, in each case, as amended, including without limitation by this Agreement,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WHEREAS, on January 31, 2023, (i) SPAC, (ii) the Company, (iii) Lotus Temp Limited, an exempted company limited by shares incorporated under the laws of the Cayman Islands and a direct wholly owned subsidiary of the Company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and</w:t>
      </w:r>
    </w:p>
    <w:p>
      <w:pPr>
        <w:ind w:firstLine="8"/>
        <w:spacing w:after="0" w:line="260" w:lineRule="auto"/>
        <w:tabs>
          <w:tab w:leader="none" w:pos="313"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Lotus EV Limited, an exempted company limited by shares incorporated under the laws of the Cayman Islands and a direct wholly owned subsidiary of the Company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Original Merger Agreement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WHEREAS, on October 11, 2023, the parties to the Original Merger Agreement entered into the First Amended and Restated Agreement and Plan of Merger (as may be amended, supplemented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the Original Merger Agreement was amended and restated in its entirety to provide, among other things, (i) that each applicable SPAC Shareholder (other than the Founder Shareholders) immediately prior to the First Effective Time shall receive Company ADSs (as defined below) in lieu of Company Ordinary Shares (as defined below) in the Mergers, and</w:t>
      </w:r>
    </w:p>
    <w:p>
      <w:pPr>
        <w:spacing w:after="0" w:line="3" w:lineRule="exact"/>
        <w:rPr>
          <w:sz w:val="20"/>
          <w:szCs w:val="20"/>
          <w:color w:val="auto"/>
        </w:rPr>
      </w:pPr>
    </w:p>
    <w:p>
      <w:pPr>
        <w:ind w:left="280" w:hanging="272"/>
        <w:spacing w:after="0"/>
        <w:tabs>
          <w:tab w:leader="none" w:pos="2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shall establish a sponsored ADS Facility for the purpose of issuing the Company ADSs;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4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69" w:name="page370"/>
    <w:bookmarkEnd w:id="36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WHEREAS, pursuant to the Merger Agreement, upon the consummation of the transactions contemplated thereby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among other matters and subject to the terms and conditions thereof, (a) Merger Sub 1 will merge with and into SPAC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SPAC being the surviving entity, and (b) immediately following the First Merger and as part of the same overall transaction as the First Merger, SPAC, in its capacity as the surviving entity of the First Merger, will merge with and into Merger Sub 2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collectively,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Merger Sub 2 being the surviving entity, and as a result of which, among other matters, (i) Merger Sub 2, in its capacity as the surviving entity of the Second Merger, shall remain a wholly-owned Subsidiary of the Company, (ii) each SPAC Class A Ordinary Share (which includes each SPAC Class A Ordinary Share</w:t>
      </w:r>
    </w:p>
    <w:p>
      <w:pPr>
        <w:spacing w:after="0" w:line="3" w:lineRule="exact"/>
        <w:rPr>
          <w:sz w:val="20"/>
          <w:szCs w:val="20"/>
          <w:color w:val="auto"/>
        </w:rPr>
      </w:pPr>
    </w:p>
    <w:p>
      <w:pPr>
        <w:jc w:val="both"/>
        <w:ind w:firstLine="8"/>
        <w:spacing w:after="0" w:line="251" w:lineRule="auto"/>
        <w:tabs>
          <w:tab w:leader="none" w:pos="311"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in connection with the SPAC Class B Conversion and (B) held as a result of the Unit Separation) immediately prior to the effective time of the First Merger (the “</w:t>
      </w:r>
      <w:r>
        <w:rPr>
          <w:rFonts w:ascii="Times New Roman" w:cs="Times New Roman" w:eastAsia="Times New Roman" w:hAnsi="Times New Roman"/>
          <w:sz w:val="18"/>
          <w:szCs w:val="18"/>
          <w:u w:val="single" w:color="auto"/>
          <w:color w:val="auto"/>
        </w:rPr>
        <w:t>First Effective Time</w:t>
      </w:r>
      <w:r>
        <w:rPr>
          <w:rFonts w:ascii="Times New Roman" w:cs="Times New Roman" w:eastAsia="Times New Roman" w:hAnsi="Times New Roman"/>
          <w:sz w:val="18"/>
          <w:szCs w:val="18"/>
          <w:color w:val="auto"/>
        </w:rPr>
        <w:t>”) (other than any SPAC Shares owned by SPAC as treasury shares or owned by any direct or indirect Subsidiary of SPAC immediately prior to the First Effective Time, Redeeming SPAC Shares, Dissenting SPAC Shares or any SPAC Shares held by the Founder Shareholders) shall automatically be cancelled and cease to exist in exchange for the right to receive one American depositary share of the Company duly and validly issued against the deposit of one underlying ordinary share of the Company, par value $0.00001 per share (together with any other securities of the Company or any successor entity issued in consideration of (including as a stock split, dividend or distribution) or in exchange for any of such securities, the “</w:t>
      </w:r>
      <w:r>
        <w:rPr>
          <w:rFonts w:ascii="Times New Roman" w:cs="Times New Roman" w:eastAsia="Times New Roman" w:hAnsi="Times New Roman"/>
          <w:sz w:val="18"/>
          <w:szCs w:val="18"/>
          <w:u w:val="single" w:color="auto"/>
          <w:color w:val="auto"/>
        </w:rPr>
        <w:t>Company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deposited with the Depositary Bank in accordance with the Deposit Agreement (the “</w:t>
      </w:r>
      <w:r>
        <w:rPr>
          <w:rFonts w:ascii="Times New Roman" w:cs="Times New Roman" w:eastAsia="Times New Roman" w:hAnsi="Times New Roman"/>
          <w:sz w:val="18"/>
          <w:szCs w:val="18"/>
          <w:u w:val="single" w:color="auto"/>
          <w:color w:val="auto"/>
        </w:rPr>
        <w:t>Company ADSs</w:t>
      </w:r>
      <w:r>
        <w:rPr>
          <w:rFonts w:ascii="Times New Roman" w:cs="Times New Roman" w:eastAsia="Times New Roman" w:hAnsi="Times New Roman"/>
          <w:sz w:val="18"/>
          <w:szCs w:val="18"/>
          <w:color w:val="auto"/>
        </w:rPr>
        <w:t>”), and (iii) each SPAC Class A Ordinary Share issued and outstanding immediately prior to the First Effective Time held by the Founder Shareholders shall automatically be cancelled and cease to exist in exchange for the right to receive one Company Ordinary Share, in each case, upon the terms and subject to the conditions set forth in the Merger Agreement and in accordance with the provisions of applicable law;</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upon consummation of the Mergers, as provided in the Merger Agreement and Section 4.5 of the Warrant Agreement, each of the issued and outstanding Warrants will no longer be exercisable for SPAC Ordinary Shares (as defined in the Merger Agreement) but instead will be exercisable (subject to the terms and conditions of the Warrant Agreement as amended hereby) for the same number of Company Ordinary Shares in the form of Company ADSs at the same exercise price per share;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Ordinary Shares in the form of Company ADSs constitute an Alternative Issuance as defined in said Section 4.5 of the Warrant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all references to “Ordinary Shares” in the Warrant Agreement (including all Exhibits thereto) shall mean the Company Ordinary Shares in the form of Company ADSs;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SPAC has determined that the consummation of the transactions contemplated by the Merger Agreement will constitute a Business Combination (as defined in the Warrant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in connection with the Mergers, SPAC desires to assign all of its right, title and interest in the Warrant Agreement to the Company, and the Company wishes to accept such assignment and assume all the liabilities and obligations of SPAC under the Warrant Agreement with the same force and effect as if the Company were initially a party to the Warrant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SPAC, the Company and the Predecessor Warrant Agent also desire to amend the Warrant Agreement to appoint the Successor Warrant Agent as the Warrant Agent under the Warrant Agreement and the Successor Warrant Agent wishes to accept such appointment; and</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WHEREAS, Section 9.8 of the Warrant Agreement provides that SPAC and the Warrant Agent may amend the Warrant Agreement without the consent of any Registered Holders as the parties may deem necessary or desirable and that the parties deem shall not adversely affect the interests of the Registered Holders under the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877570</wp:posOffset>
            </wp:positionV>
            <wp:extent cx="629221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0" w:name="page371"/>
    <w:bookmarkEnd w:id="37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herein made, and in consideration of the representations, warranties and covenants herein contained, and intending to be legally bound hereby, the parties hereto agree as follows:</w:t>
      </w:r>
    </w:p>
    <w:p>
      <w:pPr>
        <w:spacing w:after="0" w:line="158" w:lineRule="exact"/>
        <w:rPr>
          <w:sz w:val="20"/>
          <w:szCs w:val="20"/>
          <w:color w:val="auto"/>
        </w:rPr>
      </w:pPr>
    </w:p>
    <w:p>
      <w:pPr>
        <w:ind w:left="660" w:hanging="652"/>
        <w:spacing w:after="0"/>
        <w:tabs>
          <w:tab w:leader="none" w:pos="660" w:val="left"/>
        </w:tabs>
        <w:numPr>
          <w:ilvl w:val="0"/>
          <w:numId w:val="2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 and Assumption; Consent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7"/>
          <w:szCs w:val="17"/>
          <w:u w:val="single" w:color="auto"/>
          <w:color w:val="auto"/>
        </w:rPr>
        <w:t>Assignment and Assumption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620" w:hanging="323"/>
        <w:spacing w:after="0" w:line="258" w:lineRule="auto"/>
        <w:rPr>
          <w:sz w:val="20"/>
          <w:szCs w:val="20"/>
          <w:color w:val="auto"/>
        </w:rPr>
      </w:pPr>
      <w:r>
        <w:rPr>
          <w:rFonts w:ascii="Times New Roman" w:cs="Times New Roman" w:eastAsia="Times New Roman" w:hAnsi="Times New Roman"/>
          <w:sz w:val="18"/>
          <w:szCs w:val="18"/>
          <w:color w:val="auto"/>
        </w:rPr>
        <w:t>(a). SPAC hereby assigns to the Company all of SPAC’s right, title and interest in and to the Warrant Agreement and the Warrants (each as amended hereby) as of the Effective Time. The Company hereby assumes, and agrees to pay, perform, satisfy and discharge in full, as the same become due, all of SPAC’s liabilities and obligations under the Warrant Agreement and the Warrants (each as amended hereby) arising from and after the Effective Time with the same force and effect as if the Company were initially a party to the Warrant Agreement.</w:t>
      </w:r>
    </w:p>
    <w:p>
      <w:pPr>
        <w:spacing w:after="0" w:line="183" w:lineRule="exact"/>
        <w:rPr>
          <w:sz w:val="20"/>
          <w:szCs w:val="20"/>
          <w:color w:val="auto"/>
        </w:rPr>
      </w:pPr>
    </w:p>
    <w:p>
      <w:pPr>
        <w:jc w:val="both"/>
        <w:ind w:left="1620" w:hanging="323"/>
        <w:spacing w:after="0" w:line="256" w:lineRule="auto"/>
        <w:rPr>
          <w:sz w:val="20"/>
          <w:szCs w:val="20"/>
          <w:color w:val="auto"/>
        </w:rPr>
      </w:pPr>
      <w:r>
        <w:rPr>
          <w:rFonts w:ascii="Times New Roman" w:cs="Times New Roman" w:eastAsia="Times New Roman" w:hAnsi="Times New Roman"/>
          <w:sz w:val="18"/>
          <w:szCs w:val="18"/>
          <w:color w:val="auto"/>
        </w:rPr>
        <w:t>(b). The Predecessor Warrant Agent hereby assigns to the Successor Warrant Agent all of the Predecessor Warrant Agent’s right, title and interest in and to the Warrant Agreement and the Warrants (each as amended hereby) as of the Effective Time. The Successor Warrant Agent hereby assumes, and agrees to pay, perform, satisfy and discharge in full, as the same become due, all of the Predecessor Warrant Agent’s liabilities and obligations under the Warrant Agreement and the Warrants (each as amended hereby) arising from and after the Effective Time with the same force and effect as if the Successor Warrant Agent were initially a party to the Warrant Agreement.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620" w:hanging="323"/>
        <w:spacing w:after="0" w:line="255" w:lineRule="auto"/>
        <w:rPr>
          <w:sz w:val="20"/>
          <w:szCs w:val="20"/>
          <w:color w:val="auto"/>
        </w:rPr>
      </w:pPr>
      <w:r>
        <w:rPr>
          <w:rFonts w:ascii="Times New Roman" w:cs="Times New Roman" w:eastAsia="Times New Roman" w:hAnsi="Times New Roman"/>
          <w:sz w:val="18"/>
          <w:szCs w:val="18"/>
          <w:color w:val="auto"/>
        </w:rPr>
        <w:t>(a). The Successor Warrant Agent hereby consents to (i) the assignment of the Warrant Agreement and the Warrants (each as amended hereby) by SPAC to the Company pursuant to Section 1.1(a) and the assumption of the Warrant Agreement and the Warrants (each as amended hereby) by the Company from SPAC pursuant to Section 1.1(a), in each case effective as of the Effective Time, and (ii) the continuation of the Warrant Agreement and Warrants, in full force and effect from and after the Effective Time, subject at all times to the Warrant Agreement and Warrants (each as amended hereby) and to all of the provisions, covenants, agreements, terms and conditions of the Warrant Agreement and this Agreement.</w:t>
      </w:r>
    </w:p>
    <w:p>
      <w:pPr>
        <w:spacing w:after="0" w:line="189" w:lineRule="exact"/>
        <w:rPr>
          <w:sz w:val="20"/>
          <w:szCs w:val="20"/>
          <w:color w:val="auto"/>
        </w:rPr>
      </w:pPr>
    </w:p>
    <w:p>
      <w:pPr>
        <w:jc w:val="both"/>
        <w:ind w:left="1620" w:hanging="323"/>
        <w:spacing w:after="0" w:line="255" w:lineRule="auto"/>
        <w:rPr>
          <w:sz w:val="20"/>
          <w:szCs w:val="20"/>
          <w:color w:val="auto"/>
        </w:rPr>
      </w:pPr>
      <w:r>
        <w:rPr>
          <w:rFonts w:ascii="Times New Roman" w:cs="Times New Roman" w:eastAsia="Times New Roman" w:hAnsi="Times New Roman"/>
          <w:sz w:val="18"/>
          <w:szCs w:val="18"/>
          <w:color w:val="auto"/>
        </w:rPr>
        <w:t>(b). The Company hereby consents to (i) the assignment of the Warrant Agreement and the Warrants (each as amended hereby) by the Predecessor Warrant Agent to the Successor Warrant Agent pursuant to Section 1.1(b) and the assumption of the Warrant Agreement and the Warrants (each as amended hereby) by the Successor Warrant Agent from the Predecessor Warrant Agent pursuant to Section 1.1(b), in each case effective as of the Effective Time, and (ii) the continuation of the Warrant Agreement and Warrants, in full force and effect from the Effective Time, subject at all times to the Warrant Agreement and Warrants (each as amended hereby) and to all of the provisions, covenants, agreements, terms and conditions of the Warrant Agreement and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885825</wp:posOffset>
            </wp:positionV>
            <wp:extent cx="629221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371" w:name="page372"/>
    <w:bookmarkEnd w:id="371"/>
    <w:p>
      <w:pPr>
        <w:jc w:val="both"/>
        <w:ind w:left="652" w:hanging="652"/>
        <w:spacing w:after="0" w:line="259" w:lineRule="auto"/>
        <w:tabs>
          <w:tab w:leader="none" w:pos="652" w:val="left"/>
        </w:tabs>
        <w:numPr>
          <w:ilvl w:val="0"/>
          <w:numId w:val="2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of Warrant Agreement</w:t>
      </w:r>
      <w:r>
        <w:rPr>
          <w:rFonts w:ascii="Times New Roman" w:cs="Times New Roman" w:eastAsia="Times New Roman" w:hAnsi="Times New Roman"/>
          <w:sz w:val="18"/>
          <w:szCs w:val="18"/>
          <w:color w:val="auto"/>
        </w:rPr>
        <w:t>. The parties hereto hereby agree to the following amendments to the Warrant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provided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effective from the Effective Time, and acknowledge and agree that the amendments to the Warrant Agreement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 are necessary and desirable and do not adversely affect the rights of the Registered Holders under the Warrant Agreement and (ii) are to provide for the delivery of Alternative Issuance pursuant to Section 4.5 of the Warrant Agreement (in connection with the Mergers and the transactions contemplated by the Merger Agreement).</w:t>
      </w:r>
    </w:p>
    <w:p>
      <w:pPr>
        <w:spacing w:after="0" w:line="183" w:lineRule="exact"/>
        <w:rPr>
          <w:rFonts w:ascii="Times New Roman" w:cs="Times New Roman" w:eastAsia="Times New Roman" w:hAnsi="Times New Roman"/>
          <w:sz w:val="18"/>
          <w:szCs w:val="18"/>
          <w:b w:val="1"/>
          <w:bCs w:val="1"/>
          <w:color w:val="auto"/>
        </w:rPr>
      </w:pPr>
    </w:p>
    <w:p>
      <w:pPr>
        <w:ind w:left="129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u w:val="single" w:color="auto"/>
          <w:color w:val="auto"/>
        </w:rPr>
        <w:t>Preamble and References to the “Company”</w:t>
      </w:r>
      <w:r>
        <w:rPr>
          <w:rFonts w:ascii="Times New Roman" w:cs="Times New Roman" w:eastAsia="Times New Roman" w:hAnsi="Times New Roman"/>
          <w:sz w:val="18"/>
          <w:szCs w:val="18"/>
          <w:color w:val="auto"/>
        </w:rPr>
        <w:t>. The preamble of the Warrant Agreement is hereby amended by deleting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“L Catterton Asia Acquisition Corp” and replacing it with “Lotus Technology Inc.”. As a result thereof, all references to the “Company” in the Warrant Agreement (including all exhibits thereto) shall be amended such that they refer to the Company rather than SPAC.</w:t>
      </w:r>
    </w:p>
    <w:p>
      <w:pPr>
        <w:spacing w:after="0" w:line="179" w:lineRule="exact"/>
        <w:rPr>
          <w:rFonts w:ascii="Times New Roman" w:cs="Times New Roman" w:eastAsia="Times New Roman" w:hAnsi="Times New Roman"/>
          <w:sz w:val="18"/>
          <w:szCs w:val="18"/>
          <w:b w:val="1"/>
          <w:bCs w:val="1"/>
          <w:color w:val="auto"/>
        </w:rPr>
      </w:pPr>
    </w:p>
    <w:p>
      <w:pPr>
        <w:ind w:left="129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 The recitals on pages one and two of the Warrant Agreement are hereby deleted and replaced in their entirety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as follows:</w:t>
      </w:r>
    </w:p>
    <w:p>
      <w:pPr>
        <w:spacing w:after="0" w:line="158" w:lineRule="exact"/>
        <w:rPr>
          <w:sz w:val="20"/>
          <w:szCs w:val="20"/>
          <w:color w:val="auto"/>
        </w:rPr>
      </w:pPr>
    </w:p>
    <w:p>
      <w:pPr>
        <w:jc w:val="both"/>
        <w:ind w:left="1292"/>
        <w:spacing w:after="0" w:line="256" w:lineRule="auto"/>
        <w:rPr>
          <w:sz w:val="20"/>
          <w:szCs w:val="20"/>
          <w:color w:val="auto"/>
        </w:rPr>
      </w:pPr>
      <w:r>
        <w:rPr>
          <w:rFonts w:ascii="Times New Roman" w:cs="Times New Roman" w:eastAsia="Times New Roman" w:hAnsi="Times New Roman"/>
          <w:sz w:val="18"/>
          <w:szCs w:val="18"/>
          <w:color w:val="auto"/>
        </w:rPr>
        <w:t>“WHEREAS, on March 10, 2021, L Catterton Asia Acquisition Corp. (“</w:t>
      </w:r>
      <w:r>
        <w:rPr>
          <w:rFonts w:ascii="Times New Roman" w:cs="Times New Roman" w:eastAsia="Times New Roman" w:hAnsi="Times New Roman"/>
          <w:sz w:val="18"/>
          <w:szCs w:val="18"/>
          <w:b w:val="1"/>
          <w:bCs w:val="1"/>
          <w:i w:val="1"/>
          <w:iCs w:val="1"/>
          <w:color w:val="auto"/>
        </w:rPr>
        <w:t>LCAA</w:t>
      </w:r>
      <w:r>
        <w:rPr>
          <w:rFonts w:ascii="Times New Roman" w:cs="Times New Roman" w:eastAsia="Times New Roman" w:hAnsi="Times New Roman"/>
          <w:sz w:val="18"/>
          <w:szCs w:val="18"/>
          <w:color w:val="auto"/>
        </w:rPr>
        <w:t>”) entered into that certain Private Placement Warrants Purchase Agreement with LCA Acquisition Sponsor, LP, a Cayman Islands exempted limited partnership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pursuant to which the Sponsor agreed to purchase an aggregate of 5,000,000 warrants (or up to 5,500,000 warrants if the Over-allotment Option (as defined below) in connection with the Offering (as defined below) is exercised in full) simultaneously with the closing of the Offering (and the closing of the Over-allotment Option, if applicable) bearing the legend set forth in Exhibit B hereto (the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at a purchase price of $1.50 per Private Placement Warrant; and</w:t>
      </w:r>
    </w:p>
    <w:p>
      <w:pPr>
        <w:spacing w:after="0" w:line="187" w:lineRule="exact"/>
        <w:rPr>
          <w:sz w:val="20"/>
          <w:szCs w:val="20"/>
          <w:color w:val="auto"/>
        </w:rPr>
      </w:pPr>
    </w:p>
    <w:p>
      <w:pPr>
        <w:jc w:val="both"/>
        <w:ind w:left="1292"/>
        <w:spacing w:after="0" w:line="256" w:lineRule="auto"/>
        <w:rPr>
          <w:sz w:val="20"/>
          <w:szCs w:val="20"/>
          <w:color w:val="auto"/>
        </w:rPr>
      </w:pPr>
      <w:r>
        <w:rPr>
          <w:rFonts w:ascii="Times New Roman" w:cs="Times New Roman" w:eastAsia="Times New Roman" w:hAnsi="Times New Roman"/>
          <w:sz w:val="18"/>
          <w:szCs w:val="18"/>
          <w:color w:val="auto"/>
        </w:rPr>
        <w:t>WHEREAS, in order to finance LCAA’s transaction costs in connection with an intended initial merger, share exchange, asset acquisition, share purchase, reorganization or similar business combination, involving the Company and one or more businesses, the Sponsor or an affiliate of the Sponsor or certain of LCAA’s officers and directors could, but were not obligated to, loan LCAA funds as LCAA required, of which up to $1,500,000 of such loans may be convertible into up to an additional 1,000,000 Private Placement Warrants at a price of $1.50 per Private Placement Warrant (the “</w:t>
      </w:r>
      <w:r>
        <w:rPr>
          <w:rFonts w:ascii="Times New Roman" w:cs="Times New Roman" w:eastAsia="Times New Roman" w:hAnsi="Times New Roman"/>
          <w:sz w:val="18"/>
          <w:szCs w:val="18"/>
          <w:b w:val="1"/>
          <w:bCs w:val="1"/>
          <w:i w:val="1"/>
          <w:iCs w:val="1"/>
          <w:color w:val="auto"/>
        </w:rPr>
        <w:t>Working Capital Warrants</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jc w:val="both"/>
        <w:ind w:left="1292"/>
        <w:spacing w:after="0" w:line="256" w:lineRule="auto"/>
        <w:rPr>
          <w:sz w:val="20"/>
          <w:szCs w:val="20"/>
          <w:color w:val="auto"/>
        </w:rPr>
      </w:pPr>
      <w:r>
        <w:rPr>
          <w:rFonts w:ascii="Times New Roman" w:cs="Times New Roman" w:eastAsia="Times New Roman" w:hAnsi="Times New Roman"/>
          <w:sz w:val="18"/>
          <w:szCs w:val="18"/>
          <w:color w:val="auto"/>
        </w:rPr>
        <w:t>WHEREAS, LCAA consummated an initial public offering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of units of LCAA’s equity securities, each such unit comprised of one Class A ordinary share and one-third of one Public Warrant (as defined below)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and, in connection therewith, issued and delivered up to 9,583,333 warrants (including up to 1,250,000 warrants subject to the Over-allotment Option) to public investors in the Public Offering (the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 and together with the Private Placement Warrants and Working Capital Warrants, the “</w:t>
      </w:r>
      <w:r>
        <w:rPr>
          <w:rFonts w:ascii="Times New Roman" w:cs="Times New Roman" w:eastAsia="Times New Roman" w:hAnsi="Times New Roman"/>
          <w:sz w:val="18"/>
          <w:szCs w:val="18"/>
          <w:b w:val="1"/>
          <w:bCs w:val="1"/>
          <w:i w:val="1"/>
          <w:iCs w:val="1"/>
          <w:color w:val="auto"/>
        </w:rPr>
        <w:t>LCAA Warrants</w:t>
      </w:r>
      <w:r>
        <w:rPr>
          <w:rFonts w:ascii="Times New Roman" w:cs="Times New Roman" w:eastAsia="Times New Roman" w:hAnsi="Times New Roman"/>
          <w:sz w:val="18"/>
          <w:szCs w:val="18"/>
          <w:color w:val="auto"/>
        </w:rPr>
        <w:t>”). Each whole LCAA Warrant entitles the holder thereof to purchase one Class A ordinary share of LCAA for $11.50 per share, subject to adjustment. Only whole warrants are exercisable; and</w:t>
      </w:r>
    </w:p>
    <w:p>
      <w:pPr>
        <w:spacing w:after="0" w:line="183" w:lineRule="exact"/>
        <w:rPr>
          <w:sz w:val="20"/>
          <w:szCs w:val="20"/>
          <w:color w:val="auto"/>
        </w:rPr>
      </w:pPr>
    </w:p>
    <w:p>
      <w:pPr>
        <w:jc w:val="both"/>
        <w:ind w:left="1292"/>
        <w:spacing w:after="0" w:line="262" w:lineRule="auto"/>
        <w:rPr>
          <w:sz w:val="20"/>
          <w:szCs w:val="20"/>
          <w:color w:val="auto"/>
        </w:rPr>
      </w:pPr>
      <w:r>
        <w:rPr>
          <w:rFonts w:ascii="Times New Roman" w:cs="Times New Roman" w:eastAsia="Times New Roman" w:hAnsi="Times New Roman"/>
          <w:sz w:val="18"/>
          <w:szCs w:val="18"/>
          <w:color w:val="auto"/>
        </w:rPr>
        <w:t>WHEREAS, LCAA has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 registration statement on Form S-1, File No. 333-253334 and a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for the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 the Units, and the Public Warrants and the Class A ordinary shares included in the Units;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880745</wp:posOffset>
            </wp:positionV>
            <wp:extent cx="629221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333" w:right="999" w:bottom="1440" w:gutter="0" w:footer="0" w:header="0"/>
        </w:sectPr>
      </w:pPr>
    </w:p>
    <w:bookmarkStart w:id="372" w:name="page373"/>
    <w:bookmarkEnd w:id="372"/>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WHEREAS, on January 31, 2023, (i) LCAA, (ii) the Company, (iii) Lotus Temp Limited, an exempted company limited by shares incorporated under the laws of the Cayman Islands and a direct wholly owned subsidiary of the Company (“</w:t>
      </w:r>
      <w:r>
        <w:rPr>
          <w:rFonts w:ascii="Times New Roman" w:cs="Times New Roman" w:eastAsia="Times New Roman" w:hAnsi="Times New Roman"/>
          <w:sz w:val="18"/>
          <w:szCs w:val="18"/>
          <w:b w:val="1"/>
          <w:bCs w:val="1"/>
          <w:i w:val="1"/>
          <w:iCs w:val="1"/>
          <w:color w:val="auto"/>
        </w:rPr>
        <w:t>Merger Sub 1</w:t>
      </w:r>
      <w:r>
        <w:rPr>
          <w:rFonts w:ascii="Times New Roman" w:cs="Times New Roman" w:eastAsia="Times New Roman" w:hAnsi="Times New Roman"/>
          <w:sz w:val="18"/>
          <w:szCs w:val="18"/>
          <w:color w:val="auto"/>
        </w:rPr>
        <w:t>”), and (iv) Lotus EV Limited, an exempted company limited by shares incorporated under the laws of the Cayman Islands and a direct wholly owned subsidiary of the Company (“</w:t>
      </w:r>
      <w:r>
        <w:rPr>
          <w:rFonts w:ascii="Times New Roman" w:cs="Times New Roman" w:eastAsia="Times New Roman" w:hAnsi="Times New Roman"/>
          <w:sz w:val="18"/>
          <w:szCs w:val="18"/>
          <w:b w:val="1"/>
          <w:bCs w:val="1"/>
          <w:i w:val="1"/>
          <w:iCs w:val="1"/>
          <w:color w:val="auto"/>
        </w:rPr>
        <w:t>Merger Sub 2</w:t>
      </w:r>
      <w:r>
        <w:rPr>
          <w:rFonts w:ascii="Times New Roman" w:cs="Times New Roman" w:eastAsia="Times New Roman" w:hAnsi="Times New Roman"/>
          <w:sz w:val="18"/>
          <w:szCs w:val="18"/>
          <w:color w:val="auto"/>
        </w:rPr>
        <w:t>”), entered into that certain Agreement and Plan of Merger (the “</w:t>
      </w:r>
      <w:r>
        <w:rPr>
          <w:rFonts w:ascii="Times New Roman" w:cs="Times New Roman" w:eastAsia="Times New Roman" w:hAnsi="Times New Roman"/>
          <w:sz w:val="18"/>
          <w:szCs w:val="18"/>
          <w:b w:val="1"/>
          <w:bCs w:val="1"/>
          <w:i w:val="1"/>
          <w:iCs w:val="1"/>
          <w:color w:val="auto"/>
        </w:rPr>
        <w:t>Original Merger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WHEREAS, on October 11, 2023, the parties to the Original Merger Agreement entered into the First Amended and Restated Agreement and Plan of Merger (as may be amended, supplemented or otherwise modified from time to time in accordance with its terms,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pursuant to which the Original Merger Agreement was amended and restated in its entirety to provide, among other things, that all Class A ordinary shares of LCAA (other than the Class A ordinary shares of LCAA held by the Founder Shareholders (as defined in the Merger Agreement)) shall be exchanged for the right to receive American depositary shares of the Company duly and validly issued against the deposit of the underlying ordinary shares, par value $0.00001 per share, of the Company (“</w:t>
      </w:r>
      <w:r>
        <w:rPr>
          <w:rFonts w:ascii="Times New Roman" w:cs="Times New Roman" w:eastAsia="Times New Roman" w:hAnsi="Times New Roman"/>
          <w:sz w:val="18"/>
          <w:szCs w:val="18"/>
          <w:b w:val="1"/>
          <w:bCs w:val="1"/>
          <w:i w:val="1"/>
          <w:iCs w:val="1"/>
          <w:color w:val="auto"/>
        </w:rPr>
        <w:t>Company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deposited with the Depositary Bank (as defined in the Merger Agreement) in accordance with the Deposit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(as defined in the Merger Agreement) (“</w:t>
      </w:r>
      <w:r>
        <w:rPr>
          <w:rFonts w:ascii="Times New Roman" w:cs="Times New Roman" w:eastAsia="Times New Roman" w:hAnsi="Times New Roman"/>
          <w:sz w:val="18"/>
          <w:szCs w:val="18"/>
          <w:b w:val="1"/>
          <w:bCs w:val="1"/>
          <w:i w:val="1"/>
          <w:iCs w:val="1"/>
          <w:color w:val="auto"/>
        </w:rPr>
        <w:t>Company ADSs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WHEREAS, pursuant to the Merger Agreement and Section 4.5 of this Agreement, immediately after the First Effective Time (as defined in the Merger Agreement), each of the issued and outstanding LCAA Warrants will no longer be exercisable for Class A ordinary share of LCAA but instead will become exercisable (subject to the terms and conditions of this Agreement) for Company Ordinary Shares in the form of Company ADSs (each a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176"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76"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1045845</wp:posOffset>
            </wp:positionV>
            <wp:extent cx="629221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37" w:right="999" w:bottom="1440" w:gutter="0" w:footer="0" w:header="0"/>
        </w:sectPr>
      </w:pPr>
    </w:p>
    <w:bookmarkStart w:id="373" w:name="page374"/>
    <w:bookmarkEnd w:id="373"/>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Detachability of Warrants</w:t>
      </w:r>
      <w:r>
        <w:rPr>
          <w:rFonts w:ascii="Times New Roman" w:cs="Times New Roman" w:eastAsia="Times New Roman" w:hAnsi="Times New Roman"/>
          <w:sz w:val="18"/>
          <w:szCs w:val="18"/>
          <w:color w:val="auto"/>
        </w:rPr>
        <w:t>. Section 2.4 of the Warrant Agreement is hereby deleted and replaced with the following:</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7" w:lineRule="exact"/>
        <w:rPr>
          <w:sz w:val="20"/>
          <w:szCs w:val="20"/>
          <w:color w:val="auto"/>
        </w:rPr>
      </w:pPr>
    </w:p>
    <w:p>
      <w:pPr>
        <w:jc w:val="both"/>
        <w:ind w:left="840" w:hanging="647"/>
        <w:spacing w:after="0" w:line="261" w:lineRule="auto"/>
        <w:tabs>
          <w:tab w:leader="none" w:pos="8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References to “Ordinary Shares”</w:t>
      </w:r>
      <w:r>
        <w:rPr>
          <w:rFonts w:ascii="Times New Roman" w:cs="Times New Roman" w:eastAsia="Times New Roman" w:hAnsi="Times New Roman"/>
          <w:sz w:val="18"/>
          <w:szCs w:val="18"/>
          <w:color w:val="auto"/>
        </w:rPr>
        <w:t>. All references to “Ordinary Shares” in the Warrant Agreement (including all Exhibits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thereto) shall be amended such that they refer to Company Ordinary Shares in the form of Company ADSs after the Company Ordinary Shares have been deposited into the ADS Facility in connection with the Mergers or, if at the time of exercise the Company no longer uses the ADS Facility, Company Ordinary Shares.</w:t>
      </w:r>
    </w:p>
    <w:p>
      <w:pPr>
        <w:spacing w:after="0" w:line="180" w:lineRule="exact"/>
        <w:rPr>
          <w:sz w:val="20"/>
          <w:szCs w:val="20"/>
          <w:color w:val="auto"/>
        </w:rPr>
      </w:pPr>
    </w:p>
    <w:p>
      <w:pPr>
        <w:jc w:val="both"/>
        <w:ind w:left="840" w:hanging="647"/>
        <w:spacing w:after="0" w:line="261" w:lineRule="auto"/>
        <w:tabs>
          <w:tab w:leader="none" w:pos="8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References to Business Combination</w:t>
      </w:r>
      <w:r>
        <w:rPr>
          <w:rFonts w:ascii="Times New Roman" w:cs="Times New Roman" w:eastAsia="Times New Roman" w:hAnsi="Times New Roman"/>
          <w:sz w:val="18"/>
          <w:szCs w:val="18"/>
          <w:color w:val="auto"/>
        </w:rPr>
        <w:t>. All references to “Business Combination” in the Warrant Agreement (including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all Exhibits thereto) shall be references to the transactions contemplated by the Merger Agreement, and references to “the completion of the Business Combination” and all variations thereof in the Warrant Agreement (including all Exhibits thereto) shall be references to the closing of the transactions contemplated by the Merger Agreement.</w:t>
      </w:r>
    </w:p>
    <w:p>
      <w:pPr>
        <w:spacing w:after="0" w:line="180" w:lineRule="exact"/>
        <w:rPr>
          <w:sz w:val="20"/>
          <w:szCs w:val="20"/>
          <w:color w:val="auto"/>
        </w:rPr>
      </w:pPr>
    </w:p>
    <w:p>
      <w:pPr>
        <w:jc w:val="both"/>
        <w:ind w:left="840" w:hanging="647"/>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All references to “Warrant Agent” and “Transfer Agent” in the Warrant Agreement (including 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Exhibits thereto) shall be references to the Successor Warrant Agent hereunder.</w:t>
      </w:r>
    </w:p>
    <w:p>
      <w:pPr>
        <w:spacing w:after="0" w:line="162"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Section 9.2 of the Warrant Agreement is hereby deleted and replaced with the following:</w:t>
      </w:r>
    </w:p>
    <w:p>
      <w:pPr>
        <w:spacing w:after="0" w:line="225"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“Notices.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Lotus Technology Inc.</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 800 Century Avenue</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Pudong District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Shanghai 200120, People’s Republic of China</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Alexious.Lee@lotuscars.com.cn</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30/F, China World Office 2</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 1, Jian Guo Men Wai Avenue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Beijing 100004, China</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Alexious.Lee@lotuscars.com.cn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897255</wp:posOffset>
            </wp:positionV>
            <wp:extent cx="629221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37" w:right="999" w:bottom="1440" w:gutter="0" w:footer="0" w:header="0"/>
        </w:sectPr>
      </w:pPr>
    </w:p>
    <w:bookmarkStart w:id="374" w:name="page375"/>
    <w:bookmarkEnd w:id="374"/>
    <w:p>
      <w:pPr>
        <w:jc w:val="both"/>
        <w:ind w:left="1292"/>
        <w:spacing w:after="0" w:line="261" w:lineRule="auto"/>
        <w:rPr>
          <w:sz w:val="20"/>
          <w:szCs w:val="20"/>
          <w:color w:val="auto"/>
        </w:rPr>
      </w:pPr>
      <w:r>
        <w:rPr>
          <w:rFonts w:ascii="Times New Roman" w:cs="Times New Roman" w:eastAsia="Times New Roman" w:hAnsi="Times New Roman"/>
          <w:sz w:val="18"/>
          <w:szCs w:val="18"/>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(5) days after deposit of such notice, postage prepaid, addressed (until another address is filed in writing by the Warrant Agent with the Company), as follows:</w:t>
      </w:r>
    </w:p>
    <w:p>
      <w:pPr>
        <w:spacing w:after="0" w:line="180"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Equiniti Trust Company, LLC</w:t>
      </w:r>
    </w:p>
    <w:p>
      <w:pPr>
        <w:ind w:left="1952"/>
        <w:spacing w:after="0" w:line="196" w:lineRule="auto"/>
        <w:rPr>
          <w:sz w:val="20"/>
          <w:szCs w:val="20"/>
          <w:color w:val="auto"/>
        </w:rPr>
      </w:pPr>
      <w:r>
        <w:rPr>
          <w:rFonts w:ascii="Times New Roman" w:cs="Times New Roman" w:eastAsia="Times New Roman" w:hAnsi="Times New Roman"/>
          <w:sz w:val="18"/>
          <w:szCs w:val="18"/>
          <w:color w:val="auto"/>
        </w:rPr>
        <w:t>48 Wall Street,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7"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Email: Alexious.Lee@lotuscars.com.cn</w:t>
      </w:r>
    </w:p>
    <w:p>
      <w:pPr>
        <w:spacing w:after="0" w:line="203" w:lineRule="exact"/>
        <w:rPr>
          <w:sz w:val="20"/>
          <w:szCs w:val="20"/>
          <w:color w:val="auto"/>
        </w:rPr>
      </w:pPr>
    </w:p>
    <w:p>
      <w:pPr>
        <w:ind w:left="652" w:hanging="652"/>
        <w:spacing w:after="0"/>
        <w:tabs>
          <w:tab w:leader="none" w:pos="652" w:val="left"/>
        </w:tabs>
        <w:numPr>
          <w:ilvl w:val="0"/>
          <w:numId w:val="2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Fees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pay the Successor Warrant Agent for its services related to its appointment and role as warrant agent of the Company, specifically:</w:t>
      </w:r>
    </w:p>
    <w:p>
      <w:pPr>
        <w:spacing w:after="0" w:line="161" w:lineRule="exact"/>
        <w:rPr>
          <w:rFonts w:ascii="Times New Roman" w:cs="Times New Roman" w:eastAsia="Times New Roman" w:hAnsi="Times New Roman"/>
          <w:sz w:val="18"/>
          <w:szCs w:val="18"/>
          <w:b w:val="1"/>
          <w:bCs w:val="1"/>
          <w:color w:val="auto"/>
        </w:rPr>
      </w:pPr>
    </w:p>
    <w:p>
      <w:pPr>
        <w:ind w:left="1472" w:hanging="176"/>
        <w:spacing w:after="0"/>
        <w:tabs>
          <w:tab w:leader="none" w:pos="1472"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monthly administrative fee of US$950</w:t>
      </w:r>
    </w:p>
    <w:p>
      <w:pPr>
        <w:spacing w:after="0" w:line="27" w:lineRule="exact"/>
        <w:rPr>
          <w:rFonts w:ascii="Times New Roman" w:cs="Times New Roman" w:eastAsia="Times New Roman" w:hAnsi="Times New Roman"/>
          <w:sz w:val="18"/>
          <w:szCs w:val="18"/>
          <w:color w:val="auto"/>
        </w:rPr>
      </w:pPr>
    </w:p>
    <w:p>
      <w:pPr>
        <w:ind w:left="1472" w:hanging="176"/>
        <w:spacing w:after="0"/>
        <w:tabs>
          <w:tab w:leader="none" w:pos="1472"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 exercise fee of US$40 incurred per exercise of the warrant</w:t>
      </w:r>
    </w:p>
    <w:p>
      <w:pPr>
        <w:spacing w:after="0" w:line="9" w:lineRule="exact"/>
        <w:rPr>
          <w:rFonts w:ascii="Times New Roman" w:cs="Times New Roman" w:eastAsia="Times New Roman" w:hAnsi="Times New Roman"/>
          <w:sz w:val="18"/>
          <w:szCs w:val="18"/>
          <w:color w:val="auto"/>
        </w:rPr>
      </w:pPr>
    </w:p>
    <w:p>
      <w:pPr>
        <w:ind w:left="1472" w:hanging="176"/>
        <w:spacing w:after="0"/>
        <w:tabs>
          <w:tab w:leader="none" w:pos="1472"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successor warrant agent appointment fee of US$4,000</w:t>
      </w:r>
    </w:p>
    <w:p>
      <w:pPr>
        <w:spacing w:after="0" w:line="207" w:lineRule="exact"/>
        <w:rPr>
          <w:sz w:val="20"/>
          <w:szCs w:val="20"/>
          <w:color w:val="auto"/>
        </w:rPr>
      </w:pPr>
    </w:p>
    <w:p>
      <w:pPr>
        <w:jc w:val="both"/>
        <w:ind w:left="652"/>
        <w:spacing w:after="0" w:line="258" w:lineRule="auto"/>
        <w:rPr>
          <w:sz w:val="20"/>
          <w:szCs w:val="20"/>
          <w:color w:val="auto"/>
        </w:rPr>
      </w:pPr>
      <w:r>
        <w:rPr>
          <w:rFonts w:ascii="Times New Roman" w:cs="Times New Roman" w:eastAsia="Times New Roman" w:hAnsi="Times New Roman"/>
          <w:sz w:val="18"/>
          <w:szCs w:val="18"/>
          <w:color w:val="auto"/>
        </w:rPr>
        <w:t>All Fees payable shall be in US Dollars, and without deduction or withholding on account of, taxes of any kind and without any set-off or counterclaim whatsoever. The Company is obliged to pay all such taxes and complete all tax filings and compliance obligations with the relevant tax authorities in connection with the services provided under this agreement (including but not limited to, value-added tax, withholding tax, goods and services tax, business tax or other similar taxes). The Company shall make such payment in full to the Successor Warrant Agent no less than 30 business days after receiving the payment invoice.</w:t>
      </w:r>
    </w:p>
    <w:p>
      <w:pPr>
        <w:spacing w:after="0" w:line="179" w:lineRule="exact"/>
        <w:rPr>
          <w:sz w:val="20"/>
          <w:szCs w:val="20"/>
          <w:color w:val="auto"/>
        </w:rPr>
      </w:pPr>
    </w:p>
    <w:p>
      <w:pPr>
        <w:ind w:left="652" w:hanging="652"/>
        <w:spacing w:after="0"/>
        <w:tabs>
          <w:tab w:leader="none" w:pos="652" w:val="left"/>
        </w:tabs>
        <w:numPr>
          <w:ilvl w:val="0"/>
          <w:numId w:val="2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 Provisions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Notwithstanding anything to the contrary contained herein, this Agreement shall be expressly subject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occurrence of and only become effective upon the Closing. In the event that the Merger Agreement is terminated for any reason in accordance with its terms prior to the Closing, this Agreement and all rights and obligations of the parties hereunder shall automatically terminate and be of no further force or effect.</w:t>
      </w:r>
    </w:p>
    <w:p>
      <w:pPr>
        <w:spacing w:after="0" w:line="179" w:lineRule="exact"/>
        <w:rPr>
          <w:rFonts w:ascii="Times New Roman" w:cs="Times New Roman" w:eastAsia="Times New Roman" w:hAnsi="Times New Roman"/>
          <w:sz w:val="18"/>
          <w:szCs w:val="18"/>
          <w:b w:val="1"/>
          <w:bCs w:val="1"/>
          <w:color w:val="auto"/>
        </w:rPr>
      </w:pPr>
    </w:p>
    <w:p>
      <w:pPr>
        <w:ind w:left="1292"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Except as expressly provided in this Agreement, all of the terms and provisions in the Warrant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are and shall remain in full force and effect, on the terms and subject to the conditions set forth therein. This Agreement does not constitute, directly or by implication, an amendment or waiver of any provision of the Warrant Agreement, or any other right, remedy, power or privilege of any party thereto, except as expressly set forth herein. Any reference to the Warrant Agreement in the Warrant Agreement or any other agreement, document, instrument or certificate entered into or issued in connection therewith, shall hereinafter mean the Warrant Agreement as the case may be, as amended by this Agreement (or as such agreement may be further amended or modified in accordance with the terms thereof). The terms of this Agreement shall be governed by, enforced and construed and interpreted in a manner consistent with the provisions of the Warrant Agreement, as it applies to the amendments to the Warrant Agreement herein, including without limitation Section 9 of the Warrant Agreement.</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909955</wp:posOffset>
            </wp:positionV>
            <wp:extent cx="629221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337" w:right="999" w:bottom="1440" w:gutter="0" w:footer="0" w:header="0"/>
        </w:sectPr>
      </w:pPr>
    </w:p>
    <w:bookmarkStart w:id="375" w:name="page376"/>
    <w:bookmarkEnd w:id="375"/>
    <w:p>
      <w:pPr>
        <w:ind w:left="20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above written.</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 xml:space="preserve">L CATTERTON ASIA ACQUISITION CORP, </w:t>
      </w:r>
      <w:r>
        <w:rPr>
          <w:rFonts w:ascii="Times New Roman" w:cs="Times New Roman" w:eastAsia="Times New Roman" w:hAnsi="Times New Roman"/>
          <w:sz w:val="18"/>
          <w:szCs w:val="18"/>
          <w:color w:val="auto"/>
        </w:rPr>
        <w:t>as SPAC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Chinta Bhagat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7774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Chinta Bhagat</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Co-Chief Executive Officer and Director</w:t>
      </w:r>
    </w:p>
    <w:p>
      <w:pPr>
        <w:spacing w:after="0" w:line="200" w:lineRule="exact"/>
        <w:rPr>
          <w:sz w:val="20"/>
          <w:szCs w:val="20"/>
          <w:color w:val="auto"/>
        </w:rPr>
      </w:pPr>
    </w:p>
    <w:p>
      <w:pPr>
        <w:spacing w:after="0" w:line="22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Assignment, Assumption and Amendment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909955</wp:posOffset>
            </wp:positionV>
            <wp:extent cx="629221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360"/>
          </w:cols>
          <w:pgMar w:left="1440" w:top="337" w:right="1099" w:bottom="1440" w:gutter="0" w:footer="0" w:header="0"/>
        </w:sectPr>
      </w:pPr>
    </w:p>
    <w:bookmarkStart w:id="376" w:name="page377"/>
    <w:bookmarkEnd w:id="376"/>
    <w:p>
      <w:pPr>
        <w:ind w:left="20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above written.</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LOTUS TECHNOLOGY INC.</w:t>
      </w:r>
      <w:r>
        <w:rPr>
          <w:rFonts w:ascii="Times New Roman" w:cs="Times New Roman" w:eastAsia="Times New Roman" w:hAnsi="Times New Roman"/>
          <w:sz w:val="18"/>
          <w:szCs w:val="18"/>
          <w:color w:val="auto"/>
        </w:rPr>
        <w:t>, as the Company</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Qingfeng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7774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Qingfeng Feng</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Director and Chief Executive Officer</w:t>
      </w:r>
    </w:p>
    <w:p>
      <w:pPr>
        <w:spacing w:after="0" w:line="200" w:lineRule="exact"/>
        <w:rPr>
          <w:sz w:val="20"/>
          <w:szCs w:val="20"/>
          <w:color w:val="auto"/>
        </w:rPr>
      </w:pPr>
    </w:p>
    <w:p>
      <w:pPr>
        <w:spacing w:after="0" w:line="22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Assignment, Assumption and Amendment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909955</wp:posOffset>
            </wp:positionV>
            <wp:extent cx="629221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360"/>
          </w:cols>
          <w:pgMar w:left="1440" w:top="337" w:right="1099" w:bottom="1440" w:gutter="0" w:footer="0" w:header="0"/>
        </w:sectPr>
      </w:pPr>
    </w:p>
    <w:bookmarkStart w:id="377" w:name="page378"/>
    <w:bookmarkEnd w:id="377"/>
    <w:p>
      <w:pPr>
        <w:ind w:left="20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date first above written.</w:t>
      </w:r>
    </w:p>
    <w:p>
      <w:pPr>
        <w:spacing w:after="0" w:line="221" w:lineRule="exact"/>
        <w:rPr>
          <w:sz w:val="20"/>
          <w:szCs w:val="20"/>
          <w:color w:val="auto"/>
        </w:rPr>
      </w:pPr>
    </w:p>
    <w:p>
      <w:pPr>
        <w:ind w:left="4520" w:right="80"/>
        <w:spacing w:after="0" w:line="286" w:lineRule="auto"/>
        <w:rPr>
          <w:sz w:val="20"/>
          <w:szCs w:val="20"/>
          <w:color w:val="auto"/>
        </w:rPr>
      </w:pPr>
      <w:r>
        <w:rPr>
          <w:rFonts w:ascii="Times New Roman" w:cs="Times New Roman" w:eastAsia="Times New Roman" w:hAnsi="Times New Roman"/>
          <w:sz w:val="18"/>
          <w:szCs w:val="18"/>
          <w:b w:val="1"/>
          <w:bCs w:val="1"/>
          <w:color w:val="auto"/>
        </w:rPr>
        <w:t>CONTINENTAL STOCK TRANSFER &amp; TRUST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Predecessor Warrant Agent</w:t>
      </w:r>
    </w:p>
    <w:p>
      <w:pPr>
        <w:spacing w:after="0" w:line="15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Keri-Ann Cuadros</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Keri-Ann Cuadros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Account Manager</w:t>
            </w:r>
          </w:p>
        </w:tc>
      </w:tr>
    </w:tbl>
    <w:p>
      <w:pPr>
        <w:spacing w:after="0" w:line="19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Assignment, Assumption and Amendment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909955</wp:posOffset>
            </wp:positionV>
            <wp:extent cx="629221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37" w:right="999" w:bottom="1440" w:gutter="0" w:footer="0" w:header="0"/>
        </w:sectPr>
      </w:pPr>
    </w:p>
    <w:bookmarkStart w:id="378" w:name="page379"/>
    <w:bookmarkEnd w:id="378"/>
    <w:p>
      <w:pPr>
        <w:ind w:left="20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above written.</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EQUINITI TRUST COMPANY, LLC</w:t>
      </w:r>
      <w:r>
        <w:rPr>
          <w:rFonts w:ascii="Times New Roman" w:cs="Times New Roman" w:eastAsia="Times New Roman" w:hAnsi="Times New Roman"/>
          <w:sz w:val="18"/>
          <w:szCs w:val="18"/>
          <w:color w:val="auto"/>
        </w:rPr>
        <w:t>, as Successor Warrant</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Michael Legregin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17145</wp:posOffset>
            </wp:positionV>
            <wp:extent cx="2802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3">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Michael Legregin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Senior Vice President, Corporate Actions Relationship</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Management &amp; Operations</w:t>
      </w:r>
    </w:p>
    <w:p>
      <w:pPr>
        <w:spacing w:after="0" w:line="20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Assignment, Assumption and Amendment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772795</wp:posOffset>
            </wp:positionV>
            <wp:extent cx="629221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360"/>
          </w:cols>
          <w:pgMar w:left="1440" w:top="337" w:right="1099" w:bottom="1440" w:gutter="0" w:footer="0" w:header="0"/>
        </w:sectPr>
      </w:pPr>
    </w:p>
    <w:bookmarkStart w:id="379" w:name="page380"/>
    <w:bookmarkEnd w:id="379"/>
    <w:p>
      <w:pPr>
        <w:jc w:val="right"/>
        <w:spacing w:after="0"/>
        <w:rPr>
          <w:sz w:val="20"/>
          <w:szCs w:val="20"/>
          <w:color w:val="auto"/>
        </w:rPr>
      </w:pPr>
      <w:r>
        <w:rPr>
          <w:rFonts w:ascii="Times New Roman" w:cs="Times New Roman" w:eastAsia="Times New Roman" w:hAnsi="Times New Roman"/>
          <w:sz w:val="18"/>
          <w:szCs w:val="18"/>
          <w:b w:val="1"/>
          <w:bCs w:val="1"/>
          <w:color w:val="auto"/>
        </w:rPr>
        <w:t>Exhibit 2.8</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REGISTRATION RIGHTS AGREEMENT (this “Agreement”), dated as of February 22, 2024, is made and entered into by and among (i) Lotus Technology Inc., an exempted company limited by shares incorporated under the laws of the Cayman Islands (the “Company”), (ii) L Catterton Asia Acquisition Corp, an exempted company limited by shares incorporated under the laws of the Cayman Islands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xml:space="preserve">”), (iii) LCA Acquisition Sponsor, LP, a Cayman Islands exempted limited partnership (the “Sponsor”), and (iv) the other undersigned parties listed on the signature page hereto (each such party, together with the Sponsor and any person or entity who hereafter becomes a party to this Agreement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this Agreement,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Capitalized terms used herein but not defined herein shall have the meaning ascribed to such terms in the Merger Agreement (as defined below).</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SPAC and the Sponsor entered into that certain Registration and Shareholder Rights Agreement dated as of March 10, 2021 (the “Prior SPAC Agreement”), and the parties to the Prior SPAC Agreement desire to terminate, effective as of the Closing (as defined below), the same to provide for the terms and conditions set forth in this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WHEREAS, on January 31, 2023, the Company, SPAC, Lotus Temp Limited, an exempted company limited by shares incorporated under the laws of the Cayman Islands and a direct wholly owned subsidiary of the Company (“Merger Sub 1”) and Lotus EV Limited, an exempted company limited by shares incorporated under the laws of the Cayman Islands and a direct wholly owned subsidiary of the Company (“Merger Sub 2”) entered into that certain Agreement and Plan of Merger (the “Original Merger Agreement”), pursuant to which, among other matters, (i) Merger Sub 1 will merge with and into SPAC with SPAC continuing as the surviving entity and a wholly owned subsidiary of the Company (the “First Merger,” and the closing of the First Merger, the “First Merger Closing”), (ii) immediately following the consummation of the First Merger, SPAC will merge with and into Merger Sub 2 with Merger Sub 2 continuing as the surviving entity and a wholly owned subsidiary of the Company (the “Second Merger” and together with the First Merger, collectively, the “Mergers,” and the closing of the Mergers, the “</w:t>
      </w:r>
      <w:r>
        <w:rPr>
          <w:rFonts w:ascii="Times New Roman" w:cs="Times New Roman" w:eastAsia="Times New Roman" w:hAnsi="Times New Roman"/>
          <w:sz w:val="18"/>
          <w:szCs w:val="18"/>
          <w:u w:val="single" w:color="auto"/>
          <w:color w:val="auto"/>
        </w:rPr>
        <w:t>Closin</w:t>
      </w:r>
      <w:r>
        <w:rPr>
          <w:rFonts w:ascii="Times New Roman" w:cs="Times New Roman" w:eastAsia="Times New Roman" w:hAnsi="Times New Roman"/>
          <w:sz w:val="18"/>
          <w:szCs w:val="18"/>
          <w:color w:val="auto"/>
        </w:rPr>
        <w:t>g”);</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on October 11, 2023, the parties to the Original Merger Agreement entered into the First Amended and Restated Agreement and Plan of Merger (as may be amended, supplemented or otherwise modified from time to time in accordance with its terms, the “Merger Agreement”), pursuant to which the Original Merger Agreement was amended and restated in its entirety to provide, among other things, (i) that each applicable security holder of SPAC immediately prior to the First Merger Closing shall receive the equivalent number of Company ADSs in lieu of the Company Ordinary Shares such security holder would otherwise receive in the First Merger, and (ii) that the Company shall establish a sponsored ADS Facility for the purpose of issuing the Company ADSs;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following the Closing, the Holders will hold certain number of Company Ordinary Shares (including Company Ordinary Shares represented by Company ADSs);</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WHEREAS, at the First Merger Closing and subject to the terms and conditions of the Merger Agreement, (i) all of the outstanding shares of SPAC will automatically be cancelled</w:t>
      </w:r>
    </w:p>
    <w:p>
      <w:pPr>
        <w:jc w:val="both"/>
        <w:spacing w:after="0" w:line="260" w:lineRule="auto"/>
        <w:rPr>
          <w:sz w:val="20"/>
          <w:szCs w:val="20"/>
          <w:color w:val="auto"/>
        </w:rPr>
      </w:pPr>
      <w:r>
        <w:rPr>
          <w:rFonts w:ascii="Times New Roman" w:cs="Times New Roman" w:eastAsia="Times New Roman" w:hAnsi="Times New Roman"/>
          <w:sz w:val="18"/>
          <w:szCs w:val="18"/>
          <w:color w:val="auto"/>
        </w:rPr>
        <w:t>and cease to exist in exchange for the right to receive newly issued Company Ordinary Shares in the form of Company ADSs, and (ii) all of the outstanding warrants of SPAC will automatically be assumed by the Company and become Company Warrants.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380" w:name="page381"/>
    <w:bookmarkEnd w:id="380"/>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terms defined in this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shall, for all purposes of this Agreement, have the respective meanings set forth below:</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Disclosure</w:t>
      </w:r>
      <w:r>
        <w:rPr>
          <w:rFonts w:ascii="Times New Roman" w:cs="Times New Roman" w:eastAsia="Times New Roman" w:hAnsi="Times New Roman"/>
          <w:sz w:val="18"/>
          <w:szCs w:val="18"/>
          <w:color w:val="auto"/>
        </w:rPr>
        <w:t>” shall mean any public disclosure of material non-public information, (a) which disclosure, in the good faith judgment of the Chief Executive Officer or Chief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and (ii) would not be required to be made at such time if the Registration Statement were not being filed, declared effective or used, as the case may be, and (b) as to which the Company has a bona fide business purpose for not making such information public.</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shall have the meaning given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“Business Day” shall mean a day on which commercial banks are open for business in New York, U.S., the Cayman Islands or the PRC, except a Saturday, Sunday or public holiday (gazetted or ungazetted and whether scheduled or unscheduled).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w:t>
      </w:r>
      <w:r>
        <w:rPr>
          <w:rFonts w:ascii="Times New Roman" w:cs="Times New Roman" w:eastAsia="Times New Roman" w:hAnsi="Times New Roman"/>
          <w:sz w:val="18"/>
          <w:szCs w:val="18"/>
          <w:color w:val="auto"/>
        </w:rPr>
        <w:t>g” shall have the meaning given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shall have the meaning given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“Demanding Holder” shall have the meaning given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“Exchange Act” shall mean the Securities Exchange Act of 1934, as it may be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Merger Closing” shall have the meaning given in the Recitals.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F-1</w:t>
      </w:r>
      <w:r>
        <w:rPr>
          <w:rFonts w:ascii="Times New Roman" w:cs="Times New Roman" w:eastAsia="Times New Roman" w:hAnsi="Times New Roman"/>
          <w:sz w:val="18"/>
          <w:szCs w:val="18"/>
          <w:color w:val="auto"/>
        </w:rPr>
        <w:t>” shall mean such form under the Securities Act as in effect on the date hereof or any successor registration form under the Securities Act subsequently adopted by the Commission.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F-1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F-3</w:t>
      </w:r>
      <w:r>
        <w:rPr>
          <w:rFonts w:ascii="Times New Roman" w:cs="Times New Roman" w:eastAsia="Times New Roman" w:hAnsi="Times New Roman"/>
          <w:sz w:val="18"/>
          <w:szCs w:val="18"/>
          <w:color w:val="auto"/>
        </w:rPr>
        <w:t>” shall mean such form under the Securities Act as in effect on the date hereof or any registration form under the Securities Act subsequently adopted by the Commission that permits forward incorporation of substantial information by reference to other documents filed by the Company with the Commission.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F-3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shall have the meaning given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81" w:name="page382"/>
    <w:bookmarkEnd w:id="38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“Lock-Up Agreement” shall mean, as applicable, the agreements and undertakings of the Holders set forth in (i) Section 4.11 of that certain Shareholder Support Agreement dated as of the date hereof, by and among the Company, SPAC and certain shareholders of the Company identified therein, and (ii) Section 4.12 of that certain Sponsor Support Agreement dated as of the date hereof by and among the Company, SPAC, the Sponsor and certain other persons identified therein, in each case pursuant to which a Holder has agreed not to transfer the Registrable Securities held by such Holder for a certain period of time after the Closing.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Number of Securities</w:t>
      </w:r>
      <w:r>
        <w:rPr>
          <w:rFonts w:ascii="Times New Roman" w:cs="Times New Roman" w:eastAsia="Times New Roman" w:hAnsi="Times New Roman"/>
          <w:sz w:val="18"/>
          <w:szCs w:val="18"/>
          <w:color w:val="auto"/>
        </w:rPr>
        <w:t>” shall mean, as to a given Underwritten Offering, the maximum dollar amount or maximum number of equity securities that can be sold in such Underwritten Offering, in the reasonable determination of the managing Underwriter(s), without adversely affecting the proposed offering price, the timing, the distribution method, or the probability of success of such offering.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“Merger Agreement” shall have the meaning given in the Recitals.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Misstatemen</w:t>
      </w:r>
      <w:r>
        <w:rPr>
          <w:rFonts w:ascii="Times New Roman" w:cs="Times New Roman" w:eastAsia="Times New Roman" w:hAnsi="Times New Roman"/>
          <w:sz w:val="18"/>
          <w:szCs w:val="18"/>
          <w:color w:val="auto"/>
        </w:rPr>
        <w:t>t” shall mean an untrue statement of a material fact or an omission to state a material fact required to be stated in a Registration Statement or Prospectus, or necessary to</w:t>
      </w: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make the statements in a Registration Statement or Prospectus (in the case of a Prospectus, in the light of the circumstances under which they were made) not misleading.</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“New Registration Statement” shall have the meaning given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shall mean a person or entity to whom a Holder of Registrable Securities is permitted to transfer such Registrable Securities prior to the expiration of the lock- up period under the applicable Lock-Up Agreement, and to any transferee thereafter.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“Piggyback Registration” shall have the meaning given in </w:t>
      </w:r>
      <w:r>
        <w:rPr>
          <w:rFonts w:ascii="Times New Roman" w:cs="Times New Roman" w:eastAsia="Times New Roman" w:hAnsi="Times New Roman"/>
          <w:sz w:val="18"/>
          <w:szCs w:val="18"/>
          <w:u w:val="single" w:color="auto"/>
          <w:color w:val="auto"/>
        </w:rPr>
        <w:t>subsection 2.7.1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PIPE/CB Securities</w:t>
      </w:r>
      <w:r>
        <w:rPr>
          <w:rFonts w:ascii="Times New Roman" w:cs="Times New Roman" w:eastAsia="Times New Roman" w:hAnsi="Times New Roman"/>
          <w:sz w:val="18"/>
          <w:szCs w:val="18"/>
          <w:color w:val="auto"/>
        </w:rPr>
        <w:t>” shall mean those securities issued pursuant to the PIPE Subscription Agreements or those securities issued or, issued upon conversion, exchange or exercise of the securities issued, pursuant to the Pre-Closing Financing Agreements.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“PIPE Subscription Agreements” shall mean the subscription agreement(s) or similar agreement(s) entered or to be entered into by and among any investor, the Company, and, where applicable, other parties thereto, pursuant to which such investor will subscribe for Company Ordinary Shares (including Company Ordinary Shares represented by Company ADSs) on the date of the Closing.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“Pre-Closing Financing Agreements” shall mean such agreements entered or to be entered into by and among any investor, the Company, and, where applicable, other parties thereto, pursuant to which the investors will acquire equity securities of the Company prior to the date of the Closing.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SPAC Agreement” shall have the meaning given in the Recitals.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shall mean, with respect to a given Registration, offering or Transfer of Registrable Securities pursuant to this Agreement, pro rata based on (A) the number of Registrable Securities that each Holder, as applicable, has requested or proposed to be included in such Registration, offering or Transfer and (B) the aggregate number of Registrable Securities that all Holders have requested or proposed to be included in such Registration, offering or Transfer.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“Prospectus”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82" w:name="page383"/>
    <w:bookmarkEnd w:id="382"/>
    <w:p>
      <w:pPr>
        <w:ind w:left="660"/>
        <w:spacing w:after="0"/>
        <w:rPr>
          <w:sz w:val="20"/>
          <w:szCs w:val="20"/>
          <w:color w:val="auto"/>
        </w:rPr>
      </w:pPr>
      <w:r>
        <w:rPr>
          <w:rFonts w:ascii="Times New Roman" w:cs="Times New Roman" w:eastAsia="Times New Roman" w:hAnsi="Times New Roman"/>
          <w:sz w:val="18"/>
          <w:szCs w:val="18"/>
          <w:color w:val="auto"/>
        </w:rPr>
        <w:t>“Registrable Securities” shall mean:</w:t>
      </w:r>
    </w:p>
    <w:p>
      <w:pPr>
        <w:spacing w:after="0" w:line="225" w:lineRule="exact"/>
        <w:rPr>
          <w:sz w:val="20"/>
          <w:szCs w:val="20"/>
          <w:color w:val="auto"/>
        </w:rPr>
      </w:pPr>
    </w:p>
    <w:p>
      <w:pPr>
        <w:ind w:right="20" w:firstLine="656"/>
        <w:spacing w:after="0" w:line="282" w:lineRule="auto"/>
        <w:tabs>
          <w:tab w:leader="none" w:pos="1296"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Company Ordinary Shares or Company Warrants that are held by a Holder as of immediately following the Closing;</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Ordinary Shares that may be acquired by a Holder upon the exercise of any of the Company Warrants (or any other option or right to acquire Company Ordinary Shares) that are held by a Holder as of immediately following the Closing; and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equity security of the Company issued or issuable with respect to any securities referenced in clauses (A) or</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339"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by way of a stock dividend or stock split or in connection with a recapitalization, merger, consolidation, spin-off, reorganization or similar transaction,</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as to any particular Registrable Securities,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(or book-entry positions not subject to) a legend restricting further transfer shall have been delivered by the Company and subsequent public distribution of such securities shall not require registration under the Securities Act; (iii) such securities shall have ceased to be outstanding; (iv) such securities have been sold to, or through, a broker, dealer or underwriter in a public distribution or other public securities transaction. For the purpose of clarification, any reference to “Company Ordinary Shares” in this definition shall include Company Ordinary Shares represented by Company ADSs.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“Registration” shall mean a registration, including any related Underwritten Takedown,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“Registration Expenses” shall mean the out-of-pocket expenses of a Registration, including, without limitation, the following:</w:t>
      </w:r>
    </w:p>
    <w:p>
      <w:pPr>
        <w:spacing w:after="0" w:line="225" w:lineRule="exact"/>
        <w:rPr>
          <w:sz w:val="20"/>
          <w:szCs w:val="20"/>
          <w:color w:val="auto"/>
        </w:rPr>
      </w:pPr>
    </w:p>
    <w:p>
      <w:pPr>
        <w:ind w:firstLine="656"/>
        <w:spacing w:after="0" w:line="282" w:lineRule="auto"/>
        <w:tabs>
          <w:tab w:leader="none" w:pos="129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securities exchange on which the Company ADSs are then listed;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roadshow and travel expenses, if any;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(1) legal counsel selected by the majority-in-interest of the Demanding Holders initiating an Underwritten Takedown.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83" w:name="page384"/>
    <w:bookmarkEnd w:id="38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“Registration Statement”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“Requesting Holder” shall have the meaning given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w:t>
      </w:r>
      <w:r>
        <w:rPr>
          <w:rFonts w:ascii="Times New Roman" w:cs="Times New Roman" w:eastAsia="Times New Roman" w:hAnsi="Times New Roman"/>
          <w:sz w:val="18"/>
          <w:szCs w:val="18"/>
          <w:color w:val="auto"/>
        </w:rPr>
        <w:t>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w:t>
      </w:r>
      <w:r>
        <w:rPr>
          <w:rFonts w:ascii="Times New Roman" w:cs="Times New Roman" w:eastAsia="Times New Roman" w:hAnsi="Times New Roman"/>
          <w:sz w:val="18"/>
          <w:szCs w:val="18"/>
          <w:color w:val="auto"/>
        </w:rPr>
        <w:t>” shall mean the Form F-1 Shelf, the Form F-3 Shelf or any Subsequent Shelf, as the case may be.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“Shelf Registration” shall mean a Registration of securities pursuant to a Registration Statement filed with the Commission in accordance with and pursuant to Rule 415 promulgated under the Securities Act (or any successor rule then in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“Sponsor” shall have the meaning given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“Subsequent Shelf” shall have the meaning given in </w:t>
      </w:r>
      <w:r>
        <w:rPr>
          <w:rFonts w:ascii="Times New Roman" w:cs="Times New Roman" w:eastAsia="Times New Roman" w:hAnsi="Times New Roman"/>
          <w:sz w:val="18"/>
          <w:szCs w:val="18"/>
          <w:u w:val="single" w:color="auto"/>
          <w:color w:val="auto"/>
        </w:rPr>
        <w:t>subsection 2.3.2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Takedown Demand</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Takedown Threshold</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“Underwritten Registration” or “</w:t>
      </w:r>
      <w:r>
        <w:rPr>
          <w:rFonts w:ascii="Times New Roman" w:cs="Times New Roman" w:eastAsia="Times New Roman" w:hAnsi="Times New Roman"/>
          <w:sz w:val="18"/>
          <w:szCs w:val="18"/>
          <w:u w:val="single" w:color="auto"/>
          <w:color w:val="auto"/>
        </w:rPr>
        <w:t>Underwritten Offerin</w:t>
      </w:r>
      <w:r>
        <w:rPr>
          <w:rFonts w:ascii="Times New Roman" w:cs="Times New Roman" w:eastAsia="Times New Roman" w:hAnsi="Times New Roman"/>
          <w:sz w:val="18"/>
          <w:szCs w:val="18"/>
          <w:color w:val="auto"/>
        </w:rPr>
        <w:t>g” shall mean a Registration in which securities of the Company are sold to an Underwriter in a firm commitment underwriting for distribution to the public.</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Takedown</w:t>
      </w:r>
      <w:r>
        <w:rPr>
          <w:rFonts w:ascii="Times New Roman" w:cs="Times New Roman" w:eastAsia="Times New Roman" w:hAnsi="Times New Roman"/>
          <w:sz w:val="18"/>
          <w:szCs w:val="18"/>
          <w:color w:val="auto"/>
        </w:rPr>
        <w:t>” shall mean an Underwritten Offering of Registrable Securities pursuant to the Shelf, as amended or supplemented.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84" w:name="page385"/>
    <w:bookmarkEnd w:id="384"/>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REGISTRATIONS</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Resale Shelf Registration.</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2.1.1 The Company shall (a) use its reasonable efforts to file within forty five (45) days following the Closing, and use commercially reasonable efforts to cause to be declared effective as soon as reasonably practicable thereafter, a Registration Statement for a Shelf Registration on Form F-1 (the “</w:t>
      </w:r>
      <w:r>
        <w:rPr>
          <w:rFonts w:ascii="Times New Roman" w:cs="Times New Roman" w:eastAsia="Times New Roman" w:hAnsi="Times New Roman"/>
          <w:sz w:val="18"/>
          <w:szCs w:val="18"/>
          <w:u w:val="single" w:color="auto"/>
          <w:color w:val="auto"/>
        </w:rPr>
        <w:t>Form F-1 Shelf</w:t>
      </w:r>
      <w:r>
        <w:rPr>
          <w:rFonts w:ascii="Times New Roman" w:cs="Times New Roman" w:eastAsia="Times New Roman" w:hAnsi="Times New Roman"/>
          <w:sz w:val="18"/>
          <w:szCs w:val="18"/>
          <w:color w:val="auto"/>
        </w:rPr>
        <w:t>”) covering the resale of all the Registrable Securities (determined as of two</w:t>
      </w:r>
    </w:p>
    <w:p>
      <w:pPr>
        <w:spacing w:after="0" w:line="1" w:lineRule="exact"/>
        <w:rPr>
          <w:sz w:val="20"/>
          <w:szCs w:val="20"/>
          <w:color w:val="auto"/>
        </w:rPr>
      </w:pPr>
    </w:p>
    <w:p>
      <w:pPr>
        <w:jc w:val="both"/>
        <w:ind w:firstLine="8"/>
        <w:spacing w:after="0" w:line="253" w:lineRule="auto"/>
        <w:tabs>
          <w:tab w:leader="none" w:pos="261"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such filing) on a delayed or continuous basis pursuant to Rule 415 under the Securities Act (or any successor or similar provision adopted by the Commission then in effect), and (b) subject to the other provisions of this Agreement, keep such Form F-1 Shelf effective and available for use in compliance with the provisions of the Securities Act until such time as a Form F-3 Shelf is declared effective pursuant to subsection 2.1.3.</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2.1.2 Such Shelf shall provide for the resale of the Registrable Securities included therein pursuant to any method or combination of methods legally available to, and requested by, any Holders named therein.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2.1.3 Following the filing of a Form F-1 Shelf, the Company shall use commercially reasonable efforts to convert the Form F-1 Shelf (and any Subsequent Shelf in relation thereto) to, and/or to file, and to cause to become effective, a Registration Statement for a Shelf Registration on Form F-3 (the “</w:t>
      </w:r>
      <w:r>
        <w:rPr>
          <w:rFonts w:ascii="Times New Roman" w:cs="Times New Roman" w:eastAsia="Times New Roman" w:hAnsi="Times New Roman"/>
          <w:sz w:val="18"/>
          <w:szCs w:val="18"/>
          <w:u w:val="single" w:color="auto"/>
          <w:color w:val="auto"/>
        </w:rPr>
        <w:t>Form F-3 Shelf</w:t>
      </w:r>
      <w:r>
        <w:rPr>
          <w:rFonts w:ascii="Times New Roman" w:cs="Times New Roman" w:eastAsia="Times New Roman" w:hAnsi="Times New Roman"/>
          <w:sz w:val="18"/>
          <w:szCs w:val="18"/>
          <w:color w:val="auto"/>
        </w:rPr>
        <w:t>”) as soon as reasonably practicable after the Company is eligible to use Form F-3.</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Rule 415 Cutback</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2.2.1 Notwithstanding the registration obligations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in the event the Commission informs the Company that all of the Registrable Securities cannot, as a result of the application of Rule 415 of the Securities Act, be registered for resale as a secondary offering on a single registration statement, the Company agrees to promptly (a) inform each of the Holders and use its commercially reasonable efforts to file amendments to the Shelf Registration as required by the Commission and/or (b) withdraw the Shelf Registration and file a new Registration Statement (a “New Registration Statement”), on Form F-3, or if Form F-3 is not then available to the Company for such Registration Statement, on such other form available to register for resale the Registrable Securities as a secondary offering;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w:t>
      </w:r>
      <w:r>
        <w:rPr>
          <w:rFonts w:ascii="Times New Roman" w:cs="Times New Roman" w:eastAsia="Times New Roman" w:hAnsi="Times New Roman"/>
          <w:sz w:val="18"/>
          <w:szCs w:val="18"/>
          <w:color w:val="auto"/>
        </w:rPr>
        <w:t>r, that prior to filing such amendment or New Registration Statement, the Company shall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2.2.2 Notwithstanding any other provision of this Agreement, if any SEC Guidance sets forth a limitation of the number of Registrable Securities permitted to be registered on a particular Registration Statement as a secondary offering (and notwithstanding that the Company used commercially reasonable efforts to advocate with the Commission for the registration of all or a greater number of Registrable Securities), unless otherwise directed in writing by a Holder as to its Registrable Securities and subject to a determination by the Commission that certain Holders must be reduced first based on the number of Registrable Securities held by such Holders, the number of Registrable Securities to be registered on such Registration Statement will be reduced (a) firstly, on a Pro Rata basis among the Holders; and (b) secondly, only if the number of Registrable Securities of Holders permitted to be registered has been reduced to zero, on a Pro Rata basis among holders of PIPE/CB Securities.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2.2.3 If the Company amends the Shelf Registration or files a New Registration Statement, as the case may be,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Company shall use its commercially reasonable efforts to file with the Commission, as promptly as allowed by the Commission or SEC Guidance, one or more registration statements on Form F-3 or such other form available to register for resale those Registrable Securities (a) that were not registered for resale on the Shelf Registration, as amended, or the New Registration Statement and (b) are no longer restricted by any Lock-Up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85" w:name="page386"/>
    <w:bookmarkEnd w:id="385"/>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Amendment, Supplement and Subsequent Shelf.</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2.3.1 The Company shall use commercially reasonable efforts to maintain a Shelf in accordance with the terms of this Agreement, and shall prepare and file with the Commission from time to time such amendments and supplements to the Shelf as may be necessary to keep the Shelf continuously effective, available for use and in compliance with the provisions of the Securities Act until such time as there are no longer any Registrable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2.3.2 If a Shelf ceases to be effective under the Securities Act for any reason at any time while Registrable Securities are still outstanding, the Company shall,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use commercially reasonable efforts to as promptly as is reasonably practicable</w:t>
      </w:r>
    </w:p>
    <w:p>
      <w:pPr>
        <w:jc w:val="both"/>
        <w:ind w:firstLine="8"/>
        <w:spacing w:after="0" w:line="252" w:lineRule="auto"/>
        <w:tabs>
          <w:tab w:leader="none" w:pos="259"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such Shelf to again become effective under the Securities Act (including using commercially reasonable efforts to obtain the prompt withdrawal of any order suspending the effectiveness of such Shelf), (b) amend such Shelf in a manner reasonably expected to result in the withdrawal of any order suspending the effectiveness of such Shelf, or (c) prepare and file an additional Registration Statement for a Shelf Registration (a “Subsequent Shelf”) registering the resale of all Registrable Securities (determined as of two (2) Business Days prior to such filing), and pursuant to any method or combination of methods legally available to, and requested by, any Holders named therein.</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2.3.3 If a Subsequent Shelf is filed pursuant to </w:t>
      </w:r>
      <w:r>
        <w:rPr>
          <w:rFonts w:ascii="Times New Roman" w:cs="Times New Roman" w:eastAsia="Times New Roman" w:hAnsi="Times New Roman"/>
          <w:sz w:val="18"/>
          <w:szCs w:val="18"/>
          <w:u w:val="single" w:color="auto"/>
          <w:color w:val="auto"/>
        </w:rPr>
        <w:t>Section 2.3.2</w:t>
      </w:r>
      <w:r>
        <w:rPr>
          <w:rFonts w:ascii="Times New Roman" w:cs="Times New Roman" w:eastAsia="Times New Roman" w:hAnsi="Times New Roman"/>
          <w:sz w:val="18"/>
          <w:szCs w:val="18"/>
          <w:color w:val="auto"/>
        </w:rPr>
        <w:t>, the Company shall use commercially reasonable efforts to (a) cause such Subsequent Shelf to become effective under the Securities Act as promptly as is reasonably practicable after the filing thereof, and (b) keep such Subsequent Shelf continuously effective, available for use and in compliance with the provisions of the Securities Act until such time as there are no longer any Registrable Securities. Any such Subsequent Shelf shall be on Form F-3 to the extent that the Company is eligible to use such form, and shall be an automatic shelf registration statement as defined in Rule 405 promulgated under the Securities Act if the Company is a well-known seasoned issuer as defined in Rule 405 promulgated under the Securities Act at the most recent applicable eligibility determination date.</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Demand for Underwritten Takedown</w:t>
      </w:r>
      <w:r>
        <w:rPr>
          <w:rFonts w:ascii="Times New Roman" w:cs="Times New Roman" w:eastAsia="Times New Roman" w:hAnsi="Times New Roman"/>
          <w:sz w:val="18"/>
          <w:szCs w:val="18"/>
          <w:color w:val="auto"/>
        </w:rPr>
        <w:t>. Subject to the Lock-Up Agreements and to the provisions of this</w:t>
      </w:r>
      <w:r>
        <w:rPr>
          <w:rFonts w:ascii="Times New Roman" w:cs="Times New Roman" w:eastAsia="Times New Roman" w:hAnsi="Times New Roman"/>
          <w:sz w:val="18"/>
          <w:szCs w:val="18"/>
          <w:u w:val="single" w:color="auto"/>
          <w:color w:val="auto"/>
        </w:rPr>
        <w:t xml:space="preserve"> Section 2.4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u w:val="single" w:color="auto"/>
          <w:color w:val="auto"/>
        </w:rPr>
        <w:t xml:space="preserve"> Sections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at any time and from time to time when an effective Shelf is on file with the Commission, either (x) the Holders of at least 50% of the then-outstanding number of Registrable Securities or (y) the Sponsor (in each case, the “Demanding Holder(s)”) may, subject to the maximum number of Underwritten Takedowns pursuant to </w:t>
      </w:r>
      <w:r>
        <w:rPr>
          <w:rFonts w:ascii="Times New Roman" w:cs="Times New Roman" w:eastAsia="Times New Roman" w:hAnsi="Times New Roman"/>
          <w:sz w:val="18"/>
          <w:szCs w:val="18"/>
          <w:u w:val="single" w:color="auto"/>
          <w:color w:val="auto"/>
        </w:rPr>
        <w:t>subsection 2.4.3</w:t>
      </w:r>
      <w:r>
        <w:rPr>
          <w:rFonts w:ascii="Times New Roman" w:cs="Times New Roman" w:eastAsia="Times New Roman" w:hAnsi="Times New Roman"/>
          <w:sz w:val="18"/>
          <w:szCs w:val="18"/>
          <w:color w:val="auto"/>
        </w:rPr>
        <w:t xml:space="preserve">, request to sell all or a portion of their Registrable Securities in an Underwritten Takedown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that the Company shall only be obligated to effect an Underwritten Takedown if such Underwritten Offering shall include Registrable Securities proposed to be sold by the Demanding Holder with a total offering price reasonably expected to exceed, in the aggregate, US$10,000,000 (the “</w:t>
      </w:r>
      <w:r>
        <w:rPr>
          <w:rFonts w:ascii="Times New Roman" w:cs="Times New Roman" w:eastAsia="Times New Roman" w:hAnsi="Times New Roman"/>
          <w:sz w:val="18"/>
          <w:szCs w:val="18"/>
          <w:u w:val="single" w:color="auto"/>
          <w:color w:val="auto"/>
        </w:rPr>
        <w:t>Takedown Threshold</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Takedown Demand Notice</w:t>
      </w:r>
      <w:r>
        <w:rPr>
          <w:rFonts w:ascii="Times New Roman" w:cs="Times New Roman" w:eastAsia="Times New Roman" w:hAnsi="Times New Roman"/>
          <w:sz w:val="18"/>
          <w:szCs w:val="18"/>
          <w:color w:val="auto"/>
        </w:rPr>
        <w:t>. All requests for an Underwritten Takedown shall be made by giving written notice to the Company, which shall specify the number of Registrable Securities proposed to be sold in the Underwritten Takedown (such written notice, a “</w:t>
      </w:r>
      <w:r>
        <w:rPr>
          <w:rFonts w:ascii="Times New Roman" w:cs="Times New Roman" w:eastAsia="Times New Roman" w:hAnsi="Times New Roman"/>
          <w:sz w:val="18"/>
          <w:szCs w:val="18"/>
          <w:u w:val="single" w:color="auto"/>
          <w:color w:val="auto"/>
        </w:rPr>
        <w:t>Takedown Demand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The majority-in-interest of the Demanding Holders initiating an Underwritten Takedown shall have the right to select the Underwriter(s) for such Underwritten Offering (which shall consist of one or more internationally recognized investment banks), subject to the approval of the Company (which shall not be unreasonably withheld). The Company shall not be required to include any Holder’s Registrable Securities in such Underwritten Takedown unless such Holder accepts the terms of the underwriting as agreed between the Company and its Underwriter(s) and enters into and complies with an underwriting agreement with such Underwriter(s) in customary form (after having considered in good faith the comments from a single U.S. counsel for the Holders which are selling in the Underwritten Takedown). Notwithstanding anything to the contrary in this Agreement, the Company may effect any Underwritten Takedown pursuant to any then effective Registration Statement, including a Form F-3, that is then available for such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86" w:name="page387"/>
    <w:bookmarkEnd w:id="38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2.4.3 Number and Frequency of Underwritten Takedowns. Notwithstanding anything to the contrary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under no circumstances shall the Company be obligated to effect (a) more than one (1) Underwritten Takedowns within the first year following the Closing, (b) for the period commencing one year after the Closing, more than two (2) Underwritten Takedown within any twelve-month period; (c) more than two (2) Underwritten Takedowns where the Sponsor is a Demanding Holder, provided that the Company shall be obligated to effect an aggregate of no more than two (2) Underwritten Takedowns. For the avoidance of doubt, a Registration will not count as an Underwritten Takedown until the Registration Statement filed with the Commission with respect to such Underwritten Takedown has been declared effective and the Company has complied with all of its obligations under this Agreement in all material respects with respect to such Underwritten Takedown; provided, however, that if, after such Registration Statement has been declared effective, the offering of Registrable Securities pursuant to such Underwritten Takedown is interfered with by any stop order or injunction of the Commission or any other governmental agency or court, the Registration Statement with respect to such Underwritten Takedown will be deemed not to have been declared effective, unless and until (i) such stop order or injunction is removed, rescinded or otherwise terminated, and (ii) the majority-in-interest of the Demanding Holders, thereafter elects to continue the offering, provided, further, that the Company shall not be obligated to file a second Registration Statement until the Registration Statement that has been previously filed with respect to such Registration becomes effective or is subsequently terminated.</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Reduction of Underwritten Takedown</w:t>
      </w:r>
      <w:r>
        <w:rPr>
          <w:rFonts w:ascii="Times New Roman" w:cs="Times New Roman" w:eastAsia="Times New Roman" w:hAnsi="Times New Roman"/>
          <w:sz w:val="18"/>
          <w:szCs w:val="18"/>
          <w:color w:val="auto"/>
        </w:rPr>
        <w:t>. If the managing Underwriter(s) in an Underwritten Offering pursuant to a Takedown Demand advises the Company and the Demanding Holders and the Holders requesting piggy-back rights pursuant to this Agreement with respect to such Underwritten Offering (the “Requesting Holders”) (if any) in writing that the dollar amount or number of Registrable Securities that the Demanding Holders and the Requesting Holders (if any) desire to sell, taken together with all other Company Ordinary Shares (including Company Ordinary Shares represented by Company ADSs) or other equity securities that the Company desires to sell and the Company Ordinary Shares (including Company Ordinary Shares represented by Company ADSs), if any, as to which a Registration has been requested pursuant to separate written contractual piggy-back registration rights held by any other shareholders who desire to sell, exceeds the Maximum Number of Securities, then the Company shall include in such Underwritten Offering:</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2.5.1 first, the Registrable Securities of the Demanding Holders and the Requesting Holders (if any) that can be sold without exceeding the Maximum Number of Securities (to be allocated Pro Rata among the Demanding Holders and Requesting Holders if the Registrable Securities desired to be sold by such Holders in the aggregate would exceed the Maximum Number of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2.5.2 second, to the extent that the Maximum Number of Securities has not been reached under the foregoing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2.5.1</w:t>
      </w:r>
      <w:r>
        <w:rPr>
          <w:rFonts w:ascii="Times New Roman" w:cs="Times New Roman" w:eastAsia="Times New Roman" w:hAnsi="Times New Roman"/>
          <w:sz w:val="18"/>
          <w:szCs w:val="18"/>
          <w:color w:val="auto"/>
        </w:rPr>
        <w:t>, the Company Ordinary Shares (including Company Ordinary Shares represented by Company ADSs) or other equity securities that the Company desires to sell, which can be sold without exceeding the Maximum Number of Securities; and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2.5.3 third, to the extent that the Maximum Number of Securities has not been reached under the foregoing </w:t>
      </w:r>
      <w:r>
        <w:rPr>
          <w:rFonts w:ascii="Times New Roman" w:cs="Times New Roman" w:eastAsia="Times New Roman" w:hAnsi="Times New Roman"/>
          <w:sz w:val="18"/>
          <w:szCs w:val="18"/>
          <w:u w:val="single" w:color="auto"/>
          <w:color w:val="auto"/>
        </w:rPr>
        <w:t>subsections 2.5.1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2.5.2</w:t>
      </w:r>
      <w:r>
        <w:rPr>
          <w:rFonts w:ascii="Times New Roman" w:cs="Times New Roman" w:eastAsia="Times New Roman" w:hAnsi="Times New Roman"/>
          <w:sz w:val="18"/>
          <w:szCs w:val="18"/>
          <w:color w:val="auto"/>
        </w:rPr>
        <w:t>, any Company Ordinary Shares (including Company Ordinary Shares represented by Company ADSs) or other equity securities as to which a Registration has been requested pursuant to separate written contractual piggy-back registration rights of other shareholders of the Company that can be sold without exceeding the Maximum Number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87" w:name="page388"/>
    <w:bookmarkEnd w:id="387"/>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u w:val="single" w:color="auto"/>
          <w:color w:val="auto"/>
        </w:rPr>
        <w:t>Withdrawal of Underwritten Takedown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2.6.1 Prior to the filing of the applicable preliminary or “red herring” Prospectus used for marketing an Underwritten Takedown, if the majority-in-interest of the Demanding Holders disapprove of the terms of any underwriting or are not entitled to include all of their Registrable Securities in the relevant offering, such majority-in-interest of the Demanding Holders shall have the right to withdraw from such Underwritten Takedown upon written notification to the Company, each other Demanding Holder and Requesting Holder, and the applicable Underwriter(s).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2.6.2 Following the receipt of any notice of withdrawal pursuant to </w:t>
      </w:r>
      <w:r>
        <w:rPr>
          <w:rFonts w:ascii="Times New Roman" w:cs="Times New Roman" w:eastAsia="Times New Roman" w:hAnsi="Times New Roman"/>
          <w:sz w:val="18"/>
          <w:szCs w:val="18"/>
          <w:u w:val="single" w:color="auto"/>
          <w:color w:val="auto"/>
        </w:rPr>
        <w:t>subsection 2.6.1</w:t>
      </w:r>
      <w:r>
        <w:rPr>
          <w:rFonts w:ascii="Times New Roman" w:cs="Times New Roman" w:eastAsia="Times New Roman" w:hAnsi="Times New Roman"/>
          <w:sz w:val="18"/>
          <w:szCs w:val="18"/>
          <w:color w:val="auto"/>
        </w:rPr>
        <w:t xml:space="preserve">, the other Demanding Holders and Requesting Holders, provided they collectively qualify as Demanding Holders pursuant to clauses (x) or (y) of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the Takedown Threshold would still be satisfied, may elect to continue with the Underwritten Offering and such continued Takedown Demand shall count as a Takedown Demand of the continuing Demanding Holders for purposes of </w:t>
      </w:r>
      <w:r>
        <w:rPr>
          <w:rFonts w:ascii="Times New Roman" w:cs="Times New Roman" w:eastAsia="Times New Roman" w:hAnsi="Times New Roman"/>
          <w:sz w:val="18"/>
          <w:szCs w:val="18"/>
          <w:u w:val="single" w:color="auto"/>
          <w:color w:val="auto"/>
        </w:rPr>
        <w:t>subsection 2.4.3</w:t>
      </w:r>
      <w:r>
        <w:rPr>
          <w:rFonts w:ascii="Times New Roman" w:cs="Times New Roman" w:eastAsia="Times New Roman" w:hAnsi="Times New Roman"/>
          <w:sz w:val="18"/>
          <w:szCs w:val="18"/>
          <w:color w:val="auto"/>
        </w:rPr>
        <w:t xml:space="preserve"> and not of the withdrawing Demanding Holders.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2.6.3 If an Underwritten Takedown is withdrawn and not continued pursuant to </w:t>
      </w:r>
      <w:r>
        <w:rPr>
          <w:rFonts w:ascii="Times New Roman" w:cs="Times New Roman" w:eastAsia="Times New Roman" w:hAnsi="Times New Roman"/>
          <w:sz w:val="18"/>
          <w:szCs w:val="18"/>
          <w:u w:val="single" w:color="auto"/>
          <w:color w:val="auto"/>
        </w:rPr>
        <w:t>subsection 2.6.2</w:t>
      </w:r>
      <w:r>
        <w:rPr>
          <w:rFonts w:ascii="Times New Roman" w:cs="Times New Roman" w:eastAsia="Times New Roman" w:hAnsi="Times New Roman"/>
          <w:sz w:val="18"/>
          <w:szCs w:val="18"/>
          <w:color w:val="auto"/>
        </w:rPr>
        <w:t xml:space="preserve">, the withdrawn Takedown Demand shall not count as an Underwritten Takedown for purposes of </w:t>
      </w:r>
      <w:r>
        <w:rPr>
          <w:rFonts w:ascii="Times New Roman" w:cs="Times New Roman" w:eastAsia="Times New Roman" w:hAnsi="Times New Roman"/>
          <w:sz w:val="18"/>
          <w:szCs w:val="18"/>
          <w:u w:val="single" w:color="auto"/>
          <w:color w:val="auto"/>
        </w:rPr>
        <w:t>subsection 2.4.3</w:t>
      </w:r>
      <w:r>
        <w:rPr>
          <w:rFonts w:ascii="Times New Roman" w:cs="Times New Roman" w:eastAsia="Times New Roman" w:hAnsi="Times New Roman"/>
          <w:sz w:val="18"/>
          <w:szCs w:val="18"/>
          <w:color w:val="auto"/>
        </w:rPr>
        <w:t xml:space="preserve"> if and only if one or more of the Demanding Holders reimburse the Company for all Registration Expenses with respect to such Underwritten Takedown. For the avoidance of doubt, the withdrawn Takedown Demand shall count as an Underwritten Takedown if the Company is responsible for the Registration Expenses with respect to such Underwritten Takedown.</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Piggyback Registration.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2.7.1 Piggyback Rights. If the Company or any Holder proposes to conduct a registered offering of, or if the Company proposes to file a Registration Statement under the Securities Act with respect to the Registration of, equity securities, or securities or other obligations exercisable or exchangeable for, or convertible into equity securities, for its own account or for the account of shareholders of the Company (or by the Company and by the shareholders of the Company, including an Underwritten Takedown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other than a Registration Statement (a) filed in connection with any employee share option or other benefit plan,</w:t>
      </w:r>
    </w:p>
    <w:p>
      <w:pPr>
        <w:spacing w:after="0" w:line="3" w:lineRule="exact"/>
        <w:rPr>
          <w:sz w:val="20"/>
          <w:szCs w:val="20"/>
          <w:color w:val="auto"/>
        </w:rPr>
      </w:pPr>
    </w:p>
    <w:p>
      <w:pPr>
        <w:jc w:val="both"/>
        <w:ind w:firstLine="8"/>
        <w:spacing w:after="0" w:line="251" w:lineRule="auto"/>
        <w:tabs>
          <w:tab w:leader="none" w:pos="28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 exchange offer or offering of securities solely to the Company’s existing shareholders, (c) for an offering of debt that is convertible into equity securities of the Company, (d) for a dividend reinvestment plan or (e) for a rights offering, then the Company shall give written notice of such proposed filing or offering to all of the Holders of Registrable Securities as soon as practicable but not less than fifteen (15) days before the anticipated filing date of such Registration Statement, or, in the case of an Underwritten Offering pursuant to a Shelf Registration, the applicable preliminary “red herring” Prospectus or prospectus supplement used for marketing such offering, which notice shall (x) describe the amount and type of securities to be included in such offering, the intended method(s) of distribution, and the name of the proposed managing Underwriter(s), if any, in such offering, and (y) offer to all of the Holders of Registrable Securities the opportunity to register the sale of such number of Registrable Securities as such Holders may request in writing within ten (10) days after receipt of such written notice (such Registration, a “Piggyback Registration”). Subject to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2.7.2</w:t>
      </w:r>
      <w:r>
        <w:rPr>
          <w:rFonts w:ascii="Times New Roman" w:cs="Times New Roman" w:eastAsia="Times New Roman" w:hAnsi="Times New Roman"/>
          <w:sz w:val="18"/>
          <w:szCs w:val="18"/>
          <w:color w:val="auto"/>
        </w:rPr>
        <w:t xml:space="preserve">, the Company shall, in good faith, cause such Registrable Securities to be included in such Piggyback Registration and shall use commercially reasonable efforts to cause the managing Underwriter(s) of a proposed Underwritten Offering to permit the Registrable Securities requested by the Holders pursuant to this </w:t>
      </w:r>
      <w:r>
        <w:rPr>
          <w:rFonts w:ascii="Times New Roman" w:cs="Times New Roman" w:eastAsia="Times New Roman" w:hAnsi="Times New Roman"/>
          <w:sz w:val="18"/>
          <w:szCs w:val="18"/>
          <w:u w:val="single" w:color="auto"/>
          <w:color w:val="auto"/>
        </w:rPr>
        <w:t>subsection 2.7.1</w:t>
      </w:r>
      <w:r>
        <w:rPr>
          <w:rFonts w:ascii="Times New Roman" w:cs="Times New Roman" w:eastAsia="Times New Roman" w:hAnsi="Times New Roman"/>
          <w:sz w:val="18"/>
          <w:szCs w:val="18"/>
          <w:color w:val="auto"/>
        </w:rPr>
        <w:t xml:space="preserve"> to be included in such Piggyback Registration on the same terms and conditions as any similar securities of the Company included in such Registration and to permit the sale or other disposition of such Registrable Securities in accordance with the intended method(s) of distribution thereof. In the event of any Underwritten Offering, the inclusion of any Holder’s Registrable Securities in a Piggyback Registration shall be subject to such Holder’s agreement to enter into and comply with an underwriting agreement in customary form with the Underwriter(s) duly selected for such Underwritten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88" w:name="page389"/>
    <w:bookmarkEnd w:id="38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2.7.2 Reduction of Piggyback Registration. If the managing Underwriter(s) in an Underwritten Registration that is to be a Piggyback Registration advises the Company and the Holders of Registrable Securities participating in the Piggyback Registration in writing that the dollar amount or number of the Company Ordinary Shares (including Company Ordinary Shares represented by Company ADSs) or other equity securities that Company desires to sell, taken together with (x) the Company Ordinary Shares (including Company Ordinary Shares represented by Company ADSs) or other equity securities, if any, as to which Registration or a registered offering has been demanded pursuant to separate written contractual arrangements with persons or entities other than the Holders of Registrable Securities hereunder, (y) the Registrable Securities as to which registration has been requested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hereof, and (z) the Company Ordinary Shares (including Company Ordinary Shares represented by Company ADSs) or other equity securities, if any, as to which Registration or a registered offering has been requested pursuant to separate written contractual piggy-back registration rights of other shareholders of the Company, exceeds the Maximum Number of Securities, then:</w:t>
      </w:r>
    </w:p>
    <w:p>
      <w:pPr>
        <w:spacing w:after="0" w:line="194" w:lineRule="exact"/>
        <w:rPr>
          <w:sz w:val="20"/>
          <w:szCs w:val="20"/>
          <w:color w:val="auto"/>
        </w:rPr>
      </w:pPr>
    </w:p>
    <w:p>
      <w:pPr>
        <w:ind w:firstLine="1304"/>
        <w:spacing w:after="0" w:line="282" w:lineRule="auto"/>
        <w:tabs>
          <w:tab w:leader="none" w:pos="194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or registered offering is undertaken for the Company’s account, the Company shall include in any such Registration or registered offering:</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92"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Ordinary Shares (including Company Ordinary Shares represented by Company ADSs) or other equity securities that the Company desires to sell, which can be sold without exceeding the Maximum Number of Securities;</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92"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extent that the Maximum Number of Securities has not been reached under the foregoing clause (i),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2.7.1</w:t>
      </w:r>
      <w:r>
        <w:rPr>
          <w:rFonts w:ascii="Times New Roman" w:cs="Times New Roman" w:eastAsia="Times New Roman" w:hAnsi="Times New Roman"/>
          <w:sz w:val="18"/>
          <w:szCs w:val="18"/>
          <w:color w:val="auto"/>
        </w:rPr>
        <w:t>, Pro Rata among such Holders, which can be sold without exceeding the Maximum Number of Securities; and</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92"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extent that the Maximum Number of Securities has not been reached under the foregoing clauses (i) and (ii), the Company Ordinary Shares (including Company Ordinary Shares represented by Company ADSs) or other equity securities, if any, as to which Registration or a registered offering has been requested pursuant to separate written contractual piggy-back registration rights of other shareholders of the Company, which can be sold without exceeding the Maximum Number of Securities; and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or registered offering is pursuant to a request by persons or entities other than the Holders of Registrable Securities, then the Company shall include in any such Registration or registered offering:</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92"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Ordinary Shares (including Company Ordinary Shares represented by Company ADSs) or other equity securities, if any, of such requesting persons or entities, other than the Holders of Registrable Securities, which can be sold without exceeding the Maximum Number of Securities;</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92"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extent that the Maximum Number of Securities has not been reached under the foregoing clause (i),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2.7.1</w:t>
      </w:r>
      <w:r>
        <w:rPr>
          <w:rFonts w:ascii="Times New Roman" w:cs="Times New Roman" w:eastAsia="Times New Roman" w:hAnsi="Times New Roman"/>
          <w:sz w:val="18"/>
          <w:szCs w:val="18"/>
          <w:color w:val="auto"/>
        </w:rPr>
        <w:t>, Pro Rata among such Holders, which can be sold without exceeding the Maximum Number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89" w:name="page390"/>
    <w:bookmarkEnd w:id="389"/>
    <w:p>
      <w:pPr>
        <w:jc w:val="both"/>
        <w:ind w:firstLine="1952"/>
        <w:spacing w:after="0" w:line="266" w:lineRule="auto"/>
        <w:tabs>
          <w:tab w:leader="none" w:pos="2592"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extent that the Maximum Number of Securities has not been reached under the foregoing clauses (i) and (ii), the Company Ordinary Shares (including Company Ordinary Shares represented by Company ADSs) or other equity securities that the Company desires to sell, which can be sold without exceeding the Maximum Number of Securities; and</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92"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extent that the Maximum Number of Securities has not been reached under the foregoing clauses (i), (ii) and (iii), the Company Ordinary Shares (including Company Ordinary Shares represented by Company ADSs) or other equity securities, if any, as to which Registration or a registered offering has been requested pursuant to separate written contractual piggy-back registration rights of other shareholders of the Company, which can be sold without exceeding the Maximum Number of Securities.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the foregoing clauses (a) and (b), if the Registration or registered offering is pursuant to a request by Holder(s) of Registrable Securities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then the Company shall include in any such Registration or registered offering securities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2.7.3 Piggyback Registration Withdrawal. Any Holder of Registrable Securities shall have the right to withdraw from a Piggyback Registration for any or no reason whatsoever upon written notification to the Company and the Underwriter or Underwriters (if any)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subsection 2.7.3</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2.8 Restrictions on Registration Rights. Notwithstanding any provision of this Agreement to the contrary, if Holders have requested an Underwritten Takedown and the Company and such Holders are unable to obtain the commitment of underwriters to firmly underwrite such offering, the Company shall have the right to defer the filing of the Registration Statement or conduct of an Underwritten Offering for a period of not more than sixty (60) days, if the Company determines, in the good faith judgment of the Board, that it would be materially detrimental to the Company to do otherwise than defer such filing or conduct.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2.9 Market Stand-Off Agreement. Each Holder given an opportunity to participate in an Underwritten Offering of the Company (other than a Block Trade) pursuant to the terms of this Agreement agrees that it shall not Transfer any Company Ordinary Shares (including Company Ordinary Shares represented by Company ADSs) or other equity securities of the Company (other than those included in such offering pursuant to this Agreement), without the prior written consent of the Company, during the ninety (90)-day period beginning on the date of pricing of such offering, except in the event the managing Underwriter(s) otherwise agree by written consent. Each Holder agrees to execute a customary lock-up agreement in favor of the relevant Underwriter(s) to such effect (in each case on substantially the same terms and conditions as all such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90" w:name="page391"/>
    <w:bookmarkEnd w:id="390"/>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color w:val="auto"/>
        </w:rPr>
        <w:t>Block Trade; Other Coordinated Offerings.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2.10.1 Notwithstanding the forgoing, at any time and from time to time when an effective Shelf is on file with the Commission, if a Demanding Holder wishes to engage in (a) an underwritten or other coordinated registered offering not involving a “roadshow,” an offer commonly known as a “block trade” (a “Block Trade”), (b) an “at the market” or similar registered offering through a broker, sales agent or distribution agent, whether as agent or principal (an “Other Coordinated Offering”), in each case with a total offering price reasonably expected to exceed, in the aggregate, either (x) US$10,000,000 or (y) all remaining Registrable Securities held by the Demanding Holder, then such Demanding Holder shall use commercially reasonable efforts to notify the Company of the Block Trade or Other Coordinated Offering at least five (5) Business Days prior to the day such offering is to commence and the Company shall as expeditiously as possible use commercially reasonable efforts to facilitate such Block Trade or Other Coordinated Offering; provided that the Demanding Holders representing a majority of the Registrable Securities wishing to engage in the Block Trade or Other Coordinated Offering shall use commercially reasonable efforts to work with the Company and any Underwriters prior to making such request in order to facilitate preparation of the registration statement, prospectus and other offering documentation related to the Block Trade or Other Coordinated Offering.</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2.10.2 Prior to the filing of the applicable “red herring” prospectus or prospectus supplement used in connection with a Block Trade or Other Coordinated Offering, the majority- in-interest of the Demanding Holders initiating such Block Trade or Other Coordinated Offering shall have the right to withdraw upon written notification to the Company and the Underwriter or Underwriters (if any). Notwithstanding anything to the contrary in this Agreement, the Company shall be responsible for the Registration Expenses incurred in connection with a Block Trade or Other Coordinated Offering prior to its withdrawal under this section.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2.10.3 The Demanding Holder in a Block Trade or Other Coordinated Offering shall have the right to select the Underwriters, sales agents or placement agents for such Block Trade or Other Coordinated Offering (which shall consist of one or more reputable nationally recognized investment banks), provided that the Company shall have the right to consent to the Underwriters and any sale agents or placement agents (if any) for such Block Trade or Other Coordinated Offering, which consent will not be unreasonably withheld, conditioned or delayed.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2.10.4 Any Registration effected pursuant to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shall be deemed an Underwritten Takedown and within the cap on Underwritten Takedowns provided in </w:t>
      </w:r>
      <w:r>
        <w:rPr>
          <w:rFonts w:ascii="Times New Roman" w:cs="Times New Roman" w:eastAsia="Times New Roman" w:hAnsi="Times New Roman"/>
          <w:sz w:val="18"/>
          <w:szCs w:val="18"/>
          <w:u w:val="single" w:color="auto"/>
          <w:color w:val="auto"/>
        </w:rPr>
        <w:t>subsection 2.4.3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2.10.5 Notwithstanding anything to the contrary in this Agreement,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hereof shall not apply to a Block Trade or Other Coordinated Offering initiated by a Demanding Holder pursuant to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 Procedures</w:t>
      </w:r>
      <w:r>
        <w:rPr>
          <w:rFonts w:ascii="Times New Roman" w:cs="Times New Roman" w:eastAsia="Times New Roman" w:hAnsi="Times New Roman"/>
          <w:sz w:val="18"/>
          <w:szCs w:val="18"/>
          <w:color w:val="auto"/>
        </w:rPr>
        <w:t>. In connection with any Shelf and/or Underwritten Takedown, the Company shall use commercially reasonable efforts to effect such Registration to permit the sale of such Registrable Securities in accordance with the intended plan of distribution thereof, and pursuant thereto the Company shall, as expeditiously as reasonably possible: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3.1.1 prepare and file with the Commission a Registration Statement with respect to such Registrable Securities and use commercially reasonable efforts to cause such Registration Statement to become effective and remain effective until all Registrable Securities covered by such Registration Statement are disposed of in accordance with the intended plan of distribution set forth in such Registration Statement or supplement to the Prospectus;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reasonably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disposed of in accordance with the intended plan of distribution set forth in such Registration Statement or supplement to the Prospectus or such securities have been withdrawn;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91" w:name="page392"/>
    <w:bookmarkEnd w:id="39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reasonably request in order to facilitate the disposition of the Registrable Securities owned by such Holders;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3.1.4 prior to any public offering of Registrable Securities, use commercially reasonable efforts to (a)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and (b) take such action necessary to cause such Registrable Securities covered by the Registration Statement to be registered with or approved by such other governmental authorities as may be reasonably necessary by virtue of the business and operations of the Company and do any and all other acts and things that may be reasonably necessary to enable the Holders of Registrable Securities included in such Registration Statement to consummate the disposition of such Registrable Securities in such jurisdictions;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3.1.5 cause all such Registrable Securities to be listed on each securities exchange or automated quotation system on which similar securities issued by the Company are then listed;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3.1.6 provide a transfer agent, as applicable, and registrar for all such Registrable Securities no later than the effective date of such Registration Statement;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3.1.7 advise each seller of such Registrable Securities, promptly, and in no event later than two (2) Business Day, after it shall receive notice or obtain knowledge thereof, of the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issuance of any stop order by the Commission suspending the effectiveness of such Registration Statement or the initiation or threatening of any proceeding for such purpose and promptly use commercially reasonable efforts to prevent the issuance of any stop order or to obtain its withdrawal if such stop order should be issued;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3.1.8 notify the Holders at any time when a Prospectus relating to such Registration Statement is required to be delivered under the Securities Act, of the occurrence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3.1.9 permit a representative of the Holders (such representative to be selected by a majority-in-interest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representative, or Underwriters enter into a confidentiality agreement, in form and substance reasonably satisfactory to Company, prior to the release or disclosure of any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92" w:name="page393"/>
    <w:bookmarkEnd w:id="39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3.1.10 obtain a “comfort” letter from the Company’s independent registered public accountants in the event of an Underwritten Registration, Block Trade or Other Coordinated Offering that is registered pursuant to a Registration Statement, in customary form and covering such matters of the type customarily covered by “comfort” letters as the managing Underwriter(s) or other similar type of sales agent(s) or placement agent(s) may reasonably request and reasonably satisfactory to the participating Holders ;</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3.1.11 the event of an Underwritten Registration, on the date the Registrable Securities are delivered for sale pursuant to such Registration, obtain an opinion and a negative assurance letter, each dated such date, of counsel representing the Company for the purposes of such Registration, addressed to the participating Holders, the placement agent or sales agent, if any, and the Underwriter(s), if any, as the case may be, covering such legal matters with respect to the Registration in respect of which such opinion or negative assurance letter is being given as the participating Holders, placement agent, sales agent, or Underwriter, as the case may be, may reasonably request and as are customarily included in such opinions and negative assurance letters and reasonably satisfactory to a majority-in-interest of the participating Holders;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3.1.12 in the event of any Underwritten Offering or Other Coordinated Offering that is registered pursuant to a Registration Statement, enter into and perform its obligations under an underwriting agreement, sales agreement or placement agreement, in usual and customary form, with the managing Underwriter(s), sales agent(s) or placement agent(s) of such offering;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3.1.13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then in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3.1.14 with respect to an Underwritten Offering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use commercially reasonable efforts to make available senior executives of the Company to participate in customary “road show” presentations that may be reasonably requested by the Underwriter(s) in such Underwritten Offering;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3.1.15 otherwise cooperate reasonably with, and take such customary actions as may reasonably be requested by the participating Holders, consistent with the terms of this Agreement, in connection with such Registration;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3.1.16 assist the Depository Bank to maintain an effective registration of the Company ADSs on Form F-6 in accordance with the Deposit Agreement and cooperate with the Depositary Bank in filing amendments to such Form F-6 sufficient to allow the Holders to exercise their rights hereunder and under the Deposit Agreement to cover the Registrable Securities then outstanding.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3.2 Registration Expenses.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and Underwriter marketing costs and, other than as set forth in the definition of “Registration Expenses,” all reasonable fees and expenses of any legal counsel representing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93" w:name="page394"/>
    <w:bookmarkEnd w:id="393"/>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3.3 Requirements for Participation in Underwritten Offerings. Each Holder shall provide such information as may reasonably be requested by the Company, or the managing Underwriter(s) or placement agent or sales agent, if any, in connection with the preparation of any Registration Statement or Prospectus, including amendments and supplements thereto, in order to effect the Registration of any Registrable Securities under the Securities Act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and in connection with the Company’s obligation to comply with federal and applicable state securities laws. No person may participate in any Underwritten Offering for equity securities of the Company pursuant to a Registration initiated by the Company hereunder unless such person: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3.3.1 agrees to sell such person’s securities on the basis provided in any customary underwriting arrangements approved by the Company (after having considered and given good faith consideration to the comments from U.S. counsel(s) for the Holders that are selling in the Underwritten offering); and</w:t>
      </w:r>
    </w:p>
    <w:p>
      <w:pPr>
        <w:spacing w:after="0" w:line="17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3.3.2 completes and executes all customary questionnaires, powers of attorney, indemnities, lock-up agreements, underwriting agreements and other customary documents as may be reasonably required under the terms of such underwriting arrangements.</w:t>
      </w:r>
    </w:p>
    <w:p>
      <w:pPr>
        <w:spacing w:after="0" w:line="3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exclusion of a Holder’s Registrable Securities as a result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not affect the Registration of the other Registrable Securities to be included in such Registration.</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3.4 Suspension of Sales; Adverse Disclosure. Upon receipt of written notice from the Company that a Registration Statement or Prospectus contains a Misstatement (including pursuant to </w:t>
      </w:r>
      <w:r>
        <w:rPr>
          <w:rFonts w:ascii="Times New Roman" w:cs="Times New Roman" w:eastAsia="Times New Roman" w:hAnsi="Times New Roman"/>
          <w:sz w:val="18"/>
          <w:szCs w:val="18"/>
          <w:u w:val="single" w:color="auto"/>
          <w:color w:val="auto"/>
        </w:rPr>
        <w:t>subsection 3.1.8</w:t>
      </w:r>
      <w:r>
        <w:rPr>
          <w:rFonts w:ascii="Times New Roman" w:cs="Times New Roman" w:eastAsia="Times New Roman" w:hAnsi="Times New Roman"/>
          <w:sz w:val="18"/>
          <w:szCs w:val="18"/>
          <w:color w:val="auto"/>
        </w:rPr>
        <w: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practicable after the time of such notice), or until it is advised in writing by the Company that the use of the Prospectus may be resumed. In addition, if the filing, initial effectiveness or continued use of a Registration Statement in respect of any Registration at any time would (a) require the inclusion in such Registration Statement of financial statements that are unavailable to the Company for reasons beyond the Company’s control, (b) in the good faith view of the Company, require the Company to make an Adverse Disclosure, or (c) in the good faith judgment of the Company, be materially detrimental to the Company as a result that it is essential to defer such filing, initial effectiveness or continued use at such time, the Company may, upon giving prompt written notice of such action to the Holders, delay the filing or initial effectiveness of, or suspend use of, such Registration Statement for the period of time determined in good faith by the Company to be necessary for such purpose; provided, however, that the Company shall not have the right to exercise the rights set forth this Section 3.4 for more than 90 consecutive days or more than 120 days, in any such case, in any 12-month period.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3.5 Reporting Obligations. As long as any Holder shall own Registrable Securities, the Company, at all times while it shall be a reporting company under the Exchange Act, covenants to use commercially reasonable efforts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that any documents publicly filed or furnished with the Commission pursuant to the Electronic Data Gathering, Analysis and Retrieval system shall be deemed to have been furnished or delivered to the Holders pursuant to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The Company further covenants that it shall use commercially reasonable efforts to take such further action as any Holder may reasonably request, all to the extent required from time to time to enable such Holder to sell Company Ordinary Shares (including Company Ordinary Shares represented by Company ADSs) held by such Holder without registration under the Securities Act within the limitation of the exemptions provided by Rule 144 promulgated under the Securities Act (or any successor rule then in effect). Upon the request of any Holder, the Company shall deliver to such Holder a written certification of a duly authorized officer as to whether it has complied with such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94" w:name="page395"/>
    <w:bookmarkEnd w:id="394"/>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4.1 Indemnification by the Company. The Company agrees to indemnify and hold harmless, to the extent permitted by law, each Holder of Registrable Securities, its officers, directors, agents and each person who controls such Holder (within the meaning of the Securities Act) (each, a “Holder Indemnified Party”) against all losses, judgements, claims, damages, liabilities and out-of-pocket expenses (including reasonable attorneys’ fees) resulting from, arising out of or that are based on (a) any untrue or alleged untrue statement of a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except insofar as the same are caused by or contained in any information or affidavit furnished in writing to the Company by such Holder expressly for use therein, or (b) if such losses, judgments, claims, damages, liabilities or out-of-pocket expenses are based on any such Holder’s violation of the federal securities laws or failure to sell the Registrable Securities in accordance with the intended plan of distribution contained in the Prospectus. The Company shall promptly reimburse a Holder Indemnified Party for any reasonable expenses incurred by such Holder Indemnified Party in connection with investigating and defending any proceeding or action to which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applies (including the reasonable fees and disbursements of legal counsel) except insofar as such proceeding or action arise out of or are based on any information or affidavit furnished in writing to the Company by such Holder, or if such proceeding or action are based on any such Holder’s violation of the federal securities laws or failure to sell the Registrable Securities in accordance with the intended plan of distribution contained in the Prospectus.</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4.2 Information Provided by and Indemnification by Holders.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and hold harmless the Company, its directors, officers and agents and each person who controls the Company (within the meaning of the Securities Act) against any losses, claims, damages, liabilities and out-of-pocket expenses (including reasonable attorneys’ fees) resulting from, arising out of or that are based on any untrue or alleged untrue statement of a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or alleged untrue statement or omission or alleged omission are caused by or contained in any information or affidavit so furnished in writing by such Holder expressly for use therein, or if such losses, judgments, claims, damages, liabilities or out-of-pocket expenses are based on any such Holder’s violation of the federal securities laws or failure to sell the Registrable Securities in accordance with the intended plan of distribution contained in the Prospectus;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395" w:name="page396"/>
    <w:bookmarkEnd w:id="395"/>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Indemnification Process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7"/>
          <w:szCs w:val="17"/>
          <w:color w:val="auto"/>
        </w:rPr>
        <w:t xml:space="preserve">Any person entitled to indemnification pursuant to </w:t>
      </w:r>
      <w:r>
        <w:rPr>
          <w:rFonts w:ascii="Times New Roman" w:cs="Times New Roman" w:eastAsia="Times New Roman" w:hAnsi="Times New Roman"/>
          <w:sz w:val="17"/>
          <w:szCs w:val="17"/>
          <w:u w:val="single" w:color="auto"/>
          <w:color w:val="auto"/>
        </w:rPr>
        <w:t>Sections 4.1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4.2</w:t>
      </w:r>
      <w:r>
        <w:rPr>
          <w:rFonts w:ascii="Times New Roman" w:cs="Times New Roman" w:eastAsia="Times New Roman" w:hAnsi="Times New Roman"/>
          <w:sz w:val="17"/>
          <w:szCs w:val="17"/>
          <w:color w:val="auto"/>
        </w:rPr>
        <w:t xml:space="preserve"> (each, an “Indemnified Party”) shall:</w:t>
      </w:r>
    </w:p>
    <w:p>
      <w:pPr>
        <w:spacing w:after="0" w:line="225" w:lineRule="exact"/>
        <w:rPr>
          <w:sz w:val="20"/>
          <w:szCs w:val="20"/>
          <w:color w:val="auto"/>
        </w:rPr>
      </w:pPr>
    </w:p>
    <w:p>
      <w:pPr>
        <w:jc w:val="both"/>
        <w:ind w:firstLine="1304"/>
        <w:spacing w:after="0" w:line="261" w:lineRule="auto"/>
        <w:tabs>
          <w:tab w:leader="none" w:pos="1944"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is to be made against any person (the “Indemnifying Party”) for indemnification hereunder, give prompt written notice to the Indemnifying Party of the losses, claims, damages, liabilities or out-of-pocket expenses (provided that the failure to give prompt notice shall not impair any person’s right to indemnification hereunder to the extent such failure has not prejudiced the Indemnifying Party);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in the Indemnified Party’s reasonable judgment a conflict of interest between such Indemnified Party and Indemnifying Party may exist with respect to such claim, permit such Indemnifying Party to assume control of the defense of such claim with counsel reasonably satisfactory to the Indemnified Party. If such defense is assumed, the Indemnifying Party shall not, without its consent (such consent shall not be unreasonably withheld), be subject to any liability for any settlement made by the Indemnified Party.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4.3.2 If such control of defense is assumed, the Indemnifying Party shall not be subject to any liability to the Indemnified Party for any legal or other expenses subsequently incurred by the Indemnified Party in connection with the defense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4.3.3 An Indemnifying Party who is not entitled to, or elects not to, assume the control of defense of a claim shall not be obligated to pay the fees and expenses of more than one (1)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4.3.4 No Indemnifying party shall, without the prior written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4.3.5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under Sections 4.1, 4.2,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from the Indemnifying Party is judicially determined to be unavailable or insufficient to hold harmless an Indemnified Party in respect of any losses, claims, damages, liabilities and out-of-pocket expenses referred to herein, then the Indemnifying Party, in lieu of indemnifying the Indemnified Party, shall contribute to the amount paid or payable by the Indemnified Party as a result of such losses, claims, damages, liabilities and out-of-pocket expenses in such proportion as is appropriate to reflect the relative fault of the Indemnifying Party and the Indemnified Party, as well as any other relevant equitable considerations. The relative fault of the Indemnifying Party and the Indemnified Party shall be determined by reference to, among other things, whether any action in question, including any untrue or alleged untrue statement of a material fact or omission or alleged omission to state a material fact, was made by (or omitted to be made by, in the case of an omission), or relates to any information or affidavit supplied by (or not supplied by, in the case of an omission), such Indemnifying Party and the Indemnified Party, and the Indemnifying Party’s and the Indemnified Party’s relative intent, knowledge, access to information and opportunity to correct or prevent such action;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subsection 4.4</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subsections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above, any legal or other fees, charges or out-of-pocket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subsection 4.4</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subsection 4.4</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subsection 4.4</w:t>
      </w:r>
      <w:r>
        <w:rPr>
          <w:rFonts w:ascii="Times New Roman" w:cs="Times New Roman" w:eastAsia="Times New Roman" w:hAnsi="Times New Roman"/>
          <w:sz w:val="18"/>
          <w:szCs w:val="18"/>
          <w:color w:val="auto"/>
        </w:rPr>
        <w:t xml:space="preserve"> from any person who was not guilty of such fraudulent misrepresentation.</w:t>
      </w:r>
    </w:p>
    <w:p>
      <w:pPr>
        <w:sectPr>
          <w:pgSz w:w="11900" w:h="16838" w:orient="portrait"/>
          <w:cols w:equalWidth="0" w:num="1">
            <w:col w:w="9920"/>
          </w:cols>
          <w:pgMar w:left="980" w:top="109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type w:val="continuous"/>
        </w:sectPr>
      </w:pPr>
    </w:p>
    <w:bookmarkStart w:id="396" w:name="page397"/>
    <w:bookmarkEnd w:id="3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general notices, demands or other communications required or permitted to be given or made hereunder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shall be in writing and delivered personally or sent by courier or sent by electronic mail to the intended recipient thereof. Any such Notice shall be deemed to have been duly served (a) if given personally or sent by local courier, upon delivery during normal business hours at the location of delivery or, if later, then on the next Business Day after the day of delivery; (b) if sent by electronic mail during normal business hours at the location of delivery, immediately, or, if later, then on the next Business Day after the day of delivery; or (c) the third Business Day following the day sent by reputable international overnight courier (with written confirmation of receipt). Any notice or communication under this Agreement must be addressed: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Lotus Technology Inc.</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800 Century Avenue</w:t>
      </w:r>
    </w:p>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Lujiazui CBD</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Pudong District</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Shanghai 200120</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E-mail: Alexious.Lee@lotuscars.com.cn</w:t>
      </w:r>
    </w:p>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30/F, China World Office 2</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 1, Jian Guo Men Wai Avenue</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Beijing 100004, China</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Email: Alexious.Lee@lotuscars.com.cn</w:t>
      </w:r>
    </w:p>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c/o 42/F, Edinburgh Tower, The Landmark</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15 Queen’s Road Central, Hong Kong</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Email: Alexious.Lee@lotuscars.com.cn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397" w:name="page398"/>
    <w:bookmarkEnd w:id="397"/>
    <w:p>
      <w:pPr>
        <w:ind w:left="660"/>
        <w:spacing w:after="0"/>
        <w:rPr>
          <w:sz w:val="20"/>
          <w:szCs w:val="20"/>
          <w:color w:val="auto"/>
        </w:rPr>
      </w:pPr>
      <w:r>
        <w:rPr>
          <w:rFonts w:ascii="Times New Roman" w:cs="Times New Roman" w:eastAsia="Times New Roman" w:hAnsi="Times New Roman"/>
          <w:sz w:val="18"/>
          <w:szCs w:val="18"/>
          <w:color w:val="auto"/>
        </w:rPr>
        <w:t>If to SPAC or the Sponsor:</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L Catterton Asia Acquisition Corp</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8 Marina View, Asia Square Tower 1</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#41-03, Singapore 018960</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Email: Alexious.Lee@lotuscars.com.cn</w:t>
      </w:r>
    </w:p>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Kirkland &amp; Ellis</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26th Floor, Gloucester Tower, The Landmark</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15 Queen’s Road Central, Hong Kong</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Joseph Raymond Casey</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E-mail: Alexious.Lee@lotuscars.com.cn</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joseph.casey@kirkland.com</w:t>
      </w:r>
    </w:p>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29th Floor, China World Office 2</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No.1 Jian Guo Men Wai Avenue</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Beijing 100004, P.R. China</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Email: Alexious.Lee@lotuscars.com.cn</w:t>
      </w: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to any Holder, at such Holder’s address or contact information as set forth under such Holder’s signature to this Agreement or to such Holder’s address as found in Company’s books and records.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Any party may change its address for notice at any time and from time to time by written notice to the other parties hereto, and such change of address shall become effective thirty (30) days after delivery of such notice as provided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Any Holder not desiring to receive Notices at any time and from time to time may so notify the other parties, who shall thereafter not make, give or deliver any Notice to such Holder until duly notified otherwise (or until the expiry of any period specified in such Holder’s notice).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Assignment; No Third Party Beneficiaries.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5.2.1 This Agreement and the rights, duties and obligations of the Company hereunder may not be assigned or delegated by the Company in whole or in part.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5.2.2 Prior to the expiration of the lock-up period applicable to such Holder pursuant to any Lock-Up Agreement, no Holder may assign or delegate such Holder’s rights, duties or obligations under this Agreement, in whole or in part, except in connection with a transfer of Registrable Securities by such Holder to a Permitted Transferee but only if such Permitted Transferee agrees to become bound by the terms and conditions of this Agreement. After the expiration of the lock-up period applicable to such Holder pursuant to any Lock-Up Agreement, the Holder may assign or delegate such Holder’s rights, duties or obligations under this Agreement, in whole or in part, to any person to whom it transfers Registrable Securities;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that such Registrable Securities remain Registrable Securities following such transfer, and such person agrees to be bound by the terms and conditions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98" w:name="page399"/>
    <w:bookmarkEnd w:id="39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5.2.4 This Agreement shall not confer any rights or benefits on any persons that are not parties hereto, other than as expressly set forth in this Agreement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and (ii) the written agreement of the assignee, in a form reasonably satisfactory to the Company, to be bound by the terms and conditions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null and void.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5.3 Counterparts. This Agreement may be executed in multiple counterparts (including by electronic means), each of which shall be deemed an original, and all of which together shall constitute the same instrument, but only one of which need be produced.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5.4 Governing Law; Venue. Each party expressly agrees that this Agreement, and all claims or causes of action based upon, arising out of, or related to this Agreement or the transactions contemplated hereby, shall be governed by, and construed in accordance with, the laws of the State of New York, without giving effect to principles or rules of conflict of laws to the extent such principles or rules would require or permit the applicable of laws of another jurisdiction. Any claim or cause of action based upon, arising out of or related to this Agreement or the transactions contemplated hereby may be brought in federal and state courts in New York county in the State of New York, and each of the parties irrevocably submits to the exclusive jurisdiction of each such court, waives any obligation it may now or hereafter have to personal jurisdiction, venue or to convenience of forum, agrees that all claims in respect of any cause of action may be heard and determined only in any such court, and agrees not to bring any cause of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EACH OF THE PARTIES HEREBY IRREVOCABLY WAIVES ANY AND ALL RIGHT TO TRIAL BY JURY IN ANY ACTION BASED UPON, ARISING OUT OF OR RELATED TO THIS AGREEMENT OR THE TRANSACTIONS CONTEMPLATED HEREBY.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5.5 Severability. The invalidity or unenforceability of any specific provision of this Agreement shall not invalidate or render unenforceable any of its other provisions. The parties hereto further agree that if any provision contained in this Agreement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in this Agreement that is held invalid or unenforceable with a valid and enforceable provision giving effect to the intent of the parties hereto.</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5.6 Entire Agreement. This Agreement (together with the Merger Agreement, and any applicable Lock-Up Agreement to the extent incorporated herein, and including all agreements entered into pursuant hereto or thereto or referenced herein or therein and all certificates and instruments delivered pursuant hereto and thereto) set forth the entire understanding of the parties with respect to the subject matter hereof and supersede all other prior and contemporaneous agreements and understandings between the parties, whether oral or written,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99" w:name="page400"/>
    <w:bookmarkEnd w:id="399"/>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 of strict construction will be applied against any party. Unless the context otherwise requires: (a) “or” is disjunctive but not exclusive; (b) words in the singular include the plural, and in the plural include the singular; (c) the words “hereof,” “herein,” “hereunder” and words of similar import when used in this Agreement refer to this Agreement as a whole and not to any particular provision of this Agreement, and section and subsection references are to this Agreement unless otherwise specified; (d) the term “including” is not limiting and means “including without limitation”; (e) whenever the context requires, any pronouns used herein shall include the corresponding masculine, feminine or neuter forms; (f) references to agreements and other documents shall be deemed to include all subsequent amendments and other modifications or supplements thereto; and (g) references to statutes shall include all regulations promulgated thereunder and references to statutes or regulations shall be construed as including all statutory and regulatory provisions consolidating, amending or replacing the statute or regulation. Where any Company Ordinary Shares are held by the Depository Trust Company or any person who operates a clearing system or issues depositary receipts (or their nominees) and/or a nominee, custodian or trustee for any person, that person shall (unless the context requires otherwise) be treated for the purposes of this Agreement as the holder of those shares and references to shares being “held by” a person, to a person “holding” shares or to a person who “holds” any such shares, or equivalent formulations, shall be construed accordingly. The headings, subheadings and captions contained in this Agreement are included for convenience of reference only, and in no way define, limit or describe the scope of this Agreement or the intent of any provision hereof.</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Upon the prior written consent of the Company and the Holders of at least a majority of the Registrable Securities at the time in question, compliance with any of the provisions, covenants and conditions set forth in this Agreement may be waived, or any of such provisions, covenants or conditions may be amended or modified;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any amendment or modification to this Agreement that would have a disproportionately adverse effect on any party’s rights hereunder in any material respect shall require the prior written consent of such party.</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color w:val="auto"/>
        </w:rPr>
        <w:t>Termination of Prior SPAC Agreement and Termination and Effectiveness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5.9.1 Each of SPAC, the Sponsor and the “Holders” (as defined in the Prior SPAC Agreement) hereby agrees that the Prior SPAC Agreement shall terminate as of the First Merger Closing, and thereafter shall be of no further force and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5.9.2 The registration rights granted under this Agreement shall supersede any registration, qualification or similar rights of the Holders with respect to the securities of SPAC or the Company granted under any other agreement, and any of such preexisting registration, qualification or similar rights and such agreements shall be terminated and of no further force and effect. With effect from the First Merger Closing, each party to this Agreement hereby irrevocably waives and agrees not to exercise or enforce any rights it may have (a) in respect of the registration of Registrable Securities pursuant to any other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5.9.3 This Agreement shall take effect as of and from the First Merger Closing;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that if the Merger Agreement is terminated prior to the First Merger Closing, this Agreement shall not become effective and shall be deemed void.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This Agreement shall terminate upon the earlier of (a) the tenth (10th) anniversary of the date of this Agreement and (b) with respect to any Holder, on the date that such Holder no longer holds any Registrable Securities. The provisions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survive any termination of this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400" w:name="page401"/>
    <w:bookmarkEnd w:id="400"/>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caused this Agreement to be executed as of the date first written above.</w:t>
      </w:r>
    </w:p>
    <w:p>
      <w:pPr>
        <w:spacing w:after="0" w:line="25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2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By: /s/ Qingfeng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310324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 Qingfeng Feng</w:t>
      </w:r>
    </w:p>
    <w:p>
      <w:pPr>
        <w:spacing w:after="0" w:line="23" w:lineRule="exact"/>
        <w:rPr>
          <w:sz w:val="20"/>
          <w:szCs w:val="20"/>
          <w:color w:val="auto"/>
        </w:rPr>
      </w:pPr>
    </w:p>
    <w:p>
      <w:pPr>
        <w:ind w:left="458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Director and Chief Executive Officer</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1047115</wp:posOffset>
            </wp:positionV>
            <wp:extent cx="629221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40"/>
          </w:cols>
          <w:pgMar w:left="1440" w:top="873" w:right="1419" w:bottom="1440" w:gutter="0" w:footer="0" w:header="0"/>
        </w:sectPr>
      </w:pPr>
    </w:p>
    <w:bookmarkStart w:id="401" w:name="page402"/>
    <w:bookmarkEnd w:id="401"/>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caused this Agreement to be executed as of the date first written above.</w:t>
      </w:r>
    </w:p>
    <w:p>
      <w:pPr>
        <w:spacing w:after="0" w:line="25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SPAC:</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L Catterton Asia Acquisition Corp.</w:t>
      </w:r>
    </w:p>
    <w:p>
      <w:pPr>
        <w:spacing w:after="0" w:line="22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By:/s/ Chinta Bhagat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17145</wp:posOffset>
            </wp:positionV>
            <wp:extent cx="312864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Name:Chinta Bhagat</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Co-Chief Executive Officer and Director</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1045845</wp:posOffset>
            </wp:positionV>
            <wp:extent cx="629221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40"/>
          </w:cols>
          <w:pgMar w:left="1440" w:top="873" w:right="1419" w:bottom="1440" w:gutter="0" w:footer="0" w:header="0"/>
        </w:sectPr>
      </w:pPr>
    </w:p>
    <w:bookmarkStart w:id="402" w:name="page403"/>
    <w:bookmarkEnd w:id="402"/>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caused this Agreement to be executed as of the date first written above.</w:t>
      </w:r>
    </w:p>
    <w:p>
      <w:pPr>
        <w:spacing w:after="0" w:line="25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Sponsor:</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LCA Acquisition Sponsor, LP</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By: LCA Acquisition Sponsor GP Limited, its general partner</w:t>
      </w:r>
    </w:p>
    <w:p>
      <w:pPr>
        <w:spacing w:after="0" w:line="20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By: /s/ Bowen Qian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17145</wp:posOffset>
            </wp:positionV>
            <wp:extent cx="30943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Name:Bowen Qian</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909955</wp:posOffset>
            </wp:positionV>
            <wp:extent cx="629221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40"/>
          </w:cols>
          <w:pgMar w:left="1440" w:top="873" w:right="1419" w:bottom="1440" w:gutter="0" w:footer="0" w:header="0"/>
        </w:sectPr>
      </w:pPr>
    </w:p>
    <w:bookmarkStart w:id="403" w:name="page404"/>
    <w:bookmarkEnd w:id="403"/>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caused this Agreement to be executed as of the date first written above.</w:t>
      </w:r>
    </w:p>
    <w:p>
      <w:pPr>
        <w:spacing w:after="0" w:line="25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Sanford Litvack</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By: /s/ Sanford Litvack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17145</wp:posOffset>
            </wp:positionV>
            <wp:extent cx="30943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 Sanford Litvack</w:t>
      </w:r>
    </w:p>
    <w:p>
      <w:pPr>
        <w:spacing w:after="0" w:line="22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1045845</wp:posOffset>
            </wp:positionV>
            <wp:extent cx="6292215" cy="260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40"/>
          </w:cols>
          <w:pgMar w:left="1440" w:top="873" w:right="1419" w:bottom="1440" w:gutter="0" w:footer="0" w:header="0"/>
        </w:sectPr>
      </w:pPr>
    </w:p>
    <w:bookmarkStart w:id="404" w:name="page405"/>
    <w:bookmarkEnd w:id="404"/>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caused this Agreement to be executed as of the date first written above.</w:t>
      </w:r>
    </w:p>
    <w:p>
      <w:pPr>
        <w:spacing w:after="0" w:line="25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Frank N. Newman</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By: /s/ Frank N.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17145</wp:posOffset>
            </wp:positionV>
            <wp:extent cx="31115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Name:Frank N. Newman</w:t>
      </w:r>
    </w:p>
    <w:p>
      <w:pPr>
        <w:spacing w:after="0" w:line="22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1045845</wp:posOffset>
            </wp:positionV>
            <wp:extent cx="6292215" cy="260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40"/>
          </w:cols>
          <w:pgMar w:left="1440" w:top="873" w:right="1419" w:bottom="1440" w:gutter="0" w:footer="0" w:header="0"/>
        </w:sectPr>
      </w:pPr>
    </w:p>
    <w:bookmarkStart w:id="405" w:name="page406"/>
    <w:bookmarkEnd w:id="405"/>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caused this Agreement to be executed as of the date first written above.</w:t>
      </w:r>
    </w:p>
    <w:p>
      <w:pPr>
        <w:spacing w:after="0" w:line="25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Anish Melwani</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By:/s/ Anish Melwani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17145</wp:posOffset>
            </wp:positionV>
            <wp:extent cx="312864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Name:Anish Melwani</w:t>
      </w:r>
    </w:p>
    <w:p>
      <w:pPr>
        <w:spacing w:after="0" w:line="2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771525</wp:posOffset>
            </wp:positionV>
            <wp:extent cx="629221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40"/>
          </w:cols>
          <w:pgMar w:left="1440" w:top="873" w:right="1419" w:bottom="1440" w:gutter="0" w:footer="0" w:header="0"/>
        </w:sectPr>
      </w:pPr>
    </w:p>
    <w:bookmarkStart w:id="406" w:name="page407"/>
    <w:bookmarkEnd w:id="406"/>
    <w:p>
      <w:pPr>
        <w:jc w:val="right"/>
        <w:spacing w:after="0"/>
        <w:rPr>
          <w:sz w:val="20"/>
          <w:szCs w:val="20"/>
          <w:color w:val="auto"/>
        </w:rPr>
      </w:pPr>
      <w:r>
        <w:rPr>
          <w:rFonts w:ascii="Times New Roman" w:cs="Times New Roman" w:eastAsia="Times New Roman" w:hAnsi="Times New Roman"/>
          <w:sz w:val="18"/>
          <w:szCs w:val="18"/>
          <w:b w:val="1"/>
          <w:bCs w:val="1"/>
          <w:color w:val="auto"/>
        </w:rPr>
        <w:t>Exhibit 2.9</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Description of Rights of Each Class of Securities Registered under Section 12 of the Securities Exchange Act of 1934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w:t>
      </w:r>
    </w:p>
    <w:p>
      <w:pPr>
        <w:spacing w:after="0" w:line="180"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Ordinary Shares of Lotus Technology Inc. (“we,” “our,” “our company,” or “us”) are listed and traded on the Nasdaq Stock Market, and the shares are registered under Section 12(b) of the Exchange Act. In addition, our warrants are quoted on the Nasdaq Stock Market under the ticker symbol “LOTWW.” This exhibit contains a description of the rights of (i) the holders of Ordinary Shares and</w:t>
      </w:r>
    </w:p>
    <w:p>
      <w:pPr>
        <w:spacing w:after="0" w:line="2" w:lineRule="exact"/>
        <w:rPr>
          <w:sz w:val="20"/>
          <w:szCs w:val="20"/>
          <w:color w:val="auto"/>
        </w:rPr>
      </w:pPr>
    </w:p>
    <w:p>
      <w:pPr>
        <w:ind w:firstLine="8"/>
        <w:spacing w:after="0" w:line="255" w:lineRule="auto"/>
        <w:tabs>
          <w:tab w:leader="none" w:pos="26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warrants. All capitalized terms used in this summary are as defined in the memorandum and articles of association of Lotus Technology Inc. that are currently in effect (the “Memorandum and Articles of Association”), unless elsewhere defined herein or in the annual report on Form 20-F filed for the fiscal year ended December 31, 2023 (“2023 20-F”)</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18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following is a summary of material provisions of the Memorandum and Articles of Association, as well as the Companies Act (As Revised) of the Cayman Islands (the “Companies Act”) insofar as they relate to the material terms of our Ordinary Shares. Notwithstanding this, because it is a summary, it may not contain all the information that you may otherwise deem important. For more complete information, you should read the entire Memorandum and Articles of Association, which has been filed with the SEC as an exhibit to the 2023 20-F.</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and Class of Securities (Item 9.A.5 of Form 20-F)</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Each Ordinary Share has US$0.00001 par value. The number of Ordinary Shares that have been issued as of the last day of the financial year ended December 31, 2023 is provided on the cover of the 2023 20-F. Our Ordinary Shares may be held in either certificated or uncertificated form.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 (Item 9.A.3 of Form 20-F)</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shareholders do not have preemptive rights.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Ordinary Shares (Item 10.B.3 of Form 20-F)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0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holders of Ordinary Shares are entitled to such dividends as the board of directors may in its discretion lawfully declare from time to time, or as shareholders may declare by ordinary resolution, but no dividend may be declared by our shareholders which exceeds the amount recommended by our directors. Dividends may be paid either in cash or in specie. No dividend may be declared and paid unless our directors determine that we have funds lawfully available for such purpose and that, immediately after the payment, we will be able to pay our debts as they fall due in the ordinary course of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8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Voting at any meeting of shareholders will be decided by poll and not by way of a show of hands. A poll shall be taken in such manner as the chairperson of the meeting directs, and the result of the poll shall be deemed to be the resolution of the meeting.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Every shareholder present at a meeting of shareholders shall have one vote for each ordinary share of which he is the holder.</w:t>
      </w:r>
    </w:p>
    <w:p>
      <w:pPr>
        <w:spacing w:after="0" w:line="18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All questions submitted to a meeting shall be decided by an ordinary resolution except where a greater majority is required by the Memorandum and Articles of Association or by the Companies Act. In the case of an equality of votes, the chairperson of the meeting shall be entitled to a second or casting vote.</w:t>
      </w:r>
    </w:p>
    <w:p>
      <w:pPr>
        <w:spacing w:after="0" w:line="135"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An ordinary resolution to be passed by the shareholders will require a simple majority of votes cast, while a special resolution will require not less than two-thirds of votes cast, by such shareholders as, being entitled to do so, vote in person or, where proxies are allowed, by proxy or, in the case of corporations, by their duly authorized representatives, at a general meeting held in accordance with the Memorandum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588645</wp:posOffset>
            </wp:positionV>
            <wp:extent cx="629221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i w:val="1"/>
          <w:iCs w:val="1"/>
          <w:color w:val="auto"/>
        </w:rPr>
        <w:t>Transfer of Ordinary Shares</w:t>
      </w:r>
    </w:p>
    <w:p>
      <w:pPr>
        <w:spacing w:after="0" w:line="18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Subject to the restrictions contained in the Memorandum and Articles of Association and the rules or regulations of Nasdaq or any securities laws, any shareholders may transfer all or any of their Ordinary Shares by an instrument of transfer in any usual or common form or in a form prescribed by the Designated Stock Exchange or in any other form approved by our board of directors.</w:t>
      </w:r>
    </w:p>
    <w:p>
      <w:pPr>
        <w:spacing w:after="0" w:line="149"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Subject to the rules of Nasdaq and to any rights and restrictions for the time being attached to any share, our directors may decline to register any transfer of any share which is not fully paid up or on which we have a lien. Our directors may also decline to register any transfer of a share if such transfer would breach or cause a breach of: (i) the rules of Nasdaq; or (ii) applicable law or regulation. Our directors may also decline to register any transfer of any share unless:</w:t>
      </w:r>
    </w:p>
    <w:p>
      <w:pPr>
        <w:spacing w:after="0" w:line="139" w:lineRule="exact"/>
        <w:rPr>
          <w:sz w:val="20"/>
          <w:szCs w:val="20"/>
          <w:color w:val="auto"/>
        </w:rPr>
      </w:pPr>
    </w:p>
    <w:p>
      <w:pPr>
        <w:ind w:left="980" w:right="500" w:hanging="324"/>
        <w:spacing w:after="0" w:line="266" w:lineRule="auto"/>
        <w:tabs>
          <w:tab w:leader="none" w:pos="9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or the designated transfer agent or share registrar, accompanied by the certificate for the shares to which it relates (if any) and such other evidence as our board of directors may reasonably require to show the right of the transferor to make the transfer;</w:t>
      </w:r>
    </w:p>
    <w:p>
      <w:pPr>
        <w:spacing w:after="0" w:line="13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84"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or</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Nasdaq may determine to be payable, or such lesser sum as our board of directors may from time to time require, is paid to us in respect thereof.</w:t>
      </w:r>
    </w:p>
    <w:p>
      <w:pPr>
        <w:spacing w:after="0" w:line="12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If our board of directors refuses to register a transfer they shall, within three calendar months after the date on which the instrument of transfer was lodged, send to each of the transferor and the transferee notice of such refusal, including the reason for such refusal.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0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our winding up, if the assets available for distribution amongst the shareholders shall be more than sufficient to repay the whole of the share capital at the commencement of the winding up, the surplus shall be distributed amongst the shareholders pro rata in proportion to the par value of the shares held by them at the commencement of the winding up, subject to a deduction from those shares in respect of which there are monies due, of all monies payable to us for unpaid calls or otherwise. If the assets available for distribution are insufficient to repay the whole of the share capital, such assets will be distributed so that, as nearly as may be, the losses are borne by the shareholders in proportion to the par value of the shares held by them. We are a Cayman Islands exempted company incorporated with limited liability, and under the Companies Act, the liability of our members is limited to the amount, if any, unpaid on the shares respectively held by them. The Memorandum and Articles of Association contains a declaration that the liability of our members is so limited.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Ordinary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that have been called upon and remain unpaid are, after a notice period, subject to forfeiture.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Purchase and Surrender of Shares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provisions of the Companies Act and the Memorandum and Articles of Association, we may:</w:t>
      </w:r>
    </w:p>
    <w:p>
      <w:pPr>
        <w:spacing w:after="0" w:line="185" w:lineRule="exact"/>
        <w:rPr>
          <w:sz w:val="20"/>
          <w:szCs w:val="20"/>
          <w:color w:val="auto"/>
        </w:rPr>
      </w:pPr>
    </w:p>
    <w:p>
      <w:pPr>
        <w:ind w:left="980" w:hanging="324"/>
        <w:spacing w:after="0" w:line="266" w:lineRule="auto"/>
        <w:tabs>
          <w:tab w:leader="none" w:pos="9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are liable to be redeemed at the option of the shareholders. The redemption of shares shall be effected in such manner and upon such terms as may be determined, before the issue of such shares, by either the board of directors or by the shareholders by ordinary resolution;</w:t>
      </w:r>
    </w:p>
    <w:p>
      <w:pPr>
        <w:spacing w:after="0" w:line="135" w:lineRule="exact"/>
        <w:rPr>
          <w:rFonts w:ascii="Times New Roman" w:cs="Times New Roman" w:eastAsia="Times New Roman" w:hAnsi="Times New Roman"/>
          <w:sz w:val="18"/>
          <w:szCs w:val="18"/>
          <w:color w:val="auto"/>
        </w:rPr>
      </w:pPr>
    </w:p>
    <w:p>
      <w:pPr>
        <w:ind w:left="980" w:right="400" w:hanging="324"/>
        <w:spacing w:after="0" w:line="266" w:lineRule="auto"/>
        <w:tabs>
          <w:tab w:leader="none" w:pos="9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our own shares (including any redeemable shares) on such terms and in such manner and terms as have been approved by the board of directors or by the shareholders by ordinary resolution, or are otherwise authorized by the Memorandum and Articles of Association; and</w:t>
      </w:r>
    </w:p>
    <w:p>
      <w:pPr>
        <w:spacing w:after="0" w:line="13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purchase of our own shares in any manner permitted by the Companies Act, including out of our capital, profits or the proceeds of a fresh issue of shares.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directors may accept the surrender for no consideration of any fully paid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19" w:right="103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to Change the Rights of Holders of Ordinary Shares (Item 10.B.4 of Form 20-F)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Variations of Rights of Shares</w:t>
      </w:r>
    </w:p>
    <w:p>
      <w:pPr>
        <w:spacing w:after="0" w:line="20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at any time our share capital is divided into different classes of shares, all or any of the rights attached to any class (unless otherwise provided by the terms of issue of the shares of that class) may only be materially and adversely varied with the consent in writing of the holders of at least two-thirds (2/3) of the issued shares of that class, or with the approval of a special resolution passed by a majority of not less than two-thirds of the votes cast at a separate meeting of the holders of the shares of that class where at least one-third (1/3) of the issued shares of that class are present (provided that if at any adjourned meeting of such holders a quorum as above defined is not present, those shareholders who are present shall form a quorum).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Rights to Own Ordinary Shares (Item 10.B.6 of Form 20-F)</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are no limitations under the laws of the Cayman Islands or under the Memorandum and Articles of Association that limit the right of non-resident or foreign owners to hold or vote Ordinary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Affecting Any Change of Control (Item 10.B.7 of Form 20-F)</w:t>
      </w:r>
    </w:p>
    <w:p>
      <w:pPr>
        <w:spacing w:after="0" w:line="187"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in the Memorandum and Articles of Association. </w:t>
      </w:r>
      <w:r>
        <w:rPr>
          <w:rFonts w:ascii="Times New Roman" w:cs="Times New Roman" w:eastAsia="Times New Roman" w:hAnsi="Times New Roman"/>
          <w:sz w:val="18"/>
          <w:szCs w:val="18"/>
          <w:color w:val="auto"/>
        </w:rPr>
        <w:t>Some provisions of our Memorandum and Articles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Association may discourage, delay or prevent a change of control of our company or management that shareholders may consider favorable, including provisions that:</w:t>
      </w:r>
    </w:p>
    <w:p>
      <w:pPr>
        <w:spacing w:after="0" w:line="135" w:lineRule="exact"/>
        <w:rPr>
          <w:sz w:val="20"/>
          <w:szCs w:val="20"/>
          <w:color w:val="auto"/>
        </w:rPr>
      </w:pPr>
    </w:p>
    <w:p>
      <w:pPr>
        <w:ind w:left="980" w:right="80" w:hanging="324"/>
        <w:spacing w:after="0" w:line="282" w:lineRule="auto"/>
        <w:tabs>
          <w:tab w:leader="none" w:pos="9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18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Threshold (Item 10.B.8 of Form 20-F)</w:t>
      </w:r>
    </w:p>
    <w:p>
      <w:pPr>
        <w:spacing w:after="0" w:line="18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There are no provisions under Cayman Islands law applicable to the Company, or under the Memorandum and Articles of Association, that require the Company to disclose shareholder ownership above any particular ownership threshold.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the Law of Different Jurisdictions (Item 10.B.9 of Form 20-F)</w:t>
      </w:r>
    </w:p>
    <w:p>
      <w:pPr>
        <w:spacing w:after="0" w:line="20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spacing w:after="0" w:line="135"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Companies Act differs from laws applicable to United States corporations and their shareholders. Set forth below is a summary of certain significant differences between the provisions of the Companies Act applicable to us and the laws applicable to United States corporations and companies incorporated in the State of Delaware.</w:t>
      </w:r>
    </w:p>
    <w:p>
      <w:pPr>
        <w:spacing w:after="0" w:line="1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Mergers and Similar Arrangements</w:t>
      </w:r>
      <w:r>
        <w:rPr>
          <w:rFonts w:ascii="Times New Roman" w:cs="Times New Roman" w:eastAsia="Times New Roman" w:hAnsi="Times New Roman"/>
          <w:sz w:val="18"/>
          <w:szCs w:val="18"/>
          <w:color w:val="auto"/>
        </w:rPr>
        <w:t>. The Companies Act (As Revised) permits mergers and consolidations between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in the consolidated company.</w:t>
      </w:r>
    </w:p>
    <w:p>
      <w:pPr>
        <w:spacing w:after="0" w:line="158" w:lineRule="exact"/>
        <w:rPr>
          <w:sz w:val="20"/>
          <w:szCs w:val="20"/>
          <w:color w:val="auto"/>
        </w:rPr>
      </w:pPr>
    </w:p>
    <w:p>
      <w:pPr>
        <w:ind w:right="100" w:firstLine="648"/>
        <w:spacing w:after="0" w:line="276" w:lineRule="auto"/>
        <w:rPr>
          <w:sz w:val="20"/>
          <w:szCs w:val="20"/>
          <w:color w:val="auto"/>
        </w:rPr>
      </w:pPr>
      <w:r>
        <w:rPr>
          <w:rFonts w:ascii="Times New Roman" w:cs="Times New Roman" w:eastAsia="Times New Roman" w:hAnsi="Times New Roman"/>
          <w:sz w:val="17"/>
          <w:szCs w:val="17"/>
          <w:color w:val="auto"/>
        </w:rPr>
        <w:t>In order to effect such a merger or consolidation, the directors of each constituent company must approve a written plan of merger or consolidation, which must then be authorized by (1) a special resolution of the shareholders of each constituent company, and</w:t>
      </w:r>
    </w:p>
    <w:p>
      <w:pPr>
        <w:spacing w:after="0" w:line="1" w:lineRule="exact"/>
        <w:rPr>
          <w:sz w:val="20"/>
          <w:szCs w:val="20"/>
          <w:color w:val="auto"/>
        </w:rPr>
      </w:pPr>
    </w:p>
    <w:p>
      <w:pPr>
        <w:ind w:right="40" w:firstLine="8"/>
        <w:spacing w:after="0" w:line="251" w:lineRule="auto"/>
        <w:tabs>
          <w:tab w:leader="none" w:pos="25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409" w:name="page410"/>
    <w:bookmarkEnd w:id="409"/>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3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3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4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151" w:lineRule="exact"/>
        <w:rPr>
          <w:sz w:val="20"/>
          <w:szCs w:val="20"/>
          <w:color w:val="auto"/>
        </w:rPr>
      </w:pPr>
    </w:p>
    <w:p>
      <w:pPr>
        <w:ind w:left="980" w:hanging="324"/>
        <w:spacing w:after="0"/>
        <w:tabs>
          <w:tab w:leader="none" w:pos="9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84"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2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18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6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3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In principle, we will normally be the proper plaintiff to sue for a wrong done to us as a company, and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so that a non-controlling shareholder may be permitted to commence a class action against or derivative actions in the name of our company to challenge actions where:</w:t>
      </w:r>
    </w:p>
    <w:p>
      <w:pPr>
        <w:spacing w:after="0" w:line="145" w:lineRule="exact"/>
        <w:rPr>
          <w:sz w:val="20"/>
          <w:szCs w:val="20"/>
          <w:color w:val="auto"/>
        </w:rPr>
      </w:pPr>
    </w:p>
    <w:p>
      <w:pPr>
        <w:ind w:left="980" w:hanging="324"/>
        <w:spacing w:after="0"/>
        <w:tabs>
          <w:tab w:leader="none" w:pos="9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is ultra vires or illegal and is therefore incapable of ratification by the shareholders;</w:t>
      </w:r>
    </w:p>
    <w:p>
      <w:pPr>
        <w:spacing w:after="0" w:line="184"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 a fraud against the minority where the wrongdoer are themselves in control of the company.</w:t>
      </w:r>
    </w:p>
    <w:p>
      <w:pPr>
        <w:spacing w:after="0" w:line="183"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 Cayman Islands law does not limit the extent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 company’s memorandum and articles of association may provide for indemnification of officers and directors, except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586105</wp:posOffset>
            </wp:positionV>
            <wp:extent cx="6292215"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10" w:name="page411"/>
    <w:bookmarkEnd w:id="410"/>
    <w:p>
      <w:pPr>
        <w:ind w:right="100"/>
        <w:spacing w:after="0" w:line="282" w:lineRule="auto"/>
        <w:rPr>
          <w:sz w:val="20"/>
          <w:szCs w:val="20"/>
          <w:color w:val="auto"/>
        </w:rPr>
      </w:pPr>
      <w:r>
        <w:rPr>
          <w:rFonts w:ascii="Times New Roman" w:cs="Times New Roman" w:eastAsia="Times New Roman" w:hAnsi="Times New Roman"/>
          <w:sz w:val="18"/>
          <w:szCs w:val="18"/>
          <w:color w:val="auto"/>
        </w:rPr>
        <w:t>any such provision may be held by the Cayman Islands courts to be contrary to public policy, such as to provide indemnification against civil fraud or the consequences of committing a crime.</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Memorandum and Articles of Association provide that every director (including alternate director), secretary, assistant secretary, or other officer for the time being and from time to time of our company (but not including its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our company’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6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the Memorandum and Articles of Association.</w:t>
      </w:r>
    </w:p>
    <w:p>
      <w:pPr>
        <w:spacing w:after="0" w:line="12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3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Directors’ Fiduciary Duties</w:t>
      </w:r>
      <w:r>
        <w:rPr>
          <w:rFonts w:ascii="Times New Roman" w:cs="Times New Roman" w:eastAsia="Times New Roman" w:hAnsi="Times New Roman"/>
          <w:sz w:val="18"/>
          <w:szCs w:val="18"/>
          <w:color w:val="auto"/>
        </w:rPr>
        <w:t>. Under Delaware corporate law, a director of a Delaware corporation has a fiduciary duty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pacing w:after="0" w:line="15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13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3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or she owes the following duties to the company:</w:t>
      </w:r>
    </w:p>
    <w:p>
      <w:pPr>
        <w:spacing w:after="0" w:line="135" w:lineRule="exact"/>
        <w:rPr>
          <w:sz w:val="20"/>
          <w:szCs w:val="20"/>
          <w:color w:val="auto"/>
        </w:rPr>
      </w:pPr>
    </w:p>
    <w:p>
      <w:pPr>
        <w:ind w:left="980" w:hanging="324"/>
        <w:spacing w:after="0"/>
        <w:tabs>
          <w:tab w:leader="none" w:pos="9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act in good faith in the best interests of the company;</w:t>
      </w:r>
    </w:p>
    <w:p>
      <w:pPr>
        <w:spacing w:after="0" w:line="184"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make a personal profit based on his or her position as director (unless the company permits him or her to do so);</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put himself or herself in a position where the interests of the company conflict with his or her personal interest or his or her duty to a third party; and</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exercise powers for the purpose for which such powers were intended.</w:t>
      </w:r>
    </w:p>
    <w:p>
      <w:pPr>
        <w:spacing w:after="0" w:line="18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 director of a Cayman Islands company owes to the company a duty of care, diligence and skill.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37"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Shareholder Action by Written Consent</w:t>
      </w:r>
      <w:r>
        <w:rPr>
          <w:rFonts w:ascii="Times New Roman" w:cs="Times New Roman" w:eastAsia="Times New Roman" w:hAnsi="Times New Roman"/>
          <w:sz w:val="18"/>
          <w:szCs w:val="18"/>
          <w:color w:val="auto"/>
        </w:rPr>
        <w:t>. Under the Delaware General Corporation Law, a corporation may eliminate the right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to act by written consent by amendment to its certificate of incorporation. Cayman Islands law and the the Memorandum and Articles of Association provide that our shareholders may approve corporate matters by way of a unanimous written resolution signed by or on behalf of all shareholders who would have been entitled to vote on such matter at a general meeting without a meeting being held, and any such resolution in writing shall be as valid and effective as if the same had been passed at a general meeting of our company duly convened and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582930</wp:posOffset>
            </wp:positionV>
            <wp:extent cx="6292215" cy="260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11" w:name="page412"/>
    <w:bookmarkEnd w:id="411"/>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Shareholder Proposals</w:t>
      </w:r>
      <w:r>
        <w:rPr>
          <w:rFonts w:ascii="Times New Roman" w:cs="Times New Roman" w:eastAsia="Times New Roman" w:hAnsi="Times New Roman"/>
          <w:sz w:val="18"/>
          <w:szCs w:val="18"/>
          <w:color w:val="auto"/>
        </w:rPr>
        <w:t>. Under the Delaware General Corporation Law, a shareholder has the right to put any proposal before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4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Companies Act does not provide shareholders with an express right to put forth any proposal before a general meeting of the shareholders. However, these rights may be provided in a company’s articles of association.</w:t>
      </w:r>
    </w:p>
    <w:p>
      <w:pPr>
        <w:spacing w:after="0" w:line="13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Memorandum and Articles of Association allow any one or more of our shareholders who together hold shares which carry in aggregate not less than one-third of all votes attaching to all issued and outstanding shares of our company that as at the date of the deposit of the requisition carry the right to vote at general meetings of our company to requisition an extraordinary general meeting of our shareholders, in which case our board is obliged to convene an extraordinary general meeting and to put the resolutions so requisitioned to a vote at such meeting. Other than this right to requisition a shareholders’ meeting, the Memorandum and Articles of Association do not provide our shareholders with any other right to put proposals before annual general meetings or extraordinary general meetings..</w:t>
      </w:r>
    </w:p>
    <w:p>
      <w:pPr>
        <w:spacing w:after="0" w:line="14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 of directors is not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spacing w:after="0" w:line="14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are no prohibitions relating to cumulative voting under the laws of the Cayman Islands, but the Memorandum and Articles of Association do not provide for cumulative voting. As a result, our shareholders are not afforded any less protections or rights on this issue than shareholders of a Delaware corporation.</w:t>
      </w:r>
    </w:p>
    <w:p>
      <w:pPr>
        <w:spacing w:after="0" w:line="14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removed only for cause with the approval of a majority of the issued and outstanding shares entitled to vote, unless the certificate of incorporation provides otherwise. Under the Memorandum and Articles of Association, directors may be removed with or without cause, by an ordinary resolution of our shareholders. A director will also cease to be a director if he (a) becomes prohibited by applicable law from being a director, (b) becomes bankrupt or makes any arrangement or composition with his or her creditors, (c) dies or is found to be or becomes of unsound mind, (d) resigns his or her office by notice in writing to us, (e) without special leave of absence from the board, is absent from meetings of the board for three consecutive meetings, and the board resolves that his or her office be vacated; or (f) is removed from office pursuant to any other provision of the Memorandum and Articles of Association.</w:t>
      </w:r>
    </w:p>
    <w:p>
      <w:pPr>
        <w:spacing w:after="0" w:line="14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Transactions with Interested Shareholders.</w:t>
      </w:r>
      <w:r>
        <w:rPr>
          <w:rFonts w:ascii="Times New Roman" w:cs="Times New Roman" w:eastAsia="Times New Roman" w:hAnsi="Times New Roman"/>
          <w:sz w:val="18"/>
          <w:szCs w:val="18"/>
          <w:color w:val="auto"/>
        </w:rPr>
        <w:t>The Delaware General Corporation Law contains a business combination statute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145"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This statute has the effect of limiting the ability of a potential acquirer to make a two-tiered bid for the target in which all shareholders would not be treated equally. The statute does not apply if,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37" w:lineRule="exact"/>
        <w:rPr>
          <w:sz w:val="20"/>
          <w:szCs w:val="20"/>
          <w:color w:val="auto"/>
        </w:rPr>
      </w:pPr>
    </w:p>
    <w:p>
      <w:pPr>
        <w:ind w:right="8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A company may present a petition to the Grand Court of the Cayman Islands for the appointment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officer on the grounds that the company:</w:t>
      </w:r>
    </w:p>
    <w:p>
      <w:pPr>
        <w:spacing w:after="0" w:line="120" w:lineRule="exact"/>
        <w:rPr>
          <w:sz w:val="20"/>
          <w:szCs w:val="20"/>
          <w:color w:val="auto"/>
        </w:rPr>
      </w:pPr>
    </w:p>
    <w:p>
      <w:pPr>
        <w:ind w:left="980" w:hanging="324"/>
        <w:spacing w:after="0"/>
        <w:tabs>
          <w:tab w:leader="none" w:pos="9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184"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412" w:name="page413"/>
    <w:bookmarkEnd w:id="412"/>
    <w:p>
      <w:pPr>
        <w:ind w:right="80"/>
        <w:spacing w:after="0" w:line="255" w:lineRule="auto"/>
        <w:rPr>
          <w:sz w:val="20"/>
          <w:szCs w:val="20"/>
          <w:color w:val="auto"/>
        </w:rPr>
      </w:pPr>
      <w:r>
        <w:rPr>
          <w:rFonts w:ascii="Times New Roman" w:cs="Times New Roman" w:eastAsia="Times New Roman" w:hAnsi="Times New Roman"/>
          <w:sz w:val="18"/>
          <w:szCs w:val="18"/>
          <w:color w:val="auto"/>
        </w:rPr>
        <w:t>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4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5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3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with the approval of a majority of the outstanding shares of such class, unless the certificate of incorporation provides otherwise. Under the Memorandum and Articles of Association, if at any time our share capital is divided into different classes of shares, all or any of the rights attached to any class (unless otherwise provided by the terms of issue of the shares of that class) may only be materially and adversely varied with the consent in writing of the holders of at least two-thirds (2/3) of the issued shares of that class, or with the approval of a special resolution passed by a majority of not less than two-thirds of the votes cast at a separate meeting of the holders of the shares of that class where at least one-third (1/3) of the issued shares of that class are present (provided that if at any adjourned meeting of such holders a quorum as above defined is not present, those shareholders who are present shall form a quorum). The rights conferred upon the holders of the shares of any class issued shall not, subject to any rights or restrictions for the time being attached to the shares of that class, be deemed to be materially and adversely varied by the creation, allotment or issue of further shares ranking pari passu with or subsequent to such existing class of shares, or the redemption or purchase of any shares of any class by our company. The rights of the holders of shares shall not be deemed to be materially or adversely varied by the creation or issue of shares with preferred or other rights including, without limitation, the creation of shares with enhanced or weighted voting rights.</w:t>
      </w:r>
    </w:p>
    <w:p>
      <w:pPr>
        <w:spacing w:after="0" w:line="14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amended with the approval of a majority of the outstanding shares entitled to vote, unless the certificate of incorporation provides otherwise. Under Cayman Islands law, the Memorandum and Articles of Association may only be amended with a special resolution of our shareholders.</w:t>
      </w:r>
    </w:p>
    <w:p>
      <w:pPr>
        <w:spacing w:after="0" w:line="15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the Memorandum and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on the rights of non-resident or foreign shareholders to hold or exercise voting rights on our shares. In addition, there are no provisions in the Memorandum and Articles of Association governing the ownership threshold above which shareholder ownership must be disclosed.</w:t>
      </w:r>
    </w:p>
    <w:p>
      <w:pPr>
        <w:spacing w:after="0" w:line="13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Inspection of Books and Records</w:t>
      </w:r>
      <w:r>
        <w:rPr>
          <w:rFonts w:ascii="Times New Roman" w:cs="Times New Roman" w:eastAsia="Times New Roman" w:hAnsi="Times New Roman"/>
          <w:sz w:val="18"/>
          <w:szCs w:val="18"/>
          <w:color w:val="auto"/>
        </w:rPr>
        <w:t>. Under the Delaware General Corporation Law, any shareholder of a corporation may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 purpose inspect or make copies of the corporation’s stock ledger, list of shareholders and other books and records. Shareholders of Cayman Islands exempted companies like us have no general right under Cayman Islands law to inspect corporate records (other than the memorandum and articles of association, the register of mortgages and charges and any special resolutions passed by our shareholders) or obtain copies of the list of shareholders of these companies. Under Cayman Islands law, the names of our current directors can be obtained from a search conducted at the Registrar of Companies. However, we intend to provide our shareholders with annual reports containing audited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 (Item 10.B.10 of Form 20-F)</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from time to time by ordinary resolution:</w:t>
      </w:r>
    </w:p>
    <w:p>
      <w:pPr>
        <w:spacing w:after="0" w:line="185" w:lineRule="exact"/>
        <w:rPr>
          <w:sz w:val="20"/>
          <w:szCs w:val="20"/>
          <w:color w:val="auto"/>
        </w:rPr>
      </w:pPr>
    </w:p>
    <w:p>
      <w:pPr>
        <w:ind w:left="980" w:right="720" w:hanging="324"/>
        <w:spacing w:after="0" w:line="282" w:lineRule="auto"/>
        <w:tabs>
          <w:tab w:leader="none" w:pos="9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share capital by such sum, to be divided into shares of such classes and amount, as the resolution will prescribe;</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share capital into shares of a larger amount than existing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260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13" w:name="page414"/>
    <w:bookmarkEnd w:id="413"/>
    <w:p>
      <w:pPr>
        <w:ind w:left="980" w:right="40" w:hanging="324"/>
        <w:spacing w:after="0" w:line="266" w:lineRule="auto"/>
        <w:tabs>
          <w:tab w:leader="none" w:pos="9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13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12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may by special resolution reduce our share capital or any capital redemption reserve fund in any manner permitted by the Companies 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(Item 12.A of Form 20-F)</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Rights (Item 12.B of Form 20-F)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0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Ordinary Share in the form of ADSs at a price of US$11.50 per share, subject to adjustment as discussed below, except as discussed in the immediately succeeding paragraph. Pursuant to the Warrant Agreement, a Warrant holder may exercise its Warrants only for a whole number of Ordinary Shares in the form of ADSs. This means only a whole Warrant may be exercised at a given time by a Warrant holder. The Warrants will expire five years after the completion of the Business Combination, at 5:00 p.m., New York City time, or earlier upon redemption or liquidation.</w:t>
      </w:r>
    </w:p>
    <w:p>
      <w:pPr>
        <w:spacing w:after="0" w:line="14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not obligated to issue any Ordinary Shares or ADSs pursuant to the exercise of a Warrant and have no obligation to settle such exercise unless a registration statement under the Securities Act with respect to the Ordinary Shares underlying the Warrants is then effective and an annual report relating thereto is current, subject to us satisfying our obligations described below with respect to registration, or a valid exemption from registration is available. No Warrant is exercisable for cash or on a cashless basis, and we are not obligated to issue Ordinary Shares or ADSs upon exercise of a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4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have filed the registration statement within the timeframe set forth in the Warrant Agreement and have agreed to use our commercially reasonable efforts to cause the same to become effective within 60 business days after the closing of the Business Combination, and to maintain the effectiveness of such registration statement and a current annual report relating to those Ordinary Shares until the Warrants expire or are redeemed, as specified in the Warrant Agreement. If the ADSs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Ordinary Shares issuable upon exercise of the Warrants is not effective by the 60 day after the closing of the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provided that if the exemption under Section 3(a)(9) of the Securities Act, or another exemption, is not available, holders will not be able to exercise their Warrants on a cashless basis.</w:t>
      </w:r>
    </w:p>
    <w:p>
      <w:pPr>
        <w:spacing w:after="0" w:line="170" w:lineRule="exact"/>
        <w:rPr>
          <w:sz w:val="20"/>
          <w:szCs w:val="20"/>
          <w:color w:val="auto"/>
        </w:rPr>
      </w:pPr>
    </w:p>
    <w:p>
      <w:pPr>
        <w:ind w:right="240" w:firstLine="648"/>
        <w:spacing w:after="0" w:line="272" w:lineRule="auto"/>
        <w:rPr>
          <w:sz w:val="20"/>
          <w:szCs w:val="20"/>
          <w:color w:val="auto"/>
        </w:rPr>
      </w:pPr>
      <w:r>
        <w:rPr>
          <w:rFonts w:ascii="Times New Roman" w:cs="Times New Roman" w:eastAsia="Times New Roman" w:hAnsi="Times New Roman"/>
          <w:sz w:val="17"/>
          <w:szCs w:val="17"/>
          <w:color w:val="auto"/>
        </w:rPr>
        <w:t>In the case of a cashless exercise, each holder would pay the exercise price by surrendering the Warrants for that number of Ordinary Shares (and in the form of ADSs) equal to the lesser of (A) quotient obtained by dividing (x) the product of the number of Ordinary Shares underlying the Warrants, multiplied by the excess of the “fair market value” less the exercise price of the Warrants by</w:t>
      </w:r>
    </w:p>
    <w:p>
      <w:pPr>
        <w:spacing w:after="0" w:line="2" w:lineRule="exact"/>
        <w:rPr>
          <w:sz w:val="20"/>
          <w:szCs w:val="20"/>
          <w:color w:val="auto"/>
        </w:rPr>
      </w:pPr>
    </w:p>
    <w:p>
      <w:pPr>
        <w:jc w:val="both"/>
        <w:ind w:right="160" w:firstLine="8"/>
        <w:spacing w:after="0" w:line="255" w:lineRule="auto"/>
        <w:tabs>
          <w:tab w:leader="none" w:pos="25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and (B) 0.361. The “fair market value” as used in this paragraph means the volume-weighted average price of the Ordinary Shares traded in the form of ADSs as reported during the 10-trading day period ending on the trading day prior to the date on which the notice of exercise is received by the Warrant agent.</w:t>
      </w:r>
    </w:p>
    <w:p>
      <w:pPr>
        <w:spacing w:after="0" w:line="1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we elect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Ordinary Shares issued and outstanding immediately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579755</wp:posOffset>
            </wp:positionV>
            <wp:extent cx="629221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i w:val="1"/>
          <w:iCs w:val="1"/>
          <w:color w:val="auto"/>
        </w:rPr>
        <w:t>Redemption of Warrants when the price per Ordinary Share traded in the form of ADS equals or exceeds US$18.00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redeem the outstanding Warrants (except as described herein with respect to the Sponsor Warrants):</w:t>
      </w:r>
    </w:p>
    <w:p>
      <w:pPr>
        <w:spacing w:after="0" w:line="198" w:lineRule="exact"/>
        <w:rPr>
          <w:sz w:val="20"/>
          <w:szCs w:val="20"/>
          <w:color w:val="auto"/>
        </w:rPr>
      </w:pPr>
    </w:p>
    <w:p>
      <w:pPr>
        <w:ind w:left="980" w:hanging="324"/>
        <w:spacing w:after="0"/>
        <w:tabs>
          <w:tab w:leader="none" w:pos="9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US$0.01 per Warrant;</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184" w:lineRule="exact"/>
        <w:rPr>
          <w:rFonts w:ascii="Times New Roman" w:cs="Times New Roman" w:eastAsia="Times New Roman" w:hAnsi="Times New Roman"/>
          <w:sz w:val="18"/>
          <w:szCs w:val="18"/>
          <w:color w:val="auto"/>
        </w:rPr>
      </w:pPr>
    </w:p>
    <w:p>
      <w:pPr>
        <w:ind w:left="980" w:right="140" w:hanging="324"/>
        <w:spacing w:after="0" w:line="261" w:lineRule="auto"/>
        <w:tabs>
          <w:tab w:leader="none" w:pos="9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Ordinary Shares traded in the form of ADSs equals or exceeds US$18.00 per share (as adjusted for adjustments to the number of shares issuable upon exercise or the exercise price of a Warrant as described under the heading “—Warrants—Public Warrants—Anti-Dilution Adjustments”) for any 20 trading days within a 30-trading day period ending three trading days before we send the notice of redemption to the Warrant holders.</w:t>
      </w:r>
    </w:p>
    <w:p>
      <w:pPr>
        <w:spacing w:after="0" w:line="13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traded in the form of ADSs may fall below the US$18.00 redemption trigger price (as adjusted for adjustments to the number of shares issuable upon exercise or the exercise price of a Warrant as described under the heading “—Warrants—Public Warrants—Anti-dilution Adjustments”) as well as the US$11.50 (for whole shares) Warrant exercise price after the redemption notice is issued.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when the price per Ordinary Share traded in the form of ADS equals or exceeds US$10.00.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redeem the outstanding warrants:</w:t>
      </w:r>
    </w:p>
    <w:p>
      <w:pPr>
        <w:spacing w:after="0" w:line="198" w:lineRule="exact"/>
        <w:rPr>
          <w:sz w:val="20"/>
          <w:szCs w:val="20"/>
          <w:color w:val="auto"/>
        </w:rPr>
      </w:pPr>
    </w:p>
    <w:p>
      <w:pPr>
        <w:ind w:left="980" w:hanging="324"/>
        <w:spacing w:after="0"/>
        <w:tabs>
          <w:tab w:leader="none" w:pos="9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8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US$0.10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the Ordinary Shares (as defined below) except as otherwise described below;</w:t>
      </w:r>
    </w:p>
    <w:p>
      <w:pPr>
        <w:spacing w:after="0" w:line="139" w:lineRule="exact"/>
        <w:rPr>
          <w:rFonts w:ascii="Times New Roman" w:cs="Times New Roman" w:eastAsia="Times New Roman" w:hAnsi="Times New Roman"/>
          <w:sz w:val="18"/>
          <w:szCs w:val="18"/>
          <w:color w:val="auto"/>
        </w:rPr>
      </w:pPr>
    </w:p>
    <w:p>
      <w:pPr>
        <w:jc w:val="both"/>
        <w:ind w:left="980" w:right="120" w:hanging="324"/>
        <w:spacing w:after="0" w:line="258" w:lineRule="auto"/>
        <w:tabs>
          <w:tab w:leader="none" w:pos="9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Ordinary Shares traded in the form of ADSs equals or exceeds US$10.00 per share (as adjusted for adjustments to the number of shares issuable upon exercise or the exercise price of a warrant as described in the 2023 20-F under the heading “—Warrants—Public Warrants—Anti-Dilution Adjustments”) for any 20 trading days within the 30-trading day period ending three trading days before we send the notice of redemption to the warrant holders; and</w:t>
      </w:r>
    </w:p>
    <w:p>
      <w:pPr>
        <w:spacing w:after="0" w:line="142" w:lineRule="exact"/>
        <w:rPr>
          <w:rFonts w:ascii="Times New Roman" w:cs="Times New Roman" w:eastAsia="Times New Roman" w:hAnsi="Times New Roman"/>
          <w:sz w:val="18"/>
          <w:szCs w:val="18"/>
          <w:color w:val="auto"/>
        </w:rPr>
      </w:pPr>
    </w:p>
    <w:p>
      <w:pPr>
        <w:ind w:left="980" w:right="20" w:hanging="324"/>
        <w:spacing w:after="0" w:line="256" w:lineRule="auto"/>
        <w:tabs>
          <w:tab w:leader="none" w:pos="9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Ordinary Shares traded in the form of ADSs for any 20 trading days within a 30-trading day period ending on the third trading day prior to the date on which we send the notice of redemption to the warrant holders is less than US$18.00 per share (as adjusted for adjustments to the number of shares issuable upon exercise or the exercise price of a warrant as described under the heading “—Warrants—Public Warrants—Anti-Dilution Adjustments”), the Sponsor Warrants must also be concurrently called for redemption on the same terms as the outstanding Public Warrants, as described above.</w:t>
      </w:r>
    </w:p>
    <w:p>
      <w:pPr>
        <w:spacing w:after="0" w:line="14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Beginning on the date the notice of redemption is given until the Warrants are redeemed or exercised, holders may elect to exercise their Warrants on a cashless basis. The number of Ordinary Shares in the form of ADSs that a warrant holder will receive upon such cashless exercise in connection with a redemption by us pursuant to this redemption feature is determined based on the terms of the Warrant Agreement.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the number of issued and outstanding Ordinary Shares is increased by a capitalization or share dividend payable in Ordinary Shares, or by a subdivision of ordinary shares or other similar event, then, on the effective date of such capitalization or share dividend, subdivision or similar event, the number of Ordinary Shares (in the form of ADSs) issuable on exercise of each Warrant will be increased in proportion to such increase in the outstanding ordinary shares. A rights offering made to all or substantially all holders of ordinary shares entitling holders to purchase Ordinary Shares at a price less than the “historical fair market value” (as defined below) will be deemed a share dividend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Class A Ordinary Share paid in such rights offering and (y) the historical fair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474345</wp:posOffset>
            </wp:positionV>
            <wp:extent cx="6292215" cy="260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9" w:right="1019" w:bottom="1440" w:gutter="0" w:footer="0" w:header="0"/>
        </w:sectPr>
      </w:pPr>
    </w:p>
    <w:bookmarkStart w:id="415" w:name="page416"/>
    <w:bookmarkEnd w:id="415"/>
    <w:p>
      <w:pPr>
        <w:ind w:right="80"/>
        <w:spacing w:after="0" w:line="256" w:lineRule="auto"/>
        <w:rPr>
          <w:sz w:val="20"/>
          <w:szCs w:val="20"/>
          <w:color w:val="auto"/>
        </w:rPr>
      </w:pPr>
      <w:r>
        <w:rPr>
          <w:rFonts w:ascii="Times New Roman" w:cs="Times New Roman" w:eastAsia="Times New Roman" w:hAnsi="Times New Roman"/>
          <w:sz w:val="18"/>
          <w:szCs w:val="18"/>
          <w:color w:val="auto"/>
        </w:rPr>
        <w:t>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“historical fair market value” means the volume weighted average price of Ordinary Shares traded in the form of ADSs as reported during the 10-trading day period ending on the trading day prior to the first date on which the Ordinary Shares trade in the form of ADS on the applicable exchange or in the applicable market, regular way, without the right to receive such rights.</w:t>
      </w:r>
    </w:p>
    <w:p>
      <w:pPr>
        <w:spacing w:after="0" w:line="14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of the holders of the Ordinary Shares on account of such Ordinary Shares (or other securities into which the Warrants are convertible), other than (a) as described above, or (b) any cash dividends or cash distributions which, when combined on a per share basis with all other cash dividends and cash distributions paid on the Ordinary Shares during the 365-day period ending on the date of declaration of such dividend or distribution does not exceed US$0.50 (as adjusted to appropriately reflect any other adjustments and excluding cash dividends or cash distributions that resulted in an adjustment to the exercise price or to the number of Ordinary Shares issuable on exercise of each Warrant) but only with respect to the amount of the aggregate cash dividends or cash distributions equal to or less than US$0.50 per share, then the Warrant exercise price will be decreased, effective immediately after the effective date of such event, by the amount of cash and/or the fair market value of any securities or other assets paid on each Ordinary Share in respect of such event.</w:t>
      </w:r>
    </w:p>
    <w:p>
      <w:pPr>
        <w:spacing w:after="0" w:line="16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If the number of issued and outstanding Ordinary Shares is decreased by a consolidation or reclassification of Ordinary Shares or other similar event, then, on the effective date of such consolidation, reclassification or similar event, the number of Ordinary Shares issuable on exercise of each Warrant will be decreased in proportion to such decrease in issued and outstanding Ordinary Shares.</w:t>
      </w:r>
    </w:p>
    <w:p>
      <w:pPr>
        <w:spacing w:after="0" w:line="135" w:lineRule="exact"/>
        <w:rPr>
          <w:sz w:val="20"/>
          <w:szCs w:val="20"/>
          <w:color w:val="auto"/>
        </w:rPr>
      </w:pPr>
    </w:p>
    <w:p>
      <w:pPr>
        <w:ind w:right="300" w:firstLine="648"/>
        <w:spacing w:after="0" w:line="276" w:lineRule="auto"/>
        <w:rPr>
          <w:sz w:val="20"/>
          <w:szCs w:val="20"/>
          <w:color w:val="auto"/>
        </w:rPr>
      </w:pPr>
      <w:r>
        <w:rPr>
          <w:rFonts w:ascii="Times New Roman" w:cs="Times New Roman" w:eastAsia="Times New Roman" w:hAnsi="Times New Roman"/>
          <w:sz w:val="17"/>
          <w:szCs w:val="17"/>
          <w:color w:val="auto"/>
        </w:rPr>
        <w:t>Whenever the number of Ordinary Shares purchasable upon the exercise of the Warrants is adjusted, as described above, the Warrant exercise price will be adjusted by multiplying the Warrant exercise price immediately prior to such adjustment by a fraction</w:t>
      </w:r>
    </w:p>
    <w:p>
      <w:pPr>
        <w:spacing w:after="0" w:line="1" w:lineRule="exact"/>
        <w:rPr>
          <w:sz w:val="20"/>
          <w:szCs w:val="20"/>
          <w:color w:val="auto"/>
        </w:rPr>
      </w:pPr>
    </w:p>
    <w:p>
      <w:pPr>
        <w:ind w:right="260" w:firstLine="8"/>
        <w:spacing w:after="0" w:line="255" w:lineRule="auto"/>
        <w:tabs>
          <w:tab w:leader="none" w:pos="25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will be the number of Ordinary Shares purchasable in the form of ADSs upon the exercise of the Warrants immediately prior to such adjustment and (y) the denominator of which will be the number of Ordinary Shares so purchasable in the form of ADSs immediately thereafter.</w:t>
      </w:r>
    </w:p>
    <w:p>
      <w:pPr>
        <w:spacing w:after="0" w:line="14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issued and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the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in the form of ADSs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is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65%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Ordinary Shares in such a transaction is payable in the form of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60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16" w:name="page417"/>
    <w:bookmarkEnd w:id="416"/>
    <w:p>
      <w:pPr>
        <w:ind w:right="200" w:firstLine="648"/>
        <w:spacing w:after="0" w:line="270" w:lineRule="auto"/>
        <w:rPr>
          <w:sz w:val="20"/>
          <w:szCs w:val="20"/>
          <w:color w:val="auto"/>
        </w:rPr>
      </w:pPr>
      <w:r>
        <w:rPr>
          <w:rFonts w:ascii="Times New Roman" w:cs="Times New Roman" w:eastAsia="Times New Roman" w:hAnsi="Times New Roman"/>
          <w:sz w:val="17"/>
          <w:szCs w:val="17"/>
          <w:color w:val="auto"/>
        </w:rPr>
        <w:t>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annual report, or defective provision (ii) amending the provisions relating to cash dividends on ordinary shares as contemplated by and in accordance with the Warrant Agreement or</w:t>
      </w:r>
    </w:p>
    <w:p>
      <w:pPr>
        <w:spacing w:after="0" w:line="3" w:lineRule="exact"/>
        <w:rPr>
          <w:sz w:val="20"/>
          <w:szCs w:val="20"/>
          <w:color w:val="auto"/>
        </w:rPr>
      </w:pPr>
    </w:p>
    <w:p>
      <w:pPr>
        <w:ind w:right="80" w:firstLine="8"/>
        <w:spacing w:after="0" w:line="253" w:lineRule="auto"/>
        <w:tabs>
          <w:tab w:leader="none" w:pos="31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65% of the then-outstanding Public Warrants is required to make any change that adversely affects the interests of the registered holders.</w:t>
      </w:r>
    </w:p>
    <w:p>
      <w:pPr>
        <w:spacing w:after="0" w:line="14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ordinary shares and any voting rights until they exercise their Warrants and receive Ordinary Shares in the form of ADSs.</w:t>
      </w:r>
    </w:p>
    <w:p>
      <w:pPr>
        <w:spacing w:after="0" w:line="13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it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suits brought to enforce any liability or duty created by the Exchange Act or any claim for which the federal district courts of the U.S. are the sole and exclusive forum.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Warrants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described below, the Sponsor Warrants have terms and provisions that are identical to those of the Public Warrants.</w:t>
      </w:r>
    </w:p>
    <w:p>
      <w:pPr>
        <w:spacing w:after="0" w:line="19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Sponsor Warrants will not be redeemable by us so long as they are held by the Sponsor or its permitted transferees (except as otherwise set forth herein) except as discussed in “—Warrants—Public Warrants—Redemption of Warrants when the price per Ordinary Share traded in the form of ADS equals or exceeds US$10.00”. If the Sponsor Warrants are held by holders other than the Sponsor or its permitted transferees, the Sponsor Warrants will be redeemable by us in all redemption scenarios and exercisable by the holders on the same basis as the Warrants.</w:t>
      </w:r>
    </w:p>
    <w:p>
      <w:pPr>
        <w:spacing w:after="0" w:line="14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Sponsor, or its permitted transferees, has the option to exercise the Sponsor Warrants on a cashless basis. If holders of the Sponsor Warrants elect to exercise them on a cashless basis, they would pay the exercise price by surrendering his, her or its Sponsor Warrants for that number of Ordinary Shares in the form of ADSs equal to the quotient obtained by dividing (x) the product of the number of Ordinary Shares underlying the Sponsor Warrants, multiplied by the excess of the “Sponsor fair market value” (defined below) over the exercise price of the Sponsor Warrants by (y) the Sponsor fair market value. For these purposes, the “Sponsor fair market value” shall mean the average reported closing price of the Ordinary Shares traded in the form of ADSs for the 10 trading days ending on the third trading day prior to the date on which the notice of Sponsor Warrant exercise is sent to the Warrant agent.</w:t>
      </w:r>
    </w:p>
    <w:p>
      <w:pPr>
        <w:spacing w:after="0" w:line="14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Any amendment to the terms of the Sponsor Warrants or any provision of the Warrant Agreement with respect to the Sponsor Warrants will require a vote of holders of at least 65% of the number of the then outstanding Sponsor Warrants.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 (Item 12.C of Form 20-F)</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 (Items 12.D.1 and 12.D.2 of Form 20-F)</w:t>
      </w:r>
    </w:p>
    <w:p>
      <w:pPr>
        <w:spacing w:after="0" w:line="20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Deutsche Bank Trust Company Americas, as depositary, will register and deliver the ADSs. Each ADS will represent ownership of one Ordinary Share, deposited with Deutsche Bank AG, Hong Kong Branch, as custodian for the depositary. Each ADS will also represent ownership of any other securities, cash or other property which may be held by the depositary. The depositary’s corporate trust office at which the ADSs will be administered is located at 1 Columbus Circle, New York, NY 10019, USA. The principal executive office of the depositary is located at 1 Columbus Circle, New York, NY 10019, USA.</w:t>
      </w:r>
    </w:p>
    <w:p>
      <w:pPr>
        <w:spacing w:after="0" w:line="143"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35" w:lineRule="exact"/>
        <w:rPr>
          <w:sz w:val="20"/>
          <w:szCs w:val="20"/>
          <w:color w:val="auto"/>
        </w:rPr>
      </w:pPr>
    </w:p>
    <w:p>
      <w:pPr>
        <w:jc w:val="both"/>
        <w:ind w:right="320" w:firstLine="648"/>
        <w:spacing w:after="0" w:line="258" w:lineRule="auto"/>
        <w:rPr>
          <w:sz w:val="20"/>
          <w:szCs w:val="20"/>
          <w:color w:val="auto"/>
        </w:rPr>
      </w:pPr>
      <w:r>
        <w:rPr>
          <w:rFonts w:ascii="Times New Roman" w:cs="Times New Roman" w:eastAsia="Times New Roman" w:hAnsi="Times New Roman"/>
          <w:sz w:val="18"/>
          <w:szCs w:val="18"/>
          <w:color w:val="auto"/>
        </w:rPr>
        <w:t>We will not treat ADS holders as our shareholders and accordingly, you, as an ADS holder, will not have shareholder rights. Cayman Islands law governs shareholder rights. The depositary will be the holder of the ordinary shares underlying your ADSs. As a holder of ADSs, you will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 See “— Jurisdiction and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591185</wp:posOffset>
            </wp:positionV>
            <wp:extent cx="629221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7" w:name="page418"/>
    <w:bookmarkEnd w:id="417"/>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Additional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the ADSs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will you hold your ADSs?</w:t>
      </w:r>
    </w:p>
    <w:p>
      <w:pPr>
        <w:spacing w:after="0" w:line="18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You may hold ADSs either (1) directly (a) by having an American Depositary Receipt, or ADR, which is a certificate evidencing a specific number of ADSs, registered in your name, or (b) by holding ADSs in DRS, or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will you receive dividends and other distributions on the shares?</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depositary has agreed to pay to you the cash dividends or other distributions it or the custodian receives on ordinary shares or other deposited securities, after deducting its fees and expenses. You will receive these distributions in proportion to the number of ordinary shares your ADSs represent as of the record date (which will be as close as practicable to the record date for our ordinary shares) set by the depositary with respect to the ADSs.</w:t>
      </w:r>
    </w:p>
    <w:p>
      <w:pPr>
        <w:spacing w:after="0" w:line="135" w:lineRule="exact"/>
        <w:rPr>
          <w:sz w:val="20"/>
          <w:szCs w:val="20"/>
          <w:color w:val="auto"/>
        </w:rPr>
      </w:pPr>
    </w:p>
    <w:p>
      <w:pPr>
        <w:jc w:val="both"/>
        <w:ind w:left="980" w:hanging="324"/>
        <w:spacing w:after="0" w:line="254" w:lineRule="auto"/>
        <w:tabs>
          <w:tab w:leader="none" w:pos="9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Cash</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000000"/>
        </w:rPr>
        <w:t>The depositary will convert or cause to be converted any cash dividend or other cash distribution we pay on the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000000"/>
        </w:rPr>
        <w:t>ordinary shares or any net proceeds from the sale of any ordinary shares, rights, securities or other entitlements under the terms of the deposit agreement into U.S. dollars if it can do so on a practicable basis, and can transfer the U.S. dollars to the U.S.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14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making a distribution, any taxes or other governmental charges, together with fees and expenses of the depositary, that must be paid, will be deducted. See “Taxation.” It will distribute only whole U.S. dollars and cents and will round down fractional cents to the nearest whole cent. If the exchange rates fluctuate during a time when the depositary cannot convert the foreign currency, you may lose some or all of the value of the distribution.</w:t>
      </w:r>
    </w:p>
    <w:p>
      <w:pPr>
        <w:spacing w:after="0" w:line="13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For any ordinary shares we distribute as a dividend or free distribution, either (1) the depositary will distribute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ADSs representing such ordinary shares or (2) existing ADSs as of the applicable record date will represent rights and interests in the additional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ordinary shares which would require it to deliver a fractional ADS and distribute the net proceeds in the same way as it does with cash. The depositary may sell a portion of the distributed ordinary shares sufficient to pay its fees and expenses, and any taxes and governmental charges, in connection with that distribution.</w:t>
      </w:r>
    </w:p>
    <w:p>
      <w:pPr>
        <w:spacing w:after="0" w:line="144"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color w:val="auto"/>
        </w:rPr>
        <w:t>. If we offer holders of our ordinary shares the option to receive dividends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either cash or shares, 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584200</wp:posOffset>
            </wp:positionV>
            <wp:extent cx="629221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8" w:name="page419"/>
    <w:bookmarkEnd w:id="418"/>
    <w:p>
      <w:pPr>
        <w:jc w:val="both"/>
        <w:ind w:left="980" w:hanging="324"/>
        <w:spacing w:after="0" w:line="254" w:lineRule="auto"/>
        <w:tabs>
          <w:tab w:leader="none" w:pos="9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Rights to Purchase Additional Shares</w:t>
      </w:r>
      <w:r>
        <w:rPr>
          <w:rFonts w:ascii="Times New Roman" w:cs="Times New Roman" w:eastAsia="Times New Roman" w:hAnsi="Times New Roman"/>
          <w:sz w:val="18"/>
          <w:szCs w:val="18"/>
          <w:color w:val="auto"/>
        </w:rPr>
        <w:t>. If we offer holders of our ordinary shares any rights to subscribe for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the depositary shall 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151"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ordinary shares (rather than ADSs).</w:t>
      </w:r>
    </w:p>
    <w:p>
      <w:pPr>
        <w:spacing w:after="0" w:line="139"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securities laws may restrict transfers and cancellation of the ADSs represented by shares purchased upon exercise of rights. For example, you may not be able to trade these ADSs freely in the U.S. In this case, the depositary may deliver restricted depositary shares that have the same terms as the ADSs described in this section except for changes needed to put the necessary restrictions in place.</w:t>
      </w:r>
    </w:p>
    <w:p>
      <w:pPr>
        <w:spacing w:after="0" w:line="152"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you will be given the opportunity to exercise rights on the same terms and conditions as the holders of ordinary shares or be able to exercise such rights.</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Distributions</w:t>
      </w:r>
      <w:r>
        <w:rPr>
          <w:rFonts w:ascii="Times New Roman" w:cs="Times New Roman" w:eastAsia="Times New Roman" w:hAnsi="Times New Roman"/>
          <w:sz w:val="18"/>
          <w:szCs w:val="18"/>
          <w:color w:val="auto"/>
        </w:rPr>
        <w:t>. Subject to receipt of timely notice, as described in the deposit agreement, from us with the request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make any such 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15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 Withdrawal and Cancellation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are ADSs issued?</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 ordinary shares or evidence of rights to receive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3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Except for ordinary shares deposited by us in connection with Business Combination, no shares will be accepted for deposit during a period of six months after the date of the Closing. The six-month lock up period is subject to adjustment under certain circumstances as described in the section entitled “Certain Relationships and Related Person Transactions — Certain Business Combination Related Agreements — Lock-up Agreements.”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do ADS holders cancel an American Depositary Share?</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ordinary shares and any other deposited securities underlying the ADSs to you or a person you designate at the office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577850</wp:posOffset>
            </wp:positionV>
            <wp:extent cx="629221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19" w:name="page420"/>
    <w:bookmarkEnd w:id="419"/>
    <w:p>
      <w:pPr>
        <w:ind w:right="360"/>
        <w:spacing w:after="0" w:line="282" w:lineRule="auto"/>
        <w:rPr>
          <w:sz w:val="20"/>
          <w:szCs w:val="20"/>
          <w:color w:val="auto"/>
        </w:rPr>
      </w:pPr>
      <w:r>
        <w:rPr>
          <w:rFonts w:ascii="Times New Roman" w:cs="Times New Roman" w:eastAsia="Times New Roman" w:hAnsi="Times New Roman"/>
          <w:sz w:val="18"/>
          <w:szCs w:val="18"/>
          <w:color w:val="auto"/>
        </w:rPr>
        <w:t>custodian. Or, at your request, risk and expense, the depositary will deliver the deposited securities at its corporate trust office, to the extent permitted by law.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How do </w:t>
      </w:r>
      <w:r>
        <w:rPr>
          <w:rFonts w:ascii="Times New Roman" w:cs="Times New Roman" w:eastAsia="Times New Roman" w:hAnsi="Times New Roman"/>
          <w:sz w:val="18"/>
          <w:szCs w:val="18"/>
          <w:color w:val="auto"/>
        </w:rPr>
        <w:t>ADS</w:t>
      </w:r>
      <w:r>
        <w:rPr>
          <w:rFonts w:ascii="Times New Roman" w:cs="Times New Roman" w:eastAsia="Times New Roman" w:hAnsi="Times New Roman"/>
          <w:sz w:val="18"/>
          <w:szCs w:val="18"/>
          <w:i w:val="1"/>
          <w:iCs w:val="1"/>
          <w:color w:val="auto"/>
        </w:rPr>
        <w:t xml:space="preserve"> holders interchange between Certificated ADSs and Uncertificated ADSs?</w:t>
      </w:r>
    </w:p>
    <w:p>
      <w:pPr>
        <w:spacing w:after="0" w:line="20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do you vote?</w:t>
      </w:r>
    </w:p>
    <w:p>
      <w:pPr>
        <w:spacing w:after="0" w:line="20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You may instruct the depositary to vote the ordinary shares or other deposited securities underlying your ADSs at any meeting at which you are entitled to vote pursuant to any applicable law, the provisions of the Memorandum and Articles of Association, and the provisions of or governing the deposited securities. </w:t>
      </w:r>
      <w:r>
        <w:rPr>
          <w:rFonts w:ascii="Times New Roman" w:cs="Times New Roman" w:eastAsia="Times New Roman" w:hAnsi="Times New Roman"/>
          <w:sz w:val="18"/>
          <w:szCs w:val="18"/>
          <w:i w:val="1"/>
          <w:iCs w:val="1"/>
          <w:color w:val="auto"/>
        </w:rPr>
        <w:t>Otherwise, you could exercise your right to vote directly if you withdraw the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However, you may not know about the meeting sufficiently enough in advance to withdraw the ordinary shares.</w:t>
      </w:r>
    </w:p>
    <w:p>
      <w:pPr>
        <w:spacing w:after="0" w:line="13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the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the Memorandum and Articles of Association, and the provisions of or governing the deposited securities, to instruct the depositary as to the exercise of the voting rights, if any, pertaining to the ordinary shares or other deposited securities represented by such holder’s ADSs; and (c) a brief statement as to the manner in which such instructions may be given to the depositary or deemed given in accordance with the second to last sentence of this paragraph if no instruction is received by the depositary to give a discretionary proxy to a person designated by us. Voting instructions may be given only in respect of a number of ADSs representing an integral number of ordinary shares or other deposited securities. For instructions to be valid, the depositary must receive them in writing on or before the date specified. The depositary will try, as far as practical, subject to applicable law and the provisions of the Memorandum and Articles of Association, to vote or to have its agents vote the ordinary shares or other deposited securities (in person or by proxy) as you instruct. The depositary will only vote or attempt to vote as you instruct.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ordinary shares.</w:t>
      </w:r>
    </w:p>
    <w:p>
      <w:pPr>
        <w:spacing w:after="0" w:line="14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cannot assure you that you will receive the voting materials in time to ensure that you can instruct the depositary to vote the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ordinary shares.</w:t>
      </w:r>
    </w:p>
    <w:p>
      <w:pPr>
        <w:spacing w:after="0" w:line="153"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depositary and its agents are not responsible for failing to carry out voting instructions or for the manner of carrying out voting instructions. </w:t>
      </w:r>
      <w:r>
        <w:rPr>
          <w:rFonts w:ascii="Times New Roman" w:cs="Times New Roman" w:eastAsia="Times New Roman" w:hAnsi="Times New Roman"/>
          <w:sz w:val="18"/>
          <w:szCs w:val="18"/>
          <w:i w:val="1"/>
          <w:iCs w:val="1"/>
          <w:color w:val="auto"/>
        </w:rPr>
        <w:t>This means that you may not be able to exercise your right to vote and you may have no recourse if the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underlying your ADSs are not voted as you requested.</w:t>
      </w:r>
    </w:p>
    <w:p>
      <w:pPr>
        <w:spacing w:after="0" w:line="13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577850</wp:posOffset>
            </wp:positionV>
            <wp:extent cx="6292215" cy="260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Regulations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Requests</w:t>
      </w:r>
    </w:p>
    <w:p>
      <w:pPr>
        <w:spacing w:after="0" w:line="20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Each ADS holder and beneficial owner shall (a) provide such information as we or the depositary may request pursuant to law, including, without limitation, applicable law of the Cayman Islands or the U.S., the Memorandum and Articles of Association, any resolutions of our Board of Directors adopted pursuant to such memorandum and articles of association, the requirements of any markets or exchanges upon which the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 (b) be bound by and subject to applicable provisions of the laws of the Cayman Islands, the Memorandum and Articles of Association, and the requirements of any markets or exchanges upon which the ADSs, ADRs or ordinary shares are listed or traded, or pursuant to any requirements of any electronic book-entry system by which the ADSs, ADRs or ordinary shares may be transferred, to the same extent as if such ADS holder or beneficial owner held ordinary shares directly, in each case irrespective of whether or not they are ADS holders or beneficial owners at the time such request is made.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Interests</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Each ADS holder and beneficial owner shall comply with our requests pursuant to Cayman Islands law, the rules and requirements of the Nasdaq and any other stock exchange on which the ordinary shares are, or will be, registered, traded or listed or the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18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31"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6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280" w:type="dxa"/>
            <w:vAlign w:val="bottom"/>
          </w:tcPr>
          <w:p>
            <w:pPr>
              <w:spacing w:after="0"/>
              <w:rPr>
                <w:sz w:val="20"/>
                <w:szCs w:val="20"/>
                <w:color w:val="auto"/>
              </w:rPr>
            </w:pPr>
          </w:p>
        </w:tc>
        <w:tc>
          <w:tcPr>
            <w:tcW w:w="358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Fees</w:t>
            </w:r>
          </w:p>
        </w:tc>
      </w:tr>
      <w:tr>
        <w:trPr>
          <w:trHeight w:val="191"/>
        </w:trPr>
        <w:tc>
          <w:tcPr>
            <w:tcW w:w="20" w:type="dxa"/>
            <w:vAlign w:val="bottom"/>
          </w:tcPr>
          <w:p>
            <w:pPr>
              <w:spacing w:after="0"/>
              <w:rPr>
                <w:sz w:val="16"/>
                <w:szCs w:val="16"/>
                <w:color w:val="auto"/>
              </w:rPr>
            </w:pPr>
          </w:p>
        </w:tc>
        <w:tc>
          <w:tcPr>
            <w:tcW w:w="4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To any person to which ADSs are issued or to any</w:t>
            </w:r>
          </w:p>
        </w:tc>
        <w:tc>
          <w:tcPr>
            <w:tcW w:w="280" w:type="dxa"/>
            <w:vAlign w:val="bottom"/>
          </w:tcPr>
          <w:p>
            <w:pPr>
              <w:spacing w:after="0"/>
              <w:rPr>
                <w:sz w:val="16"/>
                <w:szCs w:val="16"/>
                <w:color w:val="auto"/>
              </w:rPr>
            </w:pPr>
          </w:p>
        </w:tc>
        <w:tc>
          <w:tcPr>
            <w:tcW w:w="3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6"/>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 to which a distribution is made in respect of</w:t>
            </w:r>
          </w:p>
        </w:tc>
        <w:tc>
          <w:tcPr>
            <w:tcW w:w="28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ADS distributions pursuant to stock dividends or</w:t>
            </w:r>
          </w:p>
        </w:tc>
        <w:tc>
          <w:tcPr>
            <w:tcW w:w="28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free distributions of stock, bonus distributions,</w:t>
            </w:r>
          </w:p>
        </w:tc>
        <w:tc>
          <w:tcPr>
            <w:tcW w:w="28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splits or other distributions (except where</w:t>
            </w:r>
          </w:p>
        </w:tc>
        <w:tc>
          <w:tcPr>
            <w:tcW w:w="28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converted to cash)</w:t>
            </w:r>
          </w:p>
        </w:tc>
        <w:tc>
          <w:tcPr>
            <w:tcW w:w="28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Cancellation of ADSs, including in the case of</w:t>
            </w:r>
          </w:p>
        </w:tc>
        <w:tc>
          <w:tcPr>
            <w:tcW w:w="3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Up to US$0.05 per ADS cancelled</w:t>
            </w:r>
          </w:p>
        </w:tc>
      </w:tr>
      <w:tr>
        <w:trPr>
          <w:trHeight w:val="216"/>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 of the deposit agreement</w:t>
            </w:r>
          </w:p>
        </w:tc>
        <w:tc>
          <w:tcPr>
            <w:tcW w:w="28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3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Distribution of cash entitlements (other than cash</w:t>
            </w:r>
          </w:p>
        </w:tc>
        <w:tc>
          <w:tcPr>
            <w:tcW w:w="3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16"/>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 and/or cash proceeds from the sale of</w:t>
            </w:r>
          </w:p>
        </w:tc>
        <w:tc>
          <w:tcPr>
            <w:tcW w:w="28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rights, securities and other entitlements</w:t>
            </w:r>
          </w:p>
        </w:tc>
        <w:tc>
          <w:tcPr>
            <w:tcW w:w="28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Distribution of ADSs pursuant to exercise of rights.</w:t>
            </w:r>
          </w:p>
        </w:tc>
        <w:tc>
          <w:tcPr>
            <w:tcW w:w="3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Distribution of securities other than ADSs or rights</w:t>
            </w:r>
          </w:p>
        </w:tc>
        <w:tc>
          <w:tcPr>
            <w:tcW w:w="3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16"/>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 purchase additional ADSs</w:t>
            </w:r>
          </w:p>
        </w:tc>
        <w:tc>
          <w:tcPr>
            <w:tcW w:w="28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Depositary services</w:t>
            </w:r>
          </w:p>
        </w:tc>
        <w:tc>
          <w:tcPr>
            <w:tcW w:w="3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Up to US$0.05 per ADS held on the applicable</w:t>
            </w: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record date(s) established by the depositary bank</w:t>
            </w:r>
          </w:p>
        </w:tc>
      </w:tr>
    </w:tbl>
    <w:p>
      <w:pPr>
        <w:spacing w:after="0" w:line="19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49" w:lineRule="exact"/>
        <w:rPr>
          <w:sz w:val="20"/>
          <w:szCs w:val="20"/>
          <w:color w:val="auto"/>
        </w:rPr>
      </w:pPr>
    </w:p>
    <w:p>
      <w:pPr>
        <w:ind w:left="980" w:hanging="324"/>
        <w:spacing w:after="0" w:line="282" w:lineRule="auto"/>
        <w:tabs>
          <w:tab w:leader="none" w:pos="9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21" w:name="page422"/>
    <w:bookmarkEnd w:id="421"/>
    <w:p>
      <w:pPr>
        <w:ind w:left="520" w:hanging="324"/>
        <w:spacing w:after="0"/>
        <w:tabs>
          <w:tab w:leader="none" w:pos="52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184" w:lineRule="exact"/>
        <w:rPr>
          <w:rFonts w:ascii="Times New Roman" w:cs="Times New Roman" w:eastAsia="Times New Roman" w:hAnsi="Times New Roman"/>
          <w:sz w:val="18"/>
          <w:szCs w:val="18"/>
          <w:color w:val="auto"/>
        </w:rPr>
      </w:pPr>
    </w:p>
    <w:p>
      <w:pPr>
        <w:ind w:left="520" w:hanging="324"/>
        <w:spacing w:after="0" w:line="282" w:lineRule="auto"/>
        <w:tabs>
          <w:tab w:leader="none" w:pos="52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121" w:lineRule="exact"/>
        <w:rPr>
          <w:rFonts w:ascii="Times New Roman" w:cs="Times New Roman" w:eastAsia="Times New Roman" w:hAnsi="Times New Roman"/>
          <w:sz w:val="18"/>
          <w:szCs w:val="18"/>
          <w:color w:val="auto"/>
        </w:rPr>
      </w:pPr>
    </w:p>
    <w:p>
      <w:pPr>
        <w:ind w:left="520" w:hanging="324"/>
        <w:spacing w:after="0"/>
        <w:tabs>
          <w:tab w:leader="none" w:pos="52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ordinary shares on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608965</wp:posOffset>
            </wp:positionV>
            <wp:extent cx="629221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21" w:right="1019" w:bottom="1440" w:gutter="0" w:footer="0" w:header="0"/>
        </w:sectPr>
      </w:pPr>
    </w:p>
    <w:bookmarkStart w:id="422" w:name="page423"/>
    <w:bookmarkEnd w:id="422"/>
    <w:p>
      <w:pPr>
        <w:ind w:left="980" w:hanging="324"/>
        <w:spacing w:after="0" w:line="282" w:lineRule="auto"/>
        <w:tabs>
          <w:tab w:leader="none" w:pos="9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ordinary shares, deposited securities, ADSs and ADRs.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18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4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6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35"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Taxes</w:t>
      </w:r>
    </w:p>
    <w:p>
      <w:pPr>
        <w:spacing w:after="0" w:line="20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ectPr>
          <w:pgSz w:w="11900" w:h="16838" w:orient="portrait"/>
          <w:cols w:equalWidth="0" w:num="1">
            <w:col w:w="9920"/>
          </w:cols>
          <w:pgMar w:left="980" w:top="121" w:right="999" w:bottom="1440" w:gutter="0" w:footer="0" w:header="0"/>
        </w:sectPr>
      </w:pP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 Recapitalizations and Mergers</w:t>
      </w:r>
    </w:p>
    <w:p>
      <w:pPr>
        <w:spacing w:after="0" w:line="18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If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19685</wp:posOffset>
            </wp:positionV>
            <wp:extent cx="258000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4">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Change the nominal or par value of our ordinary shares</w:t>
      </w:r>
    </w:p>
    <w:p>
      <w:pPr>
        <w:spacing w:after="0" w:line="220" w:lineRule="exact"/>
        <w:rPr>
          <w:sz w:val="20"/>
          <w:szCs w:val="20"/>
          <w:color w:val="auto"/>
        </w:rPr>
      </w:pPr>
    </w:p>
    <w:p>
      <w:pPr>
        <w:ind w:left="1000" w:right="60"/>
        <w:spacing w:after="0" w:line="261" w:lineRule="auto"/>
        <w:rPr>
          <w:sz w:val="20"/>
          <w:szCs w:val="20"/>
          <w:color w:val="auto"/>
        </w:rPr>
      </w:pPr>
      <w:r>
        <w:rPr>
          <w:rFonts w:ascii="Times New Roman" w:cs="Times New Roman" w:eastAsia="Times New Roman" w:hAnsi="Times New Roman"/>
          <w:sz w:val="18"/>
          <w:szCs w:val="18"/>
          <w:color w:val="auto"/>
        </w:rPr>
        <w:t>Reclassify, split up or consolidate any of the deposited securities</w:t>
      </w:r>
    </w:p>
    <w:p>
      <w:pPr>
        <w:ind w:left="1000" w:right="40"/>
        <w:spacing w:after="0" w:line="253" w:lineRule="auto"/>
        <w:rPr>
          <w:sz w:val="20"/>
          <w:szCs w:val="20"/>
          <w:color w:val="auto"/>
        </w:rPr>
      </w:pPr>
      <w:r>
        <w:rPr>
          <w:rFonts w:ascii="Times New Roman" w:cs="Times New Roman" w:eastAsia="Times New Roman" w:hAnsi="Times New Roman"/>
          <w:sz w:val="18"/>
          <w:szCs w:val="18"/>
          <w:color w:val="auto"/>
        </w:rPr>
        <w:t>Distribute securities on the ordinary shares that are not distributed to you, or recapitalize, reorganize, merge, liquidate, sell all or substantially all of our assets, or take any similar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748665</wp:posOffset>
            </wp:positionV>
            <wp:extent cx="629221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wp:posOffset>
            </wp:positionV>
            <wp:extent cx="227139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6">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1" w:lineRule="exact"/>
        <w:rPr>
          <w:sz w:val="20"/>
          <w:szCs w:val="20"/>
          <w:color w:val="auto"/>
        </w:rPr>
      </w:pPr>
    </w:p>
    <w:p>
      <w:pPr>
        <w:jc w:val="both"/>
        <w:ind w:right="1100"/>
        <w:spacing w:after="0" w:line="254" w:lineRule="auto"/>
        <w:rPr>
          <w:sz w:val="20"/>
          <w:szCs w:val="20"/>
          <w:color w:val="auto"/>
        </w:rPr>
      </w:pPr>
      <w:r>
        <w:rPr>
          <w:rFonts w:ascii="Times New Roman" w:cs="Times New Roman" w:eastAsia="Times New Roman" w:hAnsi="Times New Roman"/>
          <w:sz w:val="18"/>
          <w:szCs w:val="18"/>
          <w:color w:val="auto"/>
        </w:rPr>
        <w:t>The cash, shares or other securities received by the depositary will become deposited securities. Each ADS will automatically represent its equal share of the new deposited securities.</w:t>
      </w:r>
    </w:p>
    <w:p>
      <w:pPr>
        <w:spacing w:after="0" w:line="1" w:lineRule="exact"/>
        <w:rPr>
          <w:sz w:val="20"/>
          <w:szCs w:val="20"/>
          <w:color w:val="auto"/>
        </w:rPr>
      </w:pPr>
    </w:p>
    <w:p>
      <w:pPr>
        <w:ind w:right="1020"/>
        <w:spacing w:after="0" w:line="253" w:lineRule="auto"/>
        <w:rPr>
          <w:sz w:val="20"/>
          <w:szCs w:val="20"/>
          <w:color w:val="auto"/>
        </w:rPr>
      </w:pPr>
      <w:r>
        <w:rPr>
          <w:rFonts w:ascii="Times New Roman" w:cs="Times New Roman" w:eastAsia="Times New Roman" w:hAnsi="Times New Roman"/>
          <w:sz w:val="18"/>
          <w:szCs w:val="18"/>
          <w:color w:val="auto"/>
        </w:rPr>
        <w:t>The depositary may distribute some or all of the cash, shares or other securities it received. It may also deliver new ADSs or ask you to surrender your outstanding ADRs in exchange for new ADRs identifying the new deposited securities.</w:t>
      </w:r>
    </w:p>
    <w:p>
      <w:pPr>
        <w:sectPr>
          <w:pgSz w:w="11900" w:h="16838" w:orient="portrait"/>
          <w:cols w:equalWidth="0" w:num="2">
            <w:col w:w="4980" w:space="360"/>
            <w:col w:w="4580"/>
          </w:cols>
          <w:pgMar w:left="980" w:top="121" w:right="999" w:bottom="1440" w:gutter="0" w:footer="0" w:header="0"/>
          <w:type w:val="continuous"/>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may the deposit agreement be amended?</w:t>
      </w:r>
    </w:p>
    <w:p>
      <w:pPr>
        <w:spacing w:after="0" w:line="20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 If any new laws are adopted which would require the deposit agreement to be amended in order to comply therewith, we and the depositary may amend the deposit agreement in accordance with such laws and such amendment may become effective before notice thereof is given to ADS 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may the deposit agreement be terminated?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53"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Books of Depositary</w:t>
      </w:r>
    </w:p>
    <w:p>
      <w:pPr>
        <w:spacing w:after="0" w:line="18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spacing w:after="0" w:line="14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depositary will maintain facilities in the Borough of Manhattan, The City of New York to record and process the issuance, cancellation, combination, split-up and transfer of ADRs.</w:t>
      </w:r>
    </w:p>
    <w:p>
      <w:pPr>
        <w:spacing w:after="0" w:line="121"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Obligations and Liability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Limits on our Obligations and the Obligations of the Depositary and the Custodian; Limits on Liability to Holders of ADSs</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and the custodian. It also limits our liability and the liability of the depositary. The depositary and the custodian:</w:t>
      </w:r>
    </w:p>
    <w:p>
      <w:pPr>
        <w:spacing w:after="0" w:line="121" w:lineRule="exact"/>
        <w:rPr>
          <w:sz w:val="20"/>
          <w:szCs w:val="20"/>
          <w:color w:val="auto"/>
        </w:rPr>
      </w:pPr>
    </w:p>
    <w:p>
      <w:pPr>
        <w:ind w:left="980" w:hanging="324"/>
        <w:spacing w:after="0" w:line="282" w:lineRule="auto"/>
        <w:tabs>
          <w:tab w:leader="none" w:pos="9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gross negligence or willful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568325</wp:posOffset>
            </wp:positionV>
            <wp:extent cx="6292215" cy="260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424" w:name="page425"/>
    <w:bookmarkEnd w:id="424"/>
    <w:p>
      <w:pPr>
        <w:jc w:val="both"/>
        <w:ind w:left="980" w:hanging="324"/>
        <w:spacing w:after="0" w:line="254" w:lineRule="auto"/>
        <w:tabs>
          <w:tab w:leader="none" w:pos="9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the Cayman Islands or any other country, or of any other governmental authority or regulatory authority or stock exchange, or on account of the possible criminal or civil penalties or restraint, or by reason of any provision, present or future, of the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14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by reason of any exercise of, or failure to exercise, any discretion provided for in the deposit agreement or in the Memorandum and Articles of Association or provisions of or governing deposited securities;</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action or inaction of the depositary, the custodian or us or their or our respective controlling persons or agents in reliance upon the advice of or information from legal counsel, any person presenting ordinary shares for deposit or any other person believed by it in good faith to be competent to give such advice or information;</w:t>
      </w:r>
    </w:p>
    <w:p>
      <w:pPr>
        <w:spacing w:after="0" w:line="13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ADSs to benefit from any distribution on deposited securities that is not made available to holders of ADSs under the terms of the deposit agreement;</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special, consequential, indirect or punitive damages for any breach of the terms of the deposit agreement, or otherwise;</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in good faith to be genuine and to have been signed or presented by the proper party;</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any action or inaction or inaction of any of us or our respective controlling persons or agents in reliance upon the advice of or information from legal counsel, accountants, any person presenting ordinary shares for deposit, holders and beneficial owners (or authorized representatives) of ADSs, or any person believed in good faith to be competent to give such advice or information; and</w:t>
      </w:r>
    </w:p>
    <w:p>
      <w:pPr>
        <w:spacing w:after="0" w:line="13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inability of any holder to benefit from any distribution, offering, right or other benefit made available to holders of deposited securities but not made available to holders of ADS.</w:t>
      </w:r>
    </w:p>
    <w:p>
      <w:pPr>
        <w:spacing w:after="0" w:line="121"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for the failure or timeliness of any notice from us, the content of any information submitted to it by us for distribution to you or for any inaccuracy of any translation thereof, (iii) for any investment risk associated with the acquisition of an interest in the deposited securities, the validity or worth of the deposited securities, the credit-worthiness of any third party, (iv) for any tax consequences that may result from ownership of ADSs,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Jurisdiction and Arbitration</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laws of the State of New York govern the deposit agreement and the ADSs and we have agreed with the depositary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579755</wp:posOffset>
            </wp:positionV>
            <wp:extent cx="629221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5" w:name="page426"/>
    <w:bookmarkEnd w:id="425"/>
    <w:p>
      <w:pPr>
        <w:ind w:right="40"/>
        <w:spacing w:after="0" w:line="256" w:lineRule="auto"/>
        <w:rPr>
          <w:sz w:val="20"/>
          <w:szCs w:val="20"/>
          <w:color w:val="auto"/>
        </w:rPr>
      </w:pPr>
      <w:r>
        <w:rPr>
          <w:rFonts w:ascii="Times New Roman" w:cs="Times New Roman" w:eastAsia="Times New Roman" w:hAnsi="Times New Roman"/>
          <w:sz w:val="18"/>
          <w:szCs w:val="18"/>
          <w:color w:val="auto"/>
        </w:rPr>
        <w:t>determine any dispute arising from or relating in any way to the deposit agreement and that the depositary will have the right to refer any claim or dispute arising from the relationship created by the deposit agreement to arbitration in accordance with the Commercial Arbitration Rules of the American Arbitration Association. The arbitration provisions of the deposit agreement govern such dispute or difference and do not in any event, preclude you from pursuing claims under the Securities Act or the Exchange Act in the United States District Court for the Southern District of New York (or such state courts if the United States District Court for the Southern District of New York lacks subject matter jurisdiction).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Jury Trial Waiver</w:t>
      </w:r>
    </w:p>
    <w:p>
      <w:pPr>
        <w:spacing w:after="0" w:line="202"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based on the facts and circumstances of that case in accordance with the applicable law.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Depositary Actions</w:t>
      </w:r>
    </w:p>
    <w:p>
      <w:pPr>
        <w:spacing w:after="0" w:line="18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Before the depositary will issue, deliver or register a transfer of an ADS, split-up, subdivide or combine ADSs, make a distribution on an ADS, or permit withdrawal of ordinary shares, the depositary may require:</w:t>
      </w:r>
    </w:p>
    <w:p>
      <w:pPr>
        <w:spacing w:after="0" w:line="135" w:lineRule="exact"/>
        <w:rPr>
          <w:sz w:val="20"/>
          <w:szCs w:val="20"/>
          <w:color w:val="auto"/>
        </w:rPr>
      </w:pPr>
    </w:p>
    <w:p>
      <w:pPr>
        <w:jc w:val="both"/>
        <w:ind w:left="980" w:hanging="324"/>
        <w:spacing w:after="0" w:line="266" w:lineRule="auto"/>
        <w:tabs>
          <w:tab w:leader="none" w:pos="9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p>
      <w:pPr>
        <w:spacing w:after="0" w:line="13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any other matters contemplated in the deposit agreement; and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13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Right to Receive the Shares Underlying Your ADSs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have the right to cancel your ADSs and withdraw the underlying ordinary shares at any time except:</w:t>
      </w:r>
    </w:p>
    <w:p>
      <w:pPr>
        <w:spacing w:after="0" w:line="198" w:lineRule="exact"/>
        <w:rPr>
          <w:sz w:val="20"/>
          <w:szCs w:val="20"/>
          <w:color w:val="auto"/>
        </w:rPr>
      </w:pPr>
    </w:p>
    <w:p>
      <w:pPr>
        <w:ind w:left="980" w:hanging="324"/>
        <w:spacing w:after="0"/>
        <w:tabs>
          <w:tab w:leader="none" w:pos="9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(1) the depositary has closed its transfer books or we have closed our transfer books;</w:t>
      </w:r>
    </w:p>
    <w:p>
      <w:pPr>
        <w:spacing w:after="0" w:line="27" w:lineRule="exact"/>
        <w:rPr>
          <w:rFonts w:ascii="Times New Roman" w:cs="Times New Roman" w:eastAsia="Times New Roman" w:hAnsi="Times New Roman"/>
          <w:sz w:val="18"/>
          <w:szCs w:val="18"/>
          <w:color w:val="auto"/>
        </w:rPr>
      </w:pPr>
    </w:p>
    <w:p>
      <w:pPr>
        <w:ind w:left="98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the transfer of ordinary shares is blocked to permit voting at a shareholders’ meeting; or (3) we are paying a dividend on our ordinary shares;</w:t>
      </w:r>
    </w:p>
    <w:p>
      <w:pPr>
        <w:spacing w:after="0" w:line="1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w:t>
      </w:r>
    </w:p>
    <w:p>
      <w:pPr>
        <w:spacing w:after="0" w:line="184"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ADSs or to the withdrawal of ordinary shares or other deposited securities, or other circumstances specifically contemplated by Section I.A.(l) of the General Instructions to Form F-6 (as such General Instructions may be amended from time to time); or</w:t>
      </w:r>
    </w:p>
    <w:p>
      <w:pPr>
        <w:spacing w:after="0" w:line="13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if the depositary or we determine, in good faith, that it is necessary or advisable to prohibit withdrawals.</w:t>
      </w:r>
    </w:p>
    <w:p>
      <w:pPr>
        <w:spacing w:after="0" w:line="121"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knowingly accept for deposit under the deposit agreement any ordinary shares or other deposited securities required to be registered under the provisions of the Securities Act, unless a registration statement is in effect as to such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577850</wp:posOffset>
            </wp:positionV>
            <wp:extent cx="629221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6" w:name="page427"/>
    <w:bookmarkEnd w:id="426"/>
    <w:p>
      <w:pPr>
        <w:ind w:left="66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Registration System</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337185</wp:posOffset>
            </wp:positionV>
            <wp:extent cx="6292215"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427" w:name="page428"/>
    <w:bookmarkEnd w:id="427"/>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992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Principal Subsidiaries of Lotus Technology Inc.</w:t>
            </w:r>
          </w:p>
        </w:tc>
      </w:tr>
      <w:tr>
        <w:trPr>
          <w:trHeight w:val="216"/>
        </w:trPr>
        <w:tc>
          <w:tcPr>
            <w:tcW w:w="64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r>
      <w:tr>
        <w:trPr>
          <w:trHeight w:val="243"/>
        </w:trPr>
        <w:tc>
          <w:tcPr>
            <w:tcW w:w="64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35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34"/>
        </w:trPr>
        <w:tc>
          <w:tcPr>
            <w:tcW w:w="6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Lotus Advanced Technology Limited</w:t>
            </w:r>
          </w:p>
        </w:tc>
        <w:tc>
          <w:tcPr>
            <w:tcW w:w="3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Hong Kong</w:t>
            </w:r>
          </w:p>
        </w:tc>
      </w:tr>
      <w:tr>
        <w:trPr>
          <w:trHeight w:val="22"/>
        </w:trPr>
        <w:tc>
          <w:tcPr>
            <w:tcW w:w="6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6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Lotus Technology International Limited</w:t>
            </w:r>
          </w:p>
        </w:tc>
        <w:tc>
          <w:tcPr>
            <w:tcW w:w="3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Hong Kong</w:t>
            </w:r>
          </w:p>
        </w:tc>
      </w:tr>
      <w:tr>
        <w:trPr>
          <w:trHeight w:val="22"/>
        </w:trPr>
        <w:tc>
          <w:tcPr>
            <w:tcW w:w="6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6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Lotus Technology Innovative Limited</w:t>
            </w:r>
          </w:p>
        </w:tc>
        <w:tc>
          <w:tcPr>
            <w:tcW w:w="3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
        </w:trPr>
        <w:tc>
          <w:tcPr>
            <w:tcW w:w="6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6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Lotus Tech Creative Centre Limited</w:t>
            </w:r>
          </w:p>
        </w:tc>
        <w:tc>
          <w:tcPr>
            <w:tcW w:w="3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
        </w:trPr>
        <w:tc>
          <w:tcPr>
            <w:tcW w:w="6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6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Lotus Tech Innovation Centre GmbH</w:t>
            </w:r>
          </w:p>
        </w:tc>
        <w:tc>
          <w:tcPr>
            <w:tcW w:w="3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Germany</w:t>
            </w:r>
          </w:p>
        </w:tc>
      </w:tr>
      <w:tr>
        <w:trPr>
          <w:trHeight w:val="22"/>
        </w:trPr>
        <w:tc>
          <w:tcPr>
            <w:tcW w:w="6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6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Lotus Cars Europe B.V.</w:t>
            </w:r>
          </w:p>
        </w:tc>
        <w:tc>
          <w:tcPr>
            <w:tcW w:w="3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2"/>
        </w:trPr>
        <w:tc>
          <w:tcPr>
            <w:tcW w:w="6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6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Wuhan Lotus Technology Co., Ltd.</w:t>
            </w:r>
          </w:p>
        </w:tc>
        <w:tc>
          <w:tcPr>
            <w:tcW w:w="3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PRC</w:t>
            </w:r>
          </w:p>
        </w:tc>
      </w:tr>
      <w:tr>
        <w:trPr>
          <w:trHeight w:val="22"/>
        </w:trPr>
        <w:tc>
          <w:tcPr>
            <w:tcW w:w="6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6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Wuhan Lotus Cars Co., Ltd.</w:t>
            </w:r>
          </w:p>
        </w:tc>
        <w:tc>
          <w:tcPr>
            <w:tcW w:w="3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PRC</w:t>
            </w:r>
          </w:p>
        </w:tc>
      </w:tr>
      <w:tr>
        <w:trPr>
          <w:trHeight w:val="22"/>
        </w:trPr>
        <w:tc>
          <w:tcPr>
            <w:tcW w:w="6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6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Wuhan Lotus Cars Sales Limited</w:t>
            </w:r>
          </w:p>
        </w:tc>
        <w:tc>
          <w:tcPr>
            <w:tcW w:w="3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PRC</w:t>
            </w:r>
          </w:p>
        </w:tc>
      </w:tr>
      <w:tr>
        <w:trPr>
          <w:trHeight w:val="22"/>
        </w:trPr>
        <w:tc>
          <w:tcPr>
            <w:tcW w:w="6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6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Wuhan Lotus Private Fund Management Co., Ltd.</w:t>
            </w:r>
          </w:p>
        </w:tc>
        <w:tc>
          <w:tcPr>
            <w:tcW w:w="3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PRC</w:t>
            </w:r>
          </w:p>
        </w:tc>
      </w:tr>
      <w:tr>
        <w:trPr>
          <w:trHeight w:val="22"/>
        </w:trPr>
        <w:tc>
          <w:tcPr>
            <w:tcW w:w="6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6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Hangzhou Lotus Technology Service Co., Ltd.</w:t>
            </w:r>
          </w:p>
        </w:tc>
        <w:tc>
          <w:tcPr>
            <w:tcW w:w="3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PRC</w:t>
            </w:r>
          </w:p>
        </w:tc>
      </w:tr>
      <w:tr>
        <w:trPr>
          <w:trHeight w:val="22"/>
        </w:trPr>
        <w:tc>
          <w:tcPr>
            <w:tcW w:w="6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6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Sanya Lotus Venture Capital Co., Ltd.</w:t>
            </w:r>
          </w:p>
        </w:tc>
        <w:tc>
          <w:tcPr>
            <w:tcW w:w="3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PRC</w:t>
            </w:r>
          </w:p>
        </w:tc>
      </w:tr>
      <w:tr>
        <w:trPr>
          <w:trHeight w:val="22"/>
        </w:trPr>
        <w:tc>
          <w:tcPr>
            <w:tcW w:w="6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r>
      <w:tr>
        <w:trPr>
          <w:trHeight w:val="770"/>
        </w:trPr>
        <w:tc>
          <w:tcPr>
            <w:tcW w:w="64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28" w:name="page429"/>
    <w:bookmarkEnd w:id="428"/>
    <w:p>
      <w:pPr>
        <w:ind w:left="9000"/>
        <w:spacing w:after="0"/>
        <w:rPr>
          <w:sz w:val="20"/>
          <w:szCs w:val="20"/>
          <w:color w:val="auto"/>
        </w:rPr>
      </w:pPr>
      <w:r>
        <w:rPr>
          <w:rFonts w:ascii="Times New Roman" w:cs="Times New Roman" w:eastAsia="Times New Roman" w:hAnsi="Times New Roman"/>
          <w:sz w:val="17"/>
          <w:szCs w:val="17"/>
          <w:b w:val="1"/>
          <w:bCs w:val="1"/>
          <w:color w:val="auto"/>
        </w:rPr>
        <w:t>Exhibit 11.1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5" w:lineRule="exact"/>
        <w:rPr>
          <w:sz w:val="20"/>
          <w:szCs w:val="20"/>
          <w:color w:val="auto"/>
        </w:rPr>
      </w:pPr>
    </w:p>
    <w:p>
      <w:pPr>
        <w:ind w:left="660" w:hanging="652"/>
        <w:spacing w:after="0"/>
        <w:tabs>
          <w:tab w:leader="none" w:pos="660" w:val="left"/>
        </w:tabs>
        <w:numPr>
          <w:ilvl w:val="0"/>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Code of Business Conduct and Ethics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contains general guidelines for conducting the business of Lotus Technology Inc., a Cayman Islands company, and its subsidiaries and affiliates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consistent with the highest standards of business ethics, and is intended to qualify as a “code of ethics” within the meaning of Section 406 of the Sarbanes-Oxley Act of 2002 and the rules promulgated thereunder. To the extent this Code requires a higher standard than required by commercial practice or applicable laws, rules or regulations, the Company adheres to these higher standards.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Code is designed to deter wrongdoing and to promote:</w:t>
      </w:r>
    </w:p>
    <w:p>
      <w:pPr>
        <w:spacing w:after="0" w:line="225" w:lineRule="exact"/>
        <w:rPr>
          <w:sz w:val="20"/>
          <w:szCs w:val="20"/>
          <w:color w:val="auto"/>
        </w:rPr>
      </w:pPr>
    </w:p>
    <w:p>
      <w:pPr>
        <w:ind w:left="1300" w:hanging="320"/>
        <w:spacing w:after="0" w:line="282" w:lineRule="auto"/>
        <w:tabs>
          <w:tab w:leader="none" w:pos="130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 including the ethical handling of actual or apparent conflicts of interest between personal and professional relationships;</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fair, accurate, timely, and understandable disclosure in reports and documents that the Company files with, or submits to,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in other public communications made by the Company;</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rules and regulations;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prohibition of any bribes or kickbacks;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internal reporting of violations of the Code;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the Code.</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APPLICABILITY</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Code applies to all directors, officers, employees and consultants of the Company, whether they work for the Company on</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full-time, part-time, consultative or temporary basis (each,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Certain provisions of the Code apply specifically to our chief executive officer, chief financial officer, other executive officers, senior vice presidents, vice presidents, and other members of the management of the Company who have reached a certain level of seniority (each, a “</w:t>
      </w:r>
      <w:r>
        <w:rPr>
          <w:rFonts w:ascii="Times New Roman" w:cs="Times New Roman" w:eastAsia="Times New Roman" w:hAnsi="Times New Roman"/>
          <w:sz w:val="18"/>
          <w:szCs w:val="18"/>
          <w:b w:val="1"/>
          <w:bCs w:val="1"/>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senior employees</w:t>
      </w:r>
      <w:r>
        <w:rPr>
          <w:rFonts w:ascii="Times New Roman" w:cs="Times New Roman" w:eastAsia="Times New Roman" w:hAnsi="Times New Roman"/>
          <w:sz w:val="18"/>
          <w:szCs w:val="18"/>
          <w:color w:val="auto"/>
        </w:rPr>
        <w:t>”). Certain provisions of the Code apply to relevant third parties in assistance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business.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the Company’s highest governing body overseeing the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matters, the Board monitors and supervises business ethics pertaining ESG matters.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appointed the Chief Financial Officer as the Compliance Officer for the Company (the “</w:t>
      </w:r>
      <w:r>
        <w:rPr>
          <w:rFonts w:ascii="Times New Roman" w:cs="Times New Roman" w:eastAsia="Times New Roman" w:hAnsi="Times New Roman"/>
          <w:sz w:val="18"/>
          <w:szCs w:val="18"/>
          <w:b w:val="1"/>
          <w:bCs w:val="1"/>
          <w:color w:val="auto"/>
        </w:rPr>
        <w:t>Compliance Officer</w:t>
      </w:r>
      <w:r>
        <w:rPr>
          <w:rFonts w:ascii="Times New Roman" w:cs="Times New Roman" w:eastAsia="Times New Roman" w:hAnsi="Times New Roman"/>
          <w:sz w:val="18"/>
          <w:szCs w:val="18"/>
          <w:color w:val="auto"/>
        </w:rPr>
        <w:t>”). If you have any questions regarding the Code or would like to report any violation of the Code, please contact the Compliance Officer via email, report via the Company’s “Compliance Reporting Platform,” or through other channels of communication. The Company encourages the reporting of any misconduct or inappropriate behavior, including potential violations of the Code. The Company is committed to providing confidentiality, anonymity, and protection to whistleblowers, except when prohibited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610235</wp:posOffset>
            </wp:positionV>
            <wp:extent cx="6292215" cy="260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29" w:name="page430"/>
    <w:bookmarkEnd w:id="429"/>
    <w:p>
      <w:pPr>
        <w:ind w:left="660" w:hanging="652"/>
        <w:spacing w:after="0"/>
        <w:tabs>
          <w:tab w:leader="none" w:pos="660"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 OF 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Identifying Conflicts of Interest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conflict of interest occurs when an employee’s private interest interferes, or appears to interfere, in any way with the interests of the Company as a whole. An employee should actively avoid any private interest that may impact such employee’s ability to act in the interests of the Company or that may make it difficult to perform the employee’s work objectively and effectively. In general, the following are considered conflicts of interest:</w:t>
      </w:r>
    </w:p>
    <w:p>
      <w:pPr>
        <w:spacing w:after="0" w:line="180" w:lineRule="exact"/>
        <w:rPr>
          <w:sz w:val="20"/>
          <w:szCs w:val="20"/>
          <w:color w:val="auto"/>
        </w:rPr>
      </w:pPr>
    </w:p>
    <w:p>
      <w:pPr>
        <w:jc w:val="both"/>
        <w:ind w:left="980" w:hanging="324"/>
        <w:spacing w:after="0" w:line="261" w:lineRule="auto"/>
        <w:tabs>
          <w:tab w:leader="none" w:pos="9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Business. No employee may be employed by a business that competes with the Company or deprives it of any business. No employee may engage, or assist others (including family members) in engaging, any business activities that compete with the Company or deprive it of any business. An employee should notify the Company promptly if he/she knows that any of his or her family members are employed by or engaged in a competing business.</w:t>
      </w:r>
    </w:p>
    <w:p>
      <w:pPr>
        <w:spacing w:after="0" w:line="179" w:lineRule="exact"/>
        <w:rPr>
          <w:rFonts w:ascii="Times New Roman" w:cs="Times New Roman" w:eastAsia="Times New Roman" w:hAnsi="Times New Roman"/>
          <w:sz w:val="18"/>
          <w:szCs w:val="18"/>
          <w:color w:val="auto"/>
        </w:rPr>
      </w:pPr>
    </w:p>
    <w:p>
      <w:pPr>
        <w:jc w:val="both"/>
        <w:ind w:left="980" w:right="20" w:hanging="324"/>
        <w:spacing w:after="0" w:line="258" w:lineRule="auto"/>
        <w:tabs>
          <w:tab w:leader="none" w:pos="9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Opportunity. No employee may use corporate property, information or his/her position with the Company to secure a business opportunity that would otherwise be available to the Company. If an employee discovers a business opportunity that is in the Company’s line of business through the use of the Company’s property, information or position, the employee must first present the business opportunity to the Company before pursuing the opportunity in his/her individual capacity.</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Interests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may have any financial interest (ownership or otherwise), either directly or indirectly through a spouse or other family member, in any other business or entity if such interest adversely affects the employee’s performance of duties or responsibilities to the Company, or requires the employee to devote time to it during such employee’s working hours at the Company;</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may hold any ownership interest in a privately held company that is in competition with the Company;</w:t>
      </w:r>
    </w:p>
    <w:p>
      <w:pPr>
        <w:spacing w:after="0" w:line="225"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may hold up to 1% ownership interest in a publicly traded company that is in competition with the Company; provided that if the employee’s ownership interest in such publicly traded company increases to more than 1%, the employee must immediately report such ownership to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60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30" w:name="page431"/>
    <w:bookmarkEnd w:id="430"/>
    <w:p>
      <w:pPr>
        <w:jc w:val="both"/>
        <w:ind w:left="840" w:hanging="320"/>
        <w:spacing w:after="0" w:line="266" w:lineRule="auto"/>
        <w:tabs>
          <w:tab w:leader="none" w:pos="8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may hold any ownership interest in a company that has a business relationship with the Company if such employee’s duties at the Company include managing or supervising the Company’s business relations with that company; and</w:t>
      </w:r>
    </w:p>
    <w:p>
      <w:pPr>
        <w:spacing w:after="0" w:line="175" w:lineRule="exact"/>
        <w:rPr>
          <w:rFonts w:ascii="Times New Roman" w:cs="Times New Roman" w:eastAsia="Times New Roman" w:hAnsi="Times New Roman"/>
          <w:sz w:val="18"/>
          <w:szCs w:val="18"/>
          <w:color w:val="auto"/>
        </w:rPr>
      </w:pPr>
    </w:p>
    <w:p>
      <w:pPr>
        <w:ind w:left="840" w:hanging="320"/>
        <w:spacing w:after="0"/>
        <w:tabs>
          <w:tab w:leader="none" w:pos="8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other provisions of this Code,</w:t>
      </w:r>
    </w:p>
    <w:p>
      <w:pPr>
        <w:spacing w:after="0" w:line="221" w:lineRule="exact"/>
        <w:rPr>
          <w:rFonts w:ascii="Times New Roman" w:cs="Times New Roman" w:eastAsia="Times New Roman" w:hAnsi="Times New Roman"/>
          <w:sz w:val="18"/>
          <w:szCs w:val="18"/>
          <w:color w:val="auto"/>
        </w:rPr>
      </w:pPr>
    </w:p>
    <w:p>
      <w:pPr>
        <w:jc w:val="both"/>
        <w:ind w:left="840" w:firstLine="4"/>
        <w:spacing w:after="0" w:line="268" w:lineRule="auto"/>
        <w:tabs>
          <w:tab w:leader="none" w:pos="1488"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any family member of such director (collectively, “</w:t>
      </w:r>
      <w:r>
        <w:rPr>
          <w:rFonts w:ascii="Times New Roman" w:cs="Times New Roman" w:eastAsia="Times New Roman" w:hAnsi="Times New Roman"/>
          <w:sz w:val="18"/>
          <w:szCs w:val="18"/>
          <w:b w:val="1"/>
          <w:bCs w:val="1"/>
          <w:color w:val="auto"/>
        </w:rPr>
        <w:t>Director Affiliates</w:t>
      </w:r>
      <w:r>
        <w:rPr>
          <w:rFonts w:ascii="Times New Roman" w:cs="Times New Roman" w:eastAsia="Times New Roman" w:hAnsi="Times New Roman"/>
          <w:sz w:val="18"/>
          <w:szCs w:val="18"/>
          <w:color w:val="auto"/>
        </w:rPr>
        <w:t>”) or a senior employee or any family member of such senior employee (collectively, “</w:t>
      </w:r>
      <w:r>
        <w:rPr>
          <w:rFonts w:ascii="Times New Roman" w:cs="Times New Roman" w:eastAsia="Times New Roman" w:hAnsi="Times New Roman"/>
          <w:sz w:val="18"/>
          <w:szCs w:val="18"/>
          <w:b w:val="1"/>
          <w:bCs w:val="1"/>
          <w:color w:val="auto"/>
        </w:rPr>
        <w:t>Officer Affiliates</w:t>
      </w:r>
      <w:r>
        <w:rPr>
          <w:rFonts w:ascii="Times New Roman" w:cs="Times New Roman" w:eastAsia="Times New Roman" w:hAnsi="Times New Roman"/>
          <w:sz w:val="18"/>
          <w:szCs w:val="18"/>
          <w:color w:val="auto"/>
        </w:rPr>
        <w:t>”) may continue to hold his/her investment or other financial interest in a business or entity (an “</w:t>
      </w:r>
      <w:r>
        <w:rPr>
          <w:rFonts w:ascii="Times New Roman" w:cs="Times New Roman" w:eastAsia="Times New Roman" w:hAnsi="Times New Roman"/>
          <w:sz w:val="18"/>
          <w:szCs w:val="18"/>
          <w:b w:val="1"/>
          <w:bCs w:val="1"/>
          <w:color w:val="auto"/>
        </w:rPr>
        <w:t>Interested Business</w:t>
      </w:r>
      <w:r>
        <w:rPr>
          <w:rFonts w:ascii="Times New Roman" w:cs="Times New Roman" w:eastAsia="Times New Roman" w:hAnsi="Times New Roman"/>
          <w:sz w:val="18"/>
          <w:szCs w:val="18"/>
          <w:color w:val="auto"/>
        </w:rPr>
        <w:t>”) that:</w:t>
      </w:r>
    </w:p>
    <w:p>
      <w:pPr>
        <w:spacing w:after="0" w:line="174" w:lineRule="exact"/>
        <w:rPr>
          <w:rFonts w:ascii="Times New Roman" w:cs="Times New Roman" w:eastAsia="Times New Roman" w:hAnsi="Times New Roman"/>
          <w:sz w:val="18"/>
          <w:szCs w:val="18"/>
          <w:color w:val="auto"/>
        </w:rPr>
      </w:pPr>
    </w:p>
    <w:p>
      <w:pPr>
        <w:jc w:val="both"/>
        <w:ind w:left="840" w:firstLine="652"/>
        <w:spacing w:after="0" w:line="261" w:lineRule="auto"/>
        <w:tabs>
          <w:tab w:leader="none" w:pos="2136" w:val="left"/>
        </w:tabs>
        <w:numPr>
          <w:ilvl w:val="2"/>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made or obtained either (A) before the Company invested in or otherwise became interested in such business or entity; or (B) before the director or senior employee joined the Company (for the avoidance of doubt, regardless of whether the Company had or had not already invested in or otherwise become interested in such business or entity at the time the director or senior employee joined the Company); or</w:t>
      </w:r>
    </w:p>
    <w:p>
      <w:pPr>
        <w:spacing w:after="0" w:line="179" w:lineRule="exact"/>
        <w:rPr>
          <w:rFonts w:ascii="Times New Roman" w:cs="Times New Roman" w:eastAsia="Times New Roman" w:hAnsi="Times New Roman"/>
          <w:sz w:val="18"/>
          <w:szCs w:val="18"/>
          <w:color w:val="auto"/>
        </w:rPr>
      </w:pPr>
    </w:p>
    <w:p>
      <w:pPr>
        <w:jc w:val="both"/>
        <w:ind w:left="840" w:firstLine="652"/>
        <w:spacing w:after="0" w:line="266" w:lineRule="auto"/>
        <w:tabs>
          <w:tab w:leader="none" w:pos="2136" w:val="left"/>
        </w:tabs>
        <w:numPr>
          <w:ilvl w:val="2"/>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 the future be made or obtained by the director or senior employee, provided that at the time such investment or other financial interest is made or obtained, the Company has not yet invested in or otherwise become interested in such business or entity;</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provided that such director or senior employee shall disclose such investment or other financial interest to the Board;</w:t>
      </w:r>
    </w:p>
    <w:p>
      <w:pPr>
        <w:spacing w:after="0" w:line="225" w:lineRule="exact"/>
        <w:rPr>
          <w:sz w:val="20"/>
          <w:szCs w:val="20"/>
          <w:color w:val="auto"/>
        </w:rPr>
      </w:pPr>
    </w:p>
    <w:p>
      <w:pPr>
        <w:jc w:val="both"/>
        <w:ind w:left="840" w:firstLine="4"/>
        <w:spacing w:after="0" w:line="266" w:lineRule="auto"/>
        <w:tabs>
          <w:tab w:leader="none" w:pos="1488"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interested director or senior employee shall refrain from participating in any discussion among senior employees of the Company relating to an Interested Business and shall not be involved in any proposed transaction between the Company and an Interested Business; and</w:t>
      </w:r>
    </w:p>
    <w:p>
      <w:pPr>
        <w:spacing w:after="0" w:line="175" w:lineRule="exact"/>
        <w:rPr>
          <w:rFonts w:ascii="Times New Roman" w:cs="Times New Roman" w:eastAsia="Times New Roman" w:hAnsi="Times New Roman"/>
          <w:sz w:val="18"/>
          <w:szCs w:val="18"/>
          <w:color w:val="auto"/>
        </w:rPr>
      </w:pPr>
    </w:p>
    <w:p>
      <w:pPr>
        <w:jc w:val="both"/>
        <w:ind w:left="840" w:firstLine="4"/>
        <w:spacing w:after="0" w:line="266" w:lineRule="auto"/>
        <w:tabs>
          <w:tab w:leader="none" w:pos="1488"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any Director Affiliate or Officer Affiliate (i) invests, or otherwise acquires any equity or other financial interest, in a business or entity that is in competition with the Company; or (ii) enters into any transaction with the Company, the related director or senior employee shall obtain prior approval from the Audit Committee of the Board.</w:t>
      </w:r>
    </w:p>
    <w:p>
      <w:pPr>
        <w:spacing w:after="0" w:line="175" w:lineRule="exact"/>
        <w:rPr>
          <w:rFonts w:ascii="Times New Roman" w:cs="Times New Roman" w:eastAsia="Times New Roman" w:hAnsi="Times New Roman"/>
          <w:sz w:val="18"/>
          <w:szCs w:val="18"/>
          <w:color w:val="auto"/>
        </w:rPr>
      </w:pPr>
    </w:p>
    <w:p>
      <w:pPr>
        <w:jc w:val="both"/>
        <w:ind w:left="520" w:hanging="324"/>
        <w:spacing w:after="0" w:line="266" w:lineRule="auto"/>
        <w:tabs>
          <w:tab w:leader="none" w:pos="52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or Other Financial Transactions</w:t>
      </w:r>
      <w:r>
        <w:rPr>
          <w:rFonts w:ascii="Times New Roman" w:cs="Times New Roman" w:eastAsia="Times New Roman" w:hAnsi="Times New Roman"/>
          <w:sz w:val="18"/>
          <w:szCs w:val="18"/>
          <w:color w:val="auto"/>
        </w:rPr>
        <w:t>. No employee may obtain loans or guarantees of personal obligations from, or enter into any other personal financial transaction with, any company that is a material customer, supplier or competitor of the Company. This guideline does not prohibit arms-length transactions with recognized banks or other financial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603250</wp:posOffset>
            </wp:positionV>
            <wp:extent cx="6292215" cy="260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37" w:right="999" w:bottom="1440" w:gutter="0" w:footer="0" w:header="0"/>
        </w:sectPr>
      </w:pPr>
    </w:p>
    <w:bookmarkStart w:id="431" w:name="page432"/>
    <w:bookmarkEnd w:id="431"/>
    <w:p>
      <w:pPr>
        <w:jc w:val="both"/>
        <w:ind w:left="980" w:hanging="324"/>
        <w:spacing w:after="0" w:line="258" w:lineRule="auto"/>
        <w:tabs>
          <w:tab w:leader="none" w:pos="98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on Boards and Committees</w:t>
      </w:r>
      <w:r>
        <w:rPr>
          <w:rFonts w:ascii="Times New Roman" w:cs="Times New Roman" w:eastAsia="Times New Roman" w:hAnsi="Times New Roman"/>
          <w:sz w:val="18"/>
          <w:szCs w:val="18"/>
          <w:color w:val="auto"/>
        </w:rPr>
        <w:t>. No employee may serve on a board of directors or trustees or on a committee of any entity (whether profit or not-for-profit) whose interests could reasonably be expected to conflict with those of the Company. Employees must obtain prior approval from the Board before accepting any such board or committee position. The Company may revisit its approval of any such position at any time to determine whether an employee’s service in such position is still appropriate.</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above is in no way a complete list of situations where conflicts of interest may arise. The following questions might serve as a useful guide in assessing a potential conflict of interest situation not specifically addressed above:</w:t>
      </w:r>
    </w:p>
    <w:p>
      <w:pPr>
        <w:spacing w:after="0" w:line="162" w:lineRule="exact"/>
        <w:rPr>
          <w:sz w:val="20"/>
          <w:szCs w:val="20"/>
          <w:color w:val="auto"/>
        </w:rPr>
      </w:pPr>
    </w:p>
    <w:p>
      <w:pPr>
        <w:ind w:left="1300" w:hanging="320"/>
        <w:spacing w:after="0"/>
        <w:tabs>
          <w:tab w:leader="none" w:pos="13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action to be taken legal?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honest and fair?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in the best interests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Conflicts of Interest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requires that employees fully disclose any situations that could reasonably be expected to give rise to a conflict of interest. If an employee suspects that he/she has a conflict of interest, or a situation that others could reasonably perceive as a conflict of interest, the employee must report it immediately to the Compliance Officer. Conflicts of interest may only be waived by the Board, or the appropriate committee of the Board, and will be promptly disclosed to the public to the extent required by law and applicable rules of the stock exchange where the Company’s ordinary shares are listed and traded (the “</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Family Members and Work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actions of family members outside the workplace may also give rise to conflicts of interest because they may influence an employee’s objectivity in making decisions on behalf of the Company. If a member of an employee’s family is interested in doing business with the Company, the criteria as to whether to enter into or continue the business relationship and the terms and conditions of the relationship must be no less favorable to the Company compared with those that would apply to an unrelated party seeking to do business with the Company under similar circumstances.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Employees should report any situation involving family members that could reasonably be expected to give rise to a conflict of interest to their supervisor or the Compliance Officer. For purposes of this Code, “family members” or “members of employee’s family” include an employee’s spouse, parents, parents-in-law, children and siblings, whether by blood, marriage or adoption, and cousins of such employee and his/her spouse, or anyone (other than domestic employees) who shares such employee’s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432" w:name="page433"/>
    <w:bookmarkEnd w:id="43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GIFTS AND ENTERTAINMENT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giving and receiving of appropriate gifts and entertainment may be considered common business practice. Appropriate business gifts and entertainment are welcome courtesies designed to build relationships and understanding among business partners. However, gifts and entertainment should never compromise, or appear to compromise, an employee’s ability to make objective and fair business decisions.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the responsibility of employees to use good judgment in this area. As a general rule, employees may give or receive gifts or entertainment to or from customers or suppliers only if the gift or entertainment is in compliance with applicable laws, regulations, and policies, insignificant in amount and not given in consideration or expectation of any action by the recipient. All gifts and entertainment expenses made on behalf of the Company must be properly accounted for on expense reports.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encourages employees to submit gifts received to the Company. While it is not mandatory to submit small gifts, gifts of over US$150 must be submitted immediately to the organization performing compliance function of the respective entity of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employee should contact the Compliance Officer if he/she has any questions regarding any gifts or entertainment expenses. Bribes and kickbacks are criminal acts, strictly prohibited by law. An employee must not offer, give, solicit or receive any form of bribe or kickback anywhere in the world.</w:t>
      </w:r>
    </w:p>
    <w:p>
      <w:pPr>
        <w:spacing w:after="0" w:line="172" w:lineRule="exact"/>
        <w:rPr>
          <w:sz w:val="20"/>
          <w:szCs w:val="20"/>
          <w:color w:val="auto"/>
        </w:rPr>
      </w:pPr>
    </w:p>
    <w:p>
      <w:pPr>
        <w:ind w:left="660" w:hanging="652"/>
        <w:spacing w:after="0"/>
        <w:tabs>
          <w:tab w:leader="none" w:pos="660"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ANTI-BRIBERY AND FCPA COMPLIANCE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U.S.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prohibits giving anything of value, directly or indirectly, to officials of foreign governments or foreign political candidates in order to obtain or retain business. A violation of FCPA does not only violate the Company’s policy but also constitute a civil or criminal offense under FCPA. No employee shall give or authorize directly or indirectly any illegal payments to government officials of any country. While the FCPA does, in certain limited circumstances, allow nominal “facilitating payments” to be made, any such payment must be discussed with and approved by an employee’s supervisor in advance before it can be made.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employee shall give or authorize, directly or indirectly, any improper payments to any other person or entity to secure any improper advantage for the Company, nor shall any employee solicit any improper payment from any other person or entity in exchange for any improper advantage.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PROTECTION AND USE OF COMPANY ASSETS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Employees should protect the Company’s assets and ensure their efficient use for legitimate business purposes only. Theft, carelessness and waste have a direct impact on the Company’s profitability and are strictly prohibited. Any use of the funds or assets of the Company, whether for personal gain or not, for any unlawful or improper purpose is strictly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33" w:name="page434"/>
    <w:bookmarkEnd w:id="433"/>
    <w:p>
      <w:pPr>
        <w:ind w:left="660"/>
        <w:spacing w:after="0"/>
        <w:rPr>
          <w:sz w:val="20"/>
          <w:szCs w:val="20"/>
          <w:color w:val="auto"/>
        </w:rPr>
      </w:pPr>
      <w:r>
        <w:rPr>
          <w:rFonts w:ascii="Times New Roman" w:cs="Times New Roman" w:eastAsia="Times New Roman" w:hAnsi="Times New Roman"/>
          <w:sz w:val="18"/>
          <w:szCs w:val="18"/>
          <w:color w:val="auto"/>
        </w:rPr>
        <w:t>To ensure the protection and proper use of the Company’s assets, each employee should:</w:t>
      </w:r>
    </w:p>
    <w:p>
      <w:pPr>
        <w:spacing w:after="0" w:line="225" w:lineRule="exact"/>
        <w:rPr>
          <w:sz w:val="20"/>
          <w:szCs w:val="20"/>
          <w:color w:val="auto"/>
        </w:rPr>
      </w:pPr>
    </w:p>
    <w:p>
      <w:pPr>
        <w:ind w:left="980" w:hanging="324"/>
        <w:spacing w:after="0"/>
        <w:tabs>
          <w:tab w:leader="none" w:pos="9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reasonable care to prevent theft, damage or misuse of the Company’s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report any actual or suspected theft, damage or misuse of the Company’s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 all electronic programs, data, communications and written materials from unauthorized access;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Company’s assets only for legitimate business purposes.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approved in advance by the Chief Executive Officer or Chief Financial Officer of the Company, the Company prohibits political contributions (directly or through trade associations) by any employee on behalf of the Company. Prohibited political contributions include:</w:t>
      </w:r>
    </w:p>
    <w:p>
      <w:pPr>
        <w:spacing w:after="0" w:line="176" w:lineRule="exact"/>
        <w:rPr>
          <w:sz w:val="20"/>
          <w:szCs w:val="20"/>
          <w:color w:val="auto"/>
        </w:rPr>
      </w:pPr>
    </w:p>
    <w:p>
      <w:pPr>
        <w:ind w:left="980" w:hanging="324"/>
        <w:spacing w:after="0"/>
        <w:tabs>
          <w:tab w:leader="none" w:pos="9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contributions of the Company’s funds or other assets for political purposes;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individual employees to make any such contribution;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reimbursing an employee for any political contribution.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INTELLECTUAL PROPERTY AND CONFIDENTIALITY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Employees should abide by the Company’s rules and policies in protecting the intellectual property and confidential information, including the following:</w:t>
      </w:r>
    </w:p>
    <w:p>
      <w:pPr>
        <w:spacing w:after="0" w:line="162" w:lineRule="exact"/>
        <w:rPr>
          <w:sz w:val="20"/>
          <w:szCs w:val="20"/>
          <w:color w:val="auto"/>
        </w:rPr>
      </w:pPr>
    </w:p>
    <w:p>
      <w:pPr>
        <w:jc w:val="both"/>
        <w:ind w:left="980" w:hanging="324"/>
        <w:spacing w:after="0" w:line="266" w:lineRule="auto"/>
        <w:tabs>
          <w:tab w:leader="none" w:pos="9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inventions, creative works, computer software, and technical or trade secrets developed by an employee in the course of performing the employee’s duties or primarily through the use of the Company’s assets or resources while working at the Company shall be the property of the Company.</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should maintain the confidentiality of information entrusted to them by the Company or entities with which the Company has business relations, except when disclosure is authorized or legally mandated. Confidential information includes all non-public information that might be of use to competitors, or harmful to the company or its business associates, if disclosed.</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strict confidentiality policy. During an employee’s term of employment with the Company, the employee shall comply with any and all written or unwritten rules and policies concerning confidentiality and shall fulfill the duties and responsibilities concerning confidentiality applicable to the employee.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fulfilling the responsibilities associated with his/her position in the Company, an employee shall not, without obtaining prior approval from the Company, disclose, announce or publish trade secrets or other confidential business information of the Company, nor shall an employee use such confidential information outside the course of his/her duties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34" w:name="page435"/>
    <w:bookmarkEnd w:id="434"/>
    <w:p>
      <w:pPr>
        <w:ind w:left="1300" w:right="20" w:hanging="320"/>
        <w:spacing w:after="0" w:line="282" w:lineRule="auto"/>
        <w:tabs>
          <w:tab w:leader="none" w:pos="13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outside the work environment, an employee must maintain vigilance and refrain from disclosing important information regarding the Company or its business, business associates or employees.</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duty of confidentiality with respect to the confidential information of the Company survives the termination of such employee’s employment with the Company for any reason until such time as the Company discloses such information publicly or the information otherwise becomes available in the public sphere through no fault of the employee.</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employment, or at such time as the Company requests, an employee must return to the Company all of its property without exception, including all forms of medium containing confidential information, and may not retain duplicate materials.</w:t>
      </w:r>
    </w:p>
    <w:p>
      <w:pPr>
        <w:spacing w:after="0" w:line="172" w:lineRule="exact"/>
        <w:rPr>
          <w:sz w:val="20"/>
          <w:szCs w:val="20"/>
          <w:color w:val="auto"/>
        </w:rPr>
      </w:pPr>
    </w:p>
    <w:p>
      <w:pPr>
        <w:ind w:left="120"/>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Times New Roman" w:cs="Times New Roman" w:eastAsia="Times New Roman" w:hAnsi="Times New Roman"/>
          <w:sz w:val="17"/>
          <w:szCs w:val="17"/>
          <w:b w:val="1"/>
          <w:bCs w:val="1"/>
          <w:color w:val="auto"/>
        </w:rPr>
        <w:t>ACCURACY OF FINANCIAL REPORTS AND OTHER PUBLIC COMMUNICATIONS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be required to report its financial results and other material information about its business to the public and the SEC. It is the Company’s policy to promptly disclose accurate and complete information regarding its business, financial condition and results of operations. Employees must strictly comply with all applicable standards, laws, regulations and policies for accounting and financial reporting of transactions, estimates and forecasts. Inaccurate, incomplete or untimely reporting will not be tolerated and can severely damage the Company and result in legal liability.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Employees should be on guard for, and promptly report, any possibility of inaccurate or incomplete financial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Particular attention should be paid to:</w:t>
      </w:r>
    </w:p>
    <w:p>
      <w:pPr>
        <w:spacing w:after="0" w:line="207" w:lineRule="exact"/>
        <w:rPr>
          <w:sz w:val="20"/>
          <w:szCs w:val="20"/>
          <w:color w:val="auto"/>
        </w:rPr>
      </w:pPr>
    </w:p>
    <w:p>
      <w:pPr>
        <w:ind w:left="1300" w:hanging="320"/>
        <w:spacing w:after="0"/>
        <w:tabs>
          <w:tab w:leader="none" w:pos="13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that seem inconsistent with the performance of the underlying business;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that do not seem to have an obvious business purpose;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to circumvent ordinary review and approval procedures.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senior financial officers and other employees working in the finance department have a special responsibility to ensure that all of the Company’s financial disclosures are full, fair, accurate, timely and understandable. Any practice or situation that might undermine this objective should be reported to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435" w:name="page436"/>
    <w:bookmarkEnd w:id="4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Employees are prohibited from directly or indirectly taking any action to coerce, manipulate, mislead or fraudulently influence the Company’s independent auditors for the purpose of rendering the financial statements of the Company materially misleading. Prohibited actions include but are not limited to:</w:t>
      </w:r>
    </w:p>
    <w:p>
      <w:pPr>
        <w:spacing w:after="0" w:line="176" w:lineRule="exact"/>
        <w:rPr>
          <w:sz w:val="20"/>
          <w:szCs w:val="20"/>
          <w:color w:val="auto"/>
        </w:rPr>
      </w:pPr>
    </w:p>
    <w:p>
      <w:pPr>
        <w:ind w:left="980" w:right="20" w:hanging="324"/>
        <w:spacing w:after="0" w:line="282" w:lineRule="auto"/>
        <w:tabs>
          <w:tab w:leader="none" w:pos="9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or reissuing a report on the Company’s financial statements that is not warranted in the circumstances (due to material violations of U.S. GAAP, generally accepted auditing standards or other professional or regulatory standards);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performing audit, review or other procedures required by generally accepted auditing standards or other professional standards;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withdrawing an issued report when withdrawal is warranted under the circumstances;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communicating matters required to be communicated to the Company’s Audit Committee or Compliance Officer.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color w:val="auto"/>
        </w:rPr>
        <w:t>COMPANY RECORDS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Accurate and reliable records are crucial to the Company’s business and form the basis of its earnings statements, financial reports and other disclosures to the public. The Company’s records are a source of essential data that guides business decision-making and strategic planning. Company records include, but are not limited to, booking information, payroll, timecards, travel and expense reports, e-mails, accounting and financial data, measurement and performance records, electronic data files and all other records maintained in the ordinary course of business.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Company records must be complete, accurate and reliable in all material respects. There is never an acceptable reason to make false or misleading entries. Undisclosed or unrecorded funds, payments or receipts are strictly prohibited. An employee is responsible for understanding and complying with the Company’s recordkeeping policy. An employee should contact the Compliance Officer if he/she has any questions regarding the recordkeeping policy.</w:t>
      </w:r>
    </w:p>
    <w:p>
      <w:pPr>
        <w:spacing w:after="0" w:line="176" w:lineRule="exact"/>
        <w:rPr>
          <w:sz w:val="20"/>
          <w:szCs w:val="20"/>
          <w:color w:val="auto"/>
        </w:rPr>
      </w:pPr>
    </w:p>
    <w:p>
      <w:pPr>
        <w:ind w:left="660" w:hanging="652"/>
        <w:spacing w:after="0"/>
        <w:tabs>
          <w:tab w:leader="none" w:pos="660" w:val="left"/>
        </w:tabs>
        <w:numPr>
          <w:ilvl w:val="0"/>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LAWS AND REGULATIONS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employee has an obligation to comply with the laws of the cities, provinces, regions and countries in which the Company operates. This includes, without limitation, laws covering commercial bribery and kickbacks, patent, copyrights, trademarks and trade secrets, information privacy, insider trading, offering or receiving gratuities, employment harassment, environmental protection, occupational health and safety, false or misleading financial information, misuse of corporate assets and foreign currency exchange activities. Employees are expected to understand and comply with all laws, rules and regulations that apply to their positions at the Company. If any doubt exists about whether a course of action is lawful, the employee should seek advice immediately from the Compliance Officer.</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8"/>
          <w:szCs w:val="18"/>
          <w:b w:val="1"/>
          <w:bCs w:val="1"/>
          <w:color w:val="auto"/>
        </w:rPr>
        <w:t>DISCRIMINATION AND HARASSMENT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firmly committed to providing equal opportunity in all aspects of employment and will not tolerate any illegal discrimination or harassment based on race, ethnicity, religion, gender, age, national origin or any other protected class. Any form of sexual harassment is also strictly forbidden. For further information, employees should consult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36" w:name="page437"/>
    <w:bookmarkEnd w:id="43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8"/>
          <w:szCs w:val="18"/>
          <w:b w:val="1"/>
          <w:bCs w:val="1"/>
          <w:color w:val="auto"/>
        </w:rPr>
        <w:t>FAIR DEALING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employee should endeavor to deal fairly with the Company’s customers, suppliers, competitors and employees. No employee should take unfair advantage of anyone through manipulation, concealment, abuse of privileged information, misrepresentation of material facts, or any other unfair-dealing practice.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XIII.</w:t>
        <w:tab/>
        <w:t>COMPENSATION RECOVERY (“CLAWBACK”) AND PENALTY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an accounting restatement, the Company shall be entitled to recover from its senior employees the bonus compensation or performance-based equity compensation in the amount in which such compensation exceeded what would have been paid based on the financial statements, as restated, provided that a claim is made by the Company prior to the second anniversary following the filing of such restated financial statements.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Board or Compensation Committee determines that a director or senior employee violates the Code or any other company policies, the Board or the Compensation Committee may reduce their bonus compensation or performance-based equity compensation by up to ten percent in the year such misconduct occurs. If the compensation has already been paid out, the Board or the Compensation Committee is entitled to recover up to ten percent of such compensation. Notwithstanding the aforesaid, the compensation recovery or penalty will not be triggered in the following events: (i) the financial restatement is required due to changes in the applicable financial reporting standards; or (ii) the Compensation Committee has determined that Clawback or penalty proceedings in the specific case would be impossible, impractical, or not commercially or legally efficient.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Nothing in this Section XIII derogates from any other “Clawback” or similar provisions regarding disgorging of profits imposed on directors and senior employees by virtue of applicable securities laws or a separate contractual obligation.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XIV.</w:t>
      </w:r>
      <w:r>
        <w:rPr>
          <w:sz w:val="20"/>
          <w:szCs w:val="20"/>
          <w:color w:val="auto"/>
        </w:rPr>
        <w:tab/>
      </w:r>
      <w:r>
        <w:rPr>
          <w:rFonts w:ascii="Times New Roman" w:cs="Times New Roman" w:eastAsia="Times New Roman" w:hAnsi="Times New Roman"/>
          <w:sz w:val="18"/>
          <w:szCs w:val="18"/>
          <w:b w:val="1"/>
          <w:bCs w:val="1"/>
          <w:color w:val="auto"/>
        </w:rPr>
        <w:t>HEALTH AND SAFETY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strives to provide employees with a safe and healthy work environment. Each employee has responsibility for maintaining a safe and healthy workplace for other employees by following environmental, safety and health rules and practices and reporting accidents, injuries and unsafe equipment, practices or conditions. Violence or threats of violence are not permitted.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employee is expected to perform his/her duty to the Company in a safe manner, not under the influence of alcohol, illegal drugs or other controlled substances. The use of illegal drugs or other controlled substances in the workplace is prohibited.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XV.</w:t>
      </w:r>
      <w:r>
        <w:rPr>
          <w:sz w:val="20"/>
          <w:szCs w:val="20"/>
          <w:color w:val="auto"/>
        </w:rPr>
        <w:tab/>
      </w:r>
      <w:r>
        <w:rPr>
          <w:rFonts w:ascii="Times New Roman" w:cs="Times New Roman" w:eastAsia="Times New Roman" w:hAnsi="Times New Roman"/>
          <w:sz w:val="18"/>
          <w:szCs w:val="18"/>
          <w:b w:val="1"/>
          <w:bCs w:val="1"/>
          <w:color w:val="auto"/>
        </w:rPr>
        <w:t>HUMAN RIGHTS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committed to upholding internationally recognized human rights as outlined in United Nations’ Declaration of Human Rights and all applicable laws and regulations. The Company respects and protects the freedom of association of its employees and strictly prohibits the use of child labor, forced or compulsory labor, modern slavery and human trafficking in all forms. The Company respects the individual human rights of its employees throughout their employment and in all other company activities. Additionally, the Company requires its suppliers to use reasonable efforts to ensure that their parts and products do not contribute to human rights abuses, regardless of sourcing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37" w:name="page438"/>
    <w:bookmarkEnd w:id="43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XVI.</w:t>
        <w:tab/>
        <w:t>ANTIRUST AND FAIR COMPETITION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committed to competing fairly and ensuring its business practice is in compliance with all applicable antitrust laws. The Company prohibits any exchange of confidential or commercially sensitive information which may hinder fair competition between competitors or among self-owned stores, joint-venture stores, partnership stores, and dealer stores. It is the Company’s policy to avoid practices that could have the effect of limiting competition with competitors or among self-owned stores, joint-venture stores, partnership stores, and dealer stores. Prohibited practices include any arrangement of price fixing, boycotting any third parties, and illegally allocating markets by product, territory or customer.</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XVII.</w:t>
        <w:tab/>
        <w:t>VIOLATIONS OF THE CODE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employees have a duty to report any known or suspected violation of this Code, including any violation of laws, rules, regulations or policies that apply to the Company. Reporting a known or suspected violation of this Code by others will not be considered an act of disloyalty, but an action to safeguard the reputation and integrity of the Company and its employees.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employee knows of or suspects a violation of this Code, it is such employee’s responsibility to immediately report the violation to the Compliance Officer, who will work with the employee to investigate his/her concern. All questions and reports of known or suspected violations of this Code will be treated with sensitivity and discretion. The Compliance Officer and the Company will protect the employee’s confidentiality to the extent possible, consistent with the law and the Company’s need to investigate the employee’s concern.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the Company’s policy that any employee who violates this Code will be subject to appropriate discipline, including termination of employment, based upon the facts and circumstances of each particular situation. An employee’s conduct, if it does not comply with the law or with this Code, can result in serious consequences for both the employee and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strictly prohibits retaliation against an employee who, in good faith, seeks help or reports known or suspected violations. An employee inflicting reprisal or retaliation against another employee for reporting a known or suspected violation will be subject to disciplinary action, including termination of employment.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XVIII.  WAIVERS OF THE CODE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Waivers of this Code will be granted on a case-by-case basis and only in extraordinary circumstances. Waivers of this Code may be made only by the Board, or the appropriate committee of the Board, and may be promptly disclosed to the public if so required by applicable laws and regulations and rules of the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38" w:name="page439"/>
    <w:bookmarkEnd w:id="43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XIX.</w:t>
        <w:tab/>
        <w:t>CONCLUSION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Code contains general guidelines for conducting the business of the Company consistent with the highest standards of business ethics. If employees have any questions about these guidelines, they should contact the Compliance Officer. The Company expects all employees to adhere to these standards. Each employee is separately responsible for his/her actions. Conduct that violates the law or this Code cannot be justified by claiming that it was ordered by a supervisor or someone in higher management positions. If an employee engages in conduct prohibited by the law or this Code, such employee will be deemed to have acted outside the scope of his/her employment. Such conduct will subject the employee to disciplinary action, including termination of employment.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39" w:name="page440"/>
    <w:bookmarkEnd w:id="439"/>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Qingfeng Feng, certify that:</w:t>
      </w:r>
    </w:p>
    <w:p>
      <w:pPr>
        <w:spacing w:after="0" w:line="225" w:lineRule="exact"/>
        <w:rPr>
          <w:sz w:val="20"/>
          <w:szCs w:val="20"/>
          <w:color w:val="auto"/>
        </w:rPr>
      </w:pPr>
    </w:p>
    <w:p>
      <w:pPr>
        <w:ind w:left="1300" w:hanging="644"/>
        <w:spacing w:after="0"/>
        <w:tabs>
          <w:tab w:leader="none" w:pos="13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Lotus Technology Inc.;</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62" w:lineRule="exact"/>
        <w:rPr>
          <w:sz w:val="20"/>
          <w:szCs w:val="20"/>
          <w:color w:val="auto"/>
        </w:rPr>
      </w:pPr>
    </w:p>
    <w:p>
      <w:pPr>
        <w:jc w:val="both"/>
        <w:ind w:firstLine="656"/>
        <w:spacing w:after="0" w:line="266" w:lineRule="auto"/>
        <w:tabs>
          <w:tab w:leader="none" w:pos="129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9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jc w:val="both"/>
        <w:ind w:firstLine="656"/>
        <w:spacing w:after="0" w:line="266" w:lineRule="auto"/>
        <w:tabs>
          <w:tab w:leader="none" w:pos="129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jc w:val="both"/>
        <w:ind w:firstLine="656"/>
        <w:spacing w:after="0" w:line="266" w:lineRule="auto"/>
        <w:tabs>
          <w:tab w:leader="none" w:pos="129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2024</w:t>
      </w:r>
    </w:p>
    <w:p>
      <w:pPr>
        <w:spacing w:after="0" w:line="23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Qingfeng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17145</wp:posOffset>
            </wp:positionV>
            <wp:extent cx="282892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Name:Qingfeng Feng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0" w:name="page441"/>
    <w:bookmarkEnd w:id="440"/>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Alexious Kuen Long Lee, certify that:</w:t>
      </w:r>
    </w:p>
    <w:p>
      <w:pPr>
        <w:spacing w:after="0" w:line="225" w:lineRule="exact"/>
        <w:rPr>
          <w:sz w:val="20"/>
          <w:szCs w:val="20"/>
          <w:color w:val="auto"/>
        </w:rPr>
      </w:pPr>
    </w:p>
    <w:p>
      <w:pPr>
        <w:ind w:left="1300" w:hanging="644"/>
        <w:spacing w:after="0"/>
        <w:tabs>
          <w:tab w:leader="none" w:pos="130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Lotus Technology Inc.;</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62" w:lineRule="exact"/>
        <w:rPr>
          <w:sz w:val="20"/>
          <w:szCs w:val="20"/>
          <w:color w:val="auto"/>
        </w:rPr>
      </w:pPr>
    </w:p>
    <w:p>
      <w:pPr>
        <w:jc w:val="both"/>
        <w:ind w:firstLine="656"/>
        <w:spacing w:after="0" w:line="266" w:lineRule="auto"/>
        <w:tabs>
          <w:tab w:leader="none" w:pos="129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9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jc w:val="both"/>
        <w:ind w:firstLine="656"/>
        <w:spacing w:after="0" w:line="266" w:lineRule="auto"/>
        <w:tabs>
          <w:tab w:leader="none" w:pos="129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jc w:val="both"/>
        <w:ind w:firstLine="656"/>
        <w:spacing w:after="0" w:line="266" w:lineRule="auto"/>
        <w:tabs>
          <w:tab w:leader="none" w:pos="129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2024</w:t>
      </w:r>
    </w:p>
    <w:p>
      <w:pPr>
        <w:spacing w:after="0" w:line="23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Alexious Kuen Long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Name:Alexious Kuen Long Lee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1" w:name="page442"/>
    <w:bookmarkEnd w:id="441"/>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Lotus Technology Inc. (the “Company”) on Form 20-F for the year ended December 31, 2023 as filed with the Securities and Exchange Commission on the date hereof (the “Report”), I, Qingfeng Feng,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300" w:hanging="644"/>
        <w:spacing w:after="0"/>
        <w:tabs>
          <w:tab w:leader="none" w:pos="130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2024</w:t>
      </w:r>
    </w:p>
    <w:p>
      <w:pPr>
        <w:spacing w:after="0" w:line="23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Qingfeng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Name:Qingfeng Feng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2" w:name="page443"/>
    <w:bookmarkEnd w:id="442"/>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Lotus Technology Inc. (the “Company”) on Form 20-F for the year ended December 31, 2023 as filed with the Securities and Exchange Commission on the date hereof (the “Report”), I, Alexious Kuen Long Lee,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300" w:hanging="644"/>
        <w:spacing w:after="0"/>
        <w:tabs>
          <w:tab w:leader="none" w:pos="130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2024</w:t>
      </w:r>
    </w:p>
    <w:p>
      <w:pPr>
        <w:spacing w:after="0" w:line="23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Alexious Kuen Long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Name:Alexious Kuen Long Lee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3" w:name="page444"/>
    <w:bookmarkEnd w:id="4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88900</wp:posOffset>
            </wp:positionV>
            <wp:extent cx="1131570" cy="10198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0">
                      <a:clrChange>
                        <a:clrFrom>
                          <a:srgbClr val="FFFFFF"/>
                        </a:clrFrom>
                        <a:clrTo>
                          <a:srgbClr val="FFFFFF">
                            <a:alpha val="0"/>
                          </a:srgbClr>
                        </a:clrTo>
                      </a:clrChange>
                      <a:extLst>
                        <a:ext uri="{28A0092B-C50C-407E-A947-70E740481C1C}"/>
                      </a:extLst>
                    </a:blip>
                    <a:srcRect/>
                    <a:stretch>
                      <a:fillRect/>
                    </a:stretch>
                  </pic:blipFill>
                  <pic:spPr bwMode="auto">
                    <a:xfrm>
                      <a:off x="0" y="0"/>
                      <a:ext cx="1131570" cy="1019810"/>
                    </a:xfrm>
                    <a:prstGeom prst="rect">
                      <a:avLst/>
                    </a:prstGeom>
                    <a:noFill/>
                  </pic:spPr>
                </pic:pic>
              </a:graphicData>
            </a:graphic>
          </wp:anchor>
        </w:drawing>
      </w: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3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Our ref</w:t>
      </w:r>
      <w:r>
        <w:rPr>
          <w:sz w:val="20"/>
          <w:szCs w:val="20"/>
          <w:color w:val="auto"/>
        </w:rPr>
        <w:tab/>
      </w:r>
      <w:r>
        <w:rPr>
          <w:rFonts w:ascii="Times New Roman" w:cs="Times New Roman" w:eastAsia="Times New Roman" w:hAnsi="Times New Roman"/>
          <w:sz w:val="17"/>
          <w:szCs w:val="17"/>
          <w:color w:val="auto"/>
        </w:rPr>
        <w:t>YCU/792101-000002/29211711v1</w:t>
      </w:r>
    </w:p>
    <w:p>
      <w:pPr>
        <w:spacing w:after="0" w:line="3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Direct tel</w:t>
      </w:r>
      <w:r>
        <w:rPr>
          <w:sz w:val="20"/>
          <w:szCs w:val="20"/>
          <w:color w:val="auto"/>
        </w:rPr>
        <w:tab/>
      </w:r>
      <w:r>
        <w:rPr>
          <w:rFonts w:ascii="Times New Roman" w:cs="Times New Roman" w:eastAsia="Times New Roman" w:hAnsi="Times New Roman"/>
          <w:sz w:val="17"/>
          <w:szCs w:val="17"/>
          <w:color w:val="auto"/>
        </w:rPr>
        <w:t>+852 3690 7529</w:t>
      </w:r>
    </w:p>
    <w:p>
      <w:pPr>
        <w:spacing w:after="0" w:line="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Email</w:t>
      </w:r>
      <w:r>
        <w:rPr>
          <w:sz w:val="20"/>
          <w:szCs w:val="20"/>
          <w:color w:val="auto"/>
        </w:rPr>
        <w:tab/>
      </w:r>
      <w:r>
        <w:rPr>
          <w:rFonts w:ascii="Times New Roman" w:cs="Times New Roman" w:eastAsia="Times New Roman" w:hAnsi="Times New Roman"/>
          <w:sz w:val="18"/>
          <w:szCs w:val="18"/>
          <w:color w:val="auto"/>
        </w:rPr>
        <w:t>Charmaine.Chow@maples.com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KY1-1104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April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acted as legal advisers as to the laws of the Cayman Islands to Lotus Technology Inc., an exempted company incorporated with limited liability in the Cayman Islands (the “Company”), in connection with the filing by the Company with the United States Securities and Exchange Commission (the “SEC”) of an annual report on Form 20-F for the year ended 31 December 2023 (the “Annual Report”).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headings “Item 5. Operating and Financial Review and Prospects—Taxation” in the Annual Report.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444" w:name="page445"/>
    <w:bookmarkEnd w:id="444"/>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47" w:lineRule="exact"/>
        <w:rPr>
          <w:sz w:val="20"/>
          <w:szCs w:val="20"/>
          <w:color w:val="auto"/>
        </w:rPr>
      </w:pPr>
    </w:p>
    <w:p>
      <w:pPr>
        <w:ind w:right="4660"/>
        <w:spacing w:after="0" w:line="269" w:lineRule="auto"/>
        <w:rPr>
          <w:sz w:val="20"/>
          <w:szCs w:val="20"/>
          <w:color w:val="auto"/>
        </w:rPr>
      </w:pPr>
      <w:r>
        <w:rPr>
          <w:rFonts w:ascii="Times New Roman" w:cs="Times New Roman" w:eastAsia="Times New Roman" w:hAnsi="Times New Roman"/>
          <w:sz w:val="16"/>
          <w:szCs w:val="16"/>
          <w:color w:val="auto"/>
        </w:rPr>
        <w:t>9/F, Office Tower C1, Oriental Plaza, 1 East Chang An Ave., Dongcheng District Beijing 100738, 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-252730</wp:posOffset>
            </wp:positionV>
            <wp:extent cx="1397635" cy="58293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2">
                      <a:extLst>
                        <a:ext uri="{28A0092B-C50C-407E-A947-70E740481C1C}"/>
                      </a:extLst>
                    </a:blip>
                    <a:srcRect/>
                    <a:stretch>
                      <a:fillRect/>
                    </a:stretch>
                  </pic:blipFill>
                  <pic:spPr bwMode="auto">
                    <a:xfrm>
                      <a:off x="0" y="0"/>
                      <a:ext cx="1397635" cy="5829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Tel: +86 10 8525 5500  Fax: +86 10 8525 5511 / 8525 5522</w:t>
      </w:r>
    </w:p>
    <w:p>
      <w:pPr>
        <w:spacing w:after="0" w:line="19" w:lineRule="exact"/>
        <w:rPr>
          <w:sz w:val="20"/>
          <w:szCs w:val="20"/>
          <w:color w:val="auto"/>
        </w:rPr>
      </w:pPr>
    </w:p>
    <w:p>
      <w:pPr>
        <w:ind w:right="4340"/>
        <w:spacing w:after="0" w:line="288" w:lineRule="auto"/>
        <w:rPr>
          <w:sz w:val="20"/>
          <w:szCs w:val="20"/>
          <w:color w:val="auto"/>
        </w:rPr>
      </w:pPr>
      <w:r>
        <w:rPr>
          <w:rFonts w:ascii="Times New Roman" w:cs="Times New Roman" w:eastAsia="Times New Roman" w:hAnsi="Times New Roman"/>
          <w:sz w:val="16"/>
          <w:szCs w:val="16"/>
          <w:color w:val="auto"/>
        </w:rPr>
        <w:t xml:space="preserve">Beijing Shanghai Shenzhen Hong Kong Haikou Wuhan Singapore New York </w:t>
      </w:r>
      <w:r>
        <w:rPr>
          <w:rFonts w:ascii="Times New Roman" w:cs="Times New Roman" w:eastAsia="Times New Roman" w:hAnsi="Times New Roman"/>
          <w:sz w:val="16"/>
          <w:szCs w:val="16"/>
          <w:u w:val="single" w:color="auto"/>
          <w:color w:val="auto"/>
        </w:rPr>
        <w:t>www.hankunlaw.com</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Lotus Technology Inc. </w:t>
      </w:r>
      <w:r>
        <w:rPr>
          <w:rFonts w:ascii="Times New Roman" w:cs="Times New Roman" w:eastAsia="Times New Roman" w:hAnsi="Times New Roman"/>
          <w:sz w:val="18"/>
          <w:szCs w:val="18"/>
          <w:color w:val="auto"/>
        </w:rPr>
        <w:t>(the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800 Century Avenue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Pudong District, Shanghai,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Sirs/Madams,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acted as the PRC legal counsel as to the laws of the People’s Republic of China (the “PRC”, for purpose of this letter only, excluding the Hong Kong Special Administrative Region, the Macau Special Administrative Region and Taiwan) to the Company in connection with the Company’s annual report on Form 20-F, including all amendments and supplements thereto (the “Annual Report”), filed with the Securities and Exchange Commission (the “SEC”) under the U.S. Securities Act of 1934 (as amended) for the fiscal year ended December 31,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hereby consent to the reference of our name in the Annual Report and the filing of this consent letter with the SEC as an exhibit to the Annual Report.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the Securities Exchange Act of 1934, in each case, as amended, or the regulations promulgated thereunder.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Han Kun Law Offices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1097280</wp:posOffset>
            </wp:positionV>
            <wp:extent cx="6292215" cy="260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154305</wp:posOffset>
            </wp:positionV>
            <wp:extent cx="6172200" cy="6000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4">
                      <a:extLst>
                        <a:ext uri="{28A0092B-C50C-407E-A947-70E740481C1C}"/>
                      </a:extLst>
                    </a:blip>
                    <a:srcRect/>
                    <a:stretch>
                      <a:fillRect/>
                    </a:stretch>
                  </pic:blipFill>
                  <pic:spPr bwMode="auto">
                    <a:xfrm>
                      <a:off x="0" y="0"/>
                      <a:ext cx="6172200" cy="60007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5" w:name="page446"/>
    <w:bookmarkEnd w:id="445"/>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LOTUS TECHNOLOGY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210" w:lineRule="exact"/>
        <w:rPr>
          <w:sz w:val="20"/>
          <w:szCs w:val="20"/>
          <w:color w:val="auto"/>
        </w:rPr>
      </w:pPr>
    </w:p>
    <w:p>
      <w:pPr>
        <w:ind w:right="20" w:firstLine="324"/>
        <w:spacing w:after="0" w:line="244"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Lotus Technology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believes that it is appropriate for the Company to adopt this Clawback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to be applied to the Executive Officers of the Company and adopts this Policy to be effective as of the Effective Date.</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1.  Definitions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For purposes of this Policy, the following definitions shall apply:</w:t>
      </w:r>
    </w:p>
    <w:p>
      <w:pPr>
        <w:spacing w:after="0" w:line="206" w:lineRule="exact"/>
        <w:rPr>
          <w:sz w:val="20"/>
          <w:szCs w:val="20"/>
          <w:color w:val="auto"/>
        </w:rPr>
      </w:pPr>
    </w:p>
    <w:p>
      <w:pPr>
        <w:ind w:left="980" w:right="840" w:hanging="324"/>
        <w:spacing w:after="0" w:line="258" w:lineRule="auto"/>
        <w:tabs>
          <w:tab w:leader="none" w:pos="980"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a similar body) formed in accordance with applicable exchange rules.</w:t>
      </w:r>
    </w:p>
    <w:p>
      <w:pPr>
        <w:spacing w:after="0" w:line="158" w:lineRule="exact"/>
        <w:rPr>
          <w:rFonts w:ascii="Times New Roman" w:cs="Times New Roman" w:eastAsia="Times New Roman" w:hAnsi="Times New Roman"/>
          <w:sz w:val="22"/>
          <w:szCs w:val="22"/>
          <w:color w:val="auto"/>
        </w:rPr>
      </w:pPr>
    </w:p>
    <w:p>
      <w:pPr>
        <w:ind w:left="980" w:right="160" w:hanging="324"/>
        <w:spacing w:after="0" w:line="236" w:lineRule="auto"/>
        <w:tabs>
          <w:tab w:leader="none" w:pos="980"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Compensation</w:t>
      </w:r>
      <w:r>
        <w:rPr>
          <w:rFonts w:ascii="Times New Roman" w:cs="Times New Roman" w:eastAsia="Times New Roman" w:hAnsi="Times New Roman"/>
          <w:sz w:val="22"/>
          <w:szCs w:val="22"/>
          <w:color w:val="auto"/>
        </w:rPr>
        <w:t>” means any Incentive-Based Compensation granted, vested or paid to a person who served as an Executive Officer at any time during the performance period for the Incentive-Based Compensation and that was Received (i) on or after October 2, 2023 (the effective date of the applicable Nasdaq listing standards), (ii) after the person became an Executive Officer and (iii) at a time that the Company had a class of securities listed on a national securities exchange or a national securities association.</w:t>
      </w:r>
    </w:p>
    <w:p>
      <w:pPr>
        <w:spacing w:after="0" w:line="177" w:lineRule="exact"/>
        <w:rPr>
          <w:rFonts w:ascii="Times New Roman" w:cs="Times New Roman" w:eastAsia="Times New Roman" w:hAnsi="Times New Roman"/>
          <w:sz w:val="22"/>
          <w:szCs w:val="22"/>
          <w:color w:val="auto"/>
        </w:rPr>
      </w:pPr>
    </w:p>
    <w:p>
      <w:pPr>
        <w:ind w:left="980" w:right="480" w:hanging="324"/>
        <w:spacing w:after="0" w:line="262" w:lineRule="auto"/>
        <w:tabs>
          <w:tab w:leader="none" w:pos="980"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means the date of consummation of the Company’s business combination with </w:t>
      </w:r>
      <w:r>
        <w:rPr>
          <w:rFonts w:ascii="Times New Roman" w:cs="Times New Roman" w:eastAsia="Times New Roman" w:hAnsi="Times New Roman"/>
          <w:sz w:val="22"/>
          <w:szCs w:val="22"/>
          <w:i w:val="1"/>
          <w:iCs w:val="1"/>
          <w:color w:val="auto"/>
        </w:rPr>
        <w:t>L</w:t>
      </w:r>
      <w:r>
        <w:rPr>
          <w:rFonts w:ascii="Times New Roman" w:cs="Times New Roman" w:eastAsia="Times New Roman" w:hAnsi="Times New Roman"/>
          <w:sz w:val="22"/>
          <w:szCs w:val="22"/>
          <w:color w:val="auto"/>
        </w:rPr>
        <w:t xml:space="preserve"> Catterton Asia Acquisition Corp.</w:t>
      </w:r>
    </w:p>
    <w:p>
      <w:pPr>
        <w:spacing w:after="0" w:line="153" w:lineRule="exact"/>
        <w:rPr>
          <w:rFonts w:ascii="Times New Roman" w:cs="Times New Roman" w:eastAsia="Times New Roman" w:hAnsi="Times New Roman"/>
          <w:sz w:val="22"/>
          <w:szCs w:val="22"/>
          <w:color w:val="auto"/>
        </w:rPr>
      </w:pPr>
    </w:p>
    <w:p>
      <w:pPr>
        <w:ind w:left="980" w:right="20" w:hanging="324"/>
        <w:spacing w:after="0" w:line="233" w:lineRule="auto"/>
        <w:tabs>
          <w:tab w:leader="none" w:pos="980"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Nasdaq.</w:t>
      </w:r>
    </w:p>
    <w:p>
      <w:pPr>
        <w:spacing w:after="0" w:line="184"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U.S. Securities Exchange Act of 1934, as amended.</w:t>
      </w:r>
    </w:p>
    <w:p>
      <w:pPr>
        <w:spacing w:after="0" w:line="206" w:lineRule="exact"/>
        <w:rPr>
          <w:rFonts w:ascii="Times New Roman" w:cs="Times New Roman" w:eastAsia="Times New Roman" w:hAnsi="Times New Roman"/>
          <w:sz w:val="22"/>
          <w:szCs w:val="22"/>
          <w:color w:val="auto"/>
        </w:rPr>
      </w:pPr>
    </w:p>
    <w:p>
      <w:pPr>
        <w:ind w:left="980" w:right="20" w:hanging="324"/>
        <w:spacing w:after="0" w:line="236" w:lineRule="auto"/>
        <w:tabs>
          <w:tab w:leader="none" w:pos="980"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569595</wp:posOffset>
            </wp:positionV>
            <wp:extent cx="629221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46" w:name="page447"/>
    <w:bookmarkEnd w:id="446"/>
    <w:p>
      <w:pPr>
        <w:ind w:left="520" w:right="280"/>
        <w:spacing w:after="0" w:line="244" w:lineRule="auto"/>
        <w:rPr>
          <w:sz w:val="20"/>
          <w:szCs w:val="20"/>
          <w:color w:val="auto"/>
        </w:rPr>
      </w:pPr>
      <w:r>
        <w:rPr>
          <w:rFonts w:ascii="Times New Roman" w:cs="Times New Roman" w:eastAsia="Times New Roman" w:hAnsi="Times New Roman"/>
          <w:sz w:val="22"/>
          <w:szCs w:val="22"/>
          <w:color w:val="auto"/>
        </w:rPr>
        <w:t>of the Company if they perform such policy-making functions for the Company. “Policy-making function” does not include policy-making functions that are not significant. Both current and former Executive Officers are subject to the Policy in accordance with its terms.</w:t>
      </w:r>
    </w:p>
    <w:p>
      <w:pPr>
        <w:spacing w:after="0" w:line="174" w:lineRule="exact"/>
        <w:rPr>
          <w:sz w:val="20"/>
          <w:szCs w:val="20"/>
          <w:color w:val="auto"/>
        </w:rPr>
      </w:pPr>
    </w:p>
    <w:p>
      <w:pPr>
        <w:ind w:left="520" w:right="120" w:hanging="324"/>
        <w:spacing w:after="0" w:line="235" w:lineRule="auto"/>
        <w:tabs>
          <w:tab w:leader="none" w:pos="520"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w:t>
      </w:r>
      <w:r>
        <w:rPr>
          <w:rFonts w:ascii="Times New Roman" w:cs="Times New Roman" w:eastAsia="Times New Roman" w:hAnsi="Times New Roman"/>
          <w:sz w:val="22"/>
          <w:szCs w:val="22"/>
          <w:color w:val="auto"/>
        </w:rPr>
        <w:t>” means (i) any measure that is determined and presented in accordance with the accounting principles used in preparing the Company’s financial statements, and any measures derived wholly or in part from such measures and may consist of IFRS/U.S. GAAP or non-IFRS/non-U.S. GAAP financial measures (as defined under Regulation G of the Exchange Act and Item 10 of Regulation S-K under the Exchange Act), (ii) stock price or (iii) total shareholder return. Financial Reporting Measures need not be presented within the Company’s financial statements or included in a filing with the SEC.</w:t>
      </w:r>
    </w:p>
    <w:p>
      <w:pPr>
        <w:spacing w:after="0" w:line="183" w:lineRule="exact"/>
        <w:rPr>
          <w:rFonts w:ascii="Times New Roman" w:cs="Times New Roman" w:eastAsia="Times New Roman" w:hAnsi="Times New Roman"/>
          <w:sz w:val="22"/>
          <w:szCs w:val="22"/>
          <w:color w:val="auto"/>
        </w:rPr>
      </w:pPr>
    </w:p>
    <w:p>
      <w:pPr>
        <w:ind w:left="520" w:right="820" w:hanging="324"/>
        <w:spacing w:after="0" w:line="258" w:lineRule="auto"/>
        <w:tabs>
          <w:tab w:leader="none" w:pos="520"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means the Company and each of its subsidiaries or consolidated affiliated entities, as applicable.</w:t>
      </w:r>
    </w:p>
    <w:p>
      <w:pPr>
        <w:spacing w:after="0" w:line="158" w:lineRule="exact"/>
        <w:rPr>
          <w:rFonts w:ascii="Times New Roman" w:cs="Times New Roman" w:eastAsia="Times New Roman" w:hAnsi="Times New Roman"/>
          <w:sz w:val="22"/>
          <w:szCs w:val="22"/>
          <w:color w:val="auto"/>
        </w:rPr>
      </w:pPr>
    </w:p>
    <w:p>
      <w:pPr>
        <w:ind w:left="520" w:hanging="324"/>
        <w:spacing w:after="0"/>
        <w:tabs>
          <w:tab w:leader="none" w:pos="520"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Home Country</w:t>
      </w:r>
      <w:r>
        <w:rPr>
          <w:rFonts w:ascii="Times New Roman" w:cs="Times New Roman" w:eastAsia="Times New Roman" w:hAnsi="Times New Roman"/>
          <w:sz w:val="22"/>
          <w:szCs w:val="22"/>
          <w:color w:val="auto"/>
        </w:rPr>
        <w:t>” means the Company’s jurisdiction of incorporation.</w:t>
      </w:r>
    </w:p>
    <w:p>
      <w:pPr>
        <w:spacing w:after="0" w:line="206" w:lineRule="exact"/>
        <w:rPr>
          <w:rFonts w:ascii="Times New Roman" w:cs="Times New Roman" w:eastAsia="Times New Roman" w:hAnsi="Times New Roman"/>
          <w:sz w:val="22"/>
          <w:szCs w:val="22"/>
          <w:color w:val="auto"/>
        </w:rPr>
      </w:pPr>
    </w:p>
    <w:p>
      <w:pPr>
        <w:ind w:left="520" w:right="460" w:hanging="324"/>
        <w:spacing w:after="0" w:line="258" w:lineRule="auto"/>
        <w:tabs>
          <w:tab w:leader="none" w:pos="520"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58" w:lineRule="exact"/>
        <w:rPr>
          <w:rFonts w:ascii="Times New Roman" w:cs="Times New Roman" w:eastAsia="Times New Roman" w:hAnsi="Times New Roman"/>
          <w:sz w:val="22"/>
          <w:szCs w:val="22"/>
          <w:color w:val="auto"/>
        </w:rPr>
      </w:pPr>
    </w:p>
    <w:p>
      <w:pPr>
        <w:ind w:left="520" w:right="40" w:hanging="324"/>
        <w:spacing w:after="0" w:line="246" w:lineRule="auto"/>
        <w:tabs>
          <w:tab w:leader="none" w:pos="520" w:val="left"/>
        </w:tabs>
        <w:numPr>
          <w:ilvl w:val="0"/>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Lookback Period</w:t>
      </w:r>
      <w:r>
        <w:rPr>
          <w:rFonts w:ascii="Times New Roman" w:cs="Times New Roman" w:eastAsia="Times New Roman" w:hAnsi="Times New Roman"/>
          <w:sz w:val="21"/>
          <w:szCs w:val="21"/>
          <w:color w:val="auto"/>
        </w:rPr>
        <w:t>”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the Policy is not dependent on if or when the Restatement is actually filed.</w:t>
      </w:r>
    </w:p>
    <w:p>
      <w:pPr>
        <w:spacing w:after="0" w:line="175" w:lineRule="exact"/>
        <w:rPr>
          <w:rFonts w:ascii="Times New Roman" w:cs="Times New Roman" w:eastAsia="Times New Roman" w:hAnsi="Times New Roman"/>
          <w:sz w:val="21"/>
          <w:szCs w:val="21"/>
          <w:color w:val="auto"/>
        </w:rPr>
      </w:pPr>
    </w:p>
    <w:p>
      <w:pPr>
        <w:ind w:left="520" w:hanging="324"/>
        <w:spacing w:after="0"/>
        <w:tabs>
          <w:tab w:leader="none" w:pos="520"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means the Nasdaq Stock Market.</w:t>
      </w:r>
    </w:p>
    <w:p>
      <w:pPr>
        <w:spacing w:after="0" w:line="206" w:lineRule="exact"/>
        <w:rPr>
          <w:rFonts w:ascii="Times New Roman" w:cs="Times New Roman" w:eastAsia="Times New Roman" w:hAnsi="Times New Roman"/>
          <w:sz w:val="22"/>
          <w:szCs w:val="22"/>
          <w:color w:val="auto"/>
        </w:rPr>
      </w:pPr>
    </w:p>
    <w:p>
      <w:pPr>
        <w:ind w:left="520" w:hanging="324"/>
        <w:spacing w:after="0" w:line="239" w:lineRule="auto"/>
        <w:tabs>
          <w:tab w:leader="none" w:pos="520"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Received</w:t>
      </w:r>
      <w:r>
        <w:rPr>
          <w:rFonts w:ascii="Times New Roman" w:cs="Times New Roman" w:eastAsia="Times New Roman" w:hAnsi="Times New Roman"/>
          <w:sz w:val="22"/>
          <w:szCs w:val="22"/>
          <w:color w:val="auto"/>
        </w:rPr>
        <w:t>”: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180" w:lineRule="exact"/>
        <w:rPr>
          <w:rFonts w:ascii="Times New Roman" w:cs="Times New Roman" w:eastAsia="Times New Roman" w:hAnsi="Times New Roman"/>
          <w:sz w:val="22"/>
          <w:szCs w:val="22"/>
          <w:color w:val="auto"/>
        </w:rPr>
      </w:pPr>
    </w:p>
    <w:p>
      <w:pPr>
        <w:ind w:left="520" w:hanging="324"/>
        <w:spacing w:after="0" w:line="246" w:lineRule="auto"/>
        <w:tabs>
          <w:tab w:leader="none" w:pos="520" w:val="left"/>
        </w:tabs>
        <w:numPr>
          <w:ilvl w:val="0"/>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Restatement</w:t>
      </w:r>
      <w:r>
        <w:rPr>
          <w:rFonts w:ascii="Times New Roman" w:cs="Times New Roman" w:eastAsia="Times New Roman" w:hAnsi="Times New Roman"/>
          <w:sz w:val="21"/>
          <w:szCs w:val="21"/>
          <w:color w:val="auto"/>
        </w:rPr>
        <w: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626110</wp:posOffset>
            </wp:positionV>
            <wp:extent cx="6292215" cy="260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1" w:right="999" w:bottom="1440" w:gutter="0" w:footer="0" w:header="0"/>
        </w:sectPr>
      </w:pPr>
    </w:p>
    <w:bookmarkStart w:id="447" w:name="page448"/>
    <w:bookmarkEnd w:id="447"/>
    <w:p>
      <w:pPr>
        <w:ind w:left="980" w:right="60"/>
        <w:spacing w:after="0" w:line="258" w:lineRule="auto"/>
        <w:rPr>
          <w:sz w:val="20"/>
          <w:szCs w:val="20"/>
          <w:color w:val="auto"/>
        </w:rPr>
      </w:pPr>
      <w:r>
        <w:rPr>
          <w:rFonts w:ascii="Times New Roman" w:cs="Times New Roman" w:eastAsia="Times New Roman" w:hAnsi="Times New Roman"/>
          <w:sz w:val="22"/>
          <w:szCs w:val="22"/>
          <w:color w:val="auto"/>
        </w:rPr>
        <w:t>Erroneously Awarded Compensation under the Policy is not dependent on fraud or misconduct by any person in connection with the Restatement.</w:t>
      </w:r>
    </w:p>
    <w:p>
      <w:pPr>
        <w:spacing w:after="0" w:line="159" w:lineRule="exact"/>
        <w:rPr>
          <w:sz w:val="20"/>
          <w:szCs w:val="20"/>
          <w:color w:val="auto"/>
        </w:rPr>
      </w:pPr>
    </w:p>
    <w:p>
      <w:pPr>
        <w:ind w:left="980" w:hanging="324"/>
        <w:spacing w:after="0"/>
        <w:tabs>
          <w:tab w:leader="none" w:pos="980" w:val="left"/>
        </w:tabs>
        <w:numPr>
          <w:ilvl w:val="1"/>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0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Recovery of Erroneously Awarded Compensation</w:t>
      </w:r>
    </w:p>
    <w:p>
      <w:pPr>
        <w:spacing w:after="0" w:line="210"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22"/>
          <w:szCs w:val="22"/>
          <w:color w:val="auto"/>
        </w:rPr>
        <w:t>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 reasonably prompt repayment to the Group in accordance with Section 3 of this Policy. The Committee must pursue (and shall not have the discretion to waive) the forfeiture and/or repayment of such Erroneously Awarded Compensation in accordance with Section 3 of this Policy, except as provided below.</w:t>
      </w:r>
    </w:p>
    <w:p>
      <w:pPr>
        <w:spacing w:after="0" w:line="181" w:lineRule="exact"/>
        <w:rPr>
          <w:sz w:val="20"/>
          <w:szCs w:val="20"/>
          <w:color w:val="auto"/>
        </w:rPr>
      </w:pPr>
    </w:p>
    <w:p>
      <w:pPr>
        <w:ind w:firstLine="324"/>
        <w:spacing w:after="0" w:line="243" w:lineRule="auto"/>
        <w:rPr>
          <w:sz w:val="20"/>
          <w:szCs w:val="20"/>
          <w:color w:val="auto"/>
        </w:rPr>
      </w:pPr>
      <w:r>
        <w:rPr>
          <w:rFonts w:ascii="Times New Roman" w:cs="Times New Roman" w:eastAsia="Times New Roman" w:hAnsi="Times New Roman"/>
          <w:sz w:val="21"/>
          <w:szCs w:val="21"/>
          <w:color w:val="auto"/>
        </w:rPr>
        <w:t>Notwithstanding the foregoing, the Committee (or, if the Committee is not a committee of the Board responsible for the Company’s executive compensation decisions and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including the costs that could be incurred if pursuing such recovery would violate local laws other than the Company’s Home Country laws (following reasonable attempts by the Group to recover such Erroneously Awarded Compensation, the documentation of such attempts, and the provision of such documentation to the Nasdaq), (ii) pursuing such recovery would violate the Company’s Home Country laws adopted prior to November 28, 2022 (provided that the Company obtains an opinion of Home Country counsel acceptable to the Nasdaq that recovery would result in such a violation and provides such opinion to the Nasdaq), or (iii) recovery would likely cause any otherwise tax-qualified retirement plan, under which benefits are broadly available to employees of Group, to fail to meet the requirements of 26 U.S.C. 401(a)</w:t>
      </w:r>
    </w:p>
    <w:p>
      <w:pPr>
        <w:spacing w:after="0" w:line="3" w:lineRule="exact"/>
        <w:rPr>
          <w:sz w:val="20"/>
          <w:szCs w:val="20"/>
          <w:color w:val="auto"/>
        </w:rPr>
      </w:pPr>
    </w:p>
    <w:p>
      <w:pPr>
        <w:ind w:left="420" w:hanging="412"/>
        <w:spacing w:after="0"/>
        <w:tabs>
          <w:tab w:leader="none" w:pos="420"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26 U.S.C. 411(a) and regulations thereunder.</w:t>
      </w:r>
    </w:p>
    <w:p>
      <w:pPr>
        <w:spacing w:after="0" w:line="17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3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Means of Repayment</w:t>
      </w:r>
    </w:p>
    <w:p>
      <w:pPr>
        <w:spacing w:after="0" w:line="210" w:lineRule="exact"/>
        <w:rPr>
          <w:sz w:val="20"/>
          <w:szCs w:val="20"/>
          <w:color w:val="auto"/>
        </w:rPr>
      </w:pPr>
    </w:p>
    <w:p>
      <w:pPr>
        <w:ind w:right="20" w:firstLine="324"/>
        <w:spacing w:after="0" w:line="233" w:lineRule="auto"/>
        <w:rPr>
          <w:sz w:val="20"/>
          <w:szCs w:val="20"/>
          <w:color w:val="auto"/>
        </w:rPr>
      </w:pPr>
      <w:r>
        <w:rPr>
          <w:rFonts w:ascii="Times New Roman" w:cs="Times New Roman" w:eastAsia="Times New Roman" w:hAnsi="Times New Roman"/>
          <w:sz w:val="22"/>
          <w:szCs w:val="22"/>
          <w:color w:val="auto"/>
        </w:rPr>
        <w:t>In the event that the Committee determines that any person shall repay any Erroneously Awarded Compensation, the Committee shall provide written notice to such person by email or certified mail to the physical address on file with the Group for such person, and the person shall satisfy such repayment in a manner and on such terms as required by the Committee, and the Group shall be entitled to set off the repayment amount against any amount owed to the person by the Group, to require the forfeiture of any award granted by the Group to the person, or to take any and all necessary actions to reasonably promptly recover the repayment amount from the person, in each case, to the fullest extent permitted under applicable law, including without limitation, Section 409A of the U.S. Internal Revenue Code and the regulations and guidance thereunder. If the Committee does not specify a repayment timing in the written notice described above, the applicable person shall be required to repay the Erroneously Awarded Compensation to the Group by wire, cash or cashier’s check no later than thirty (30) days after receipt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633730</wp:posOffset>
            </wp:positionV>
            <wp:extent cx="6292215" cy="260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11" w:right="1059" w:bottom="1440" w:gutter="0" w:footer="0" w:header="0"/>
        </w:sectPr>
      </w:pPr>
    </w:p>
    <w:bookmarkStart w:id="448" w:name="page449"/>
    <w:bookmarkEnd w:id="448"/>
    <w:p>
      <w:pPr>
        <w:ind w:left="340"/>
        <w:spacing w:after="0"/>
        <w:rPr>
          <w:sz w:val="20"/>
          <w:szCs w:val="20"/>
          <w:color w:val="auto"/>
        </w:rPr>
      </w:pPr>
      <w:r>
        <w:rPr>
          <w:rFonts w:ascii="Times New Roman" w:cs="Times New Roman" w:eastAsia="Times New Roman" w:hAnsi="Times New Roman"/>
          <w:sz w:val="22"/>
          <w:szCs w:val="22"/>
          <w:b w:val="1"/>
          <w:bCs w:val="1"/>
          <w:color w:val="auto"/>
        </w:rPr>
        <w:t>4.  No Indemnification</w:t>
      </w:r>
    </w:p>
    <w:p>
      <w:pPr>
        <w:spacing w:after="0" w:line="210" w:lineRule="exact"/>
        <w:rPr>
          <w:sz w:val="20"/>
          <w:szCs w:val="20"/>
          <w:color w:val="auto"/>
        </w:rPr>
      </w:pPr>
    </w:p>
    <w:p>
      <w:pPr>
        <w:ind w:right="20" w:firstLine="324"/>
        <w:spacing w:after="0" w:line="234" w:lineRule="auto"/>
        <w:rPr>
          <w:sz w:val="20"/>
          <w:szCs w:val="20"/>
          <w:color w:val="auto"/>
        </w:rPr>
      </w:pPr>
      <w:r>
        <w:rPr>
          <w:rFonts w:ascii="Times New Roman" w:cs="Times New Roman" w:eastAsia="Times New Roman" w:hAnsi="Times New Roman"/>
          <w:sz w:val="22"/>
          <w:szCs w:val="22"/>
          <w:color w:val="auto"/>
        </w:rPr>
        <w:t xml:space="preserve">No person shall be indemnified, insured or reimbursed by the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 w:cs="Times New Roman" w:eastAsia="Times New Roman" w:hAnsi="Times New Roman"/>
          <w:sz w:val="22"/>
          <w:szCs w:val="22"/>
          <w:i w:val="1"/>
          <w:iCs w:val="1"/>
          <w:color w:val="auto"/>
        </w:rPr>
        <w:t>de facto</w:t>
      </w:r>
      <w:r>
        <w:rPr>
          <w:rFonts w:ascii="Times New Roman" w:cs="Times New Roman" w:eastAsia="Times New Roman" w:hAnsi="Times New Roman"/>
          <w:sz w:val="22"/>
          <w:szCs w:val="22"/>
          <w:color w:val="auto"/>
        </w:rPr>
        <w:t xml:space="preserve"> indemnification (for example, providing the person a new cash award which would be cancelled to effect the recovery of any Erroneously Awarded Compensation). In no event shall the Group be required to award any person an additional payment if any Restatement would result in a higher incentive compensation payment.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5.  Miscellaneous</w:t>
      </w:r>
    </w:p>
    <w:p>
      <w:pPr>
        <w:spacing w:after="0" w:line="210"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22"/>
          <w:szCs w:val="22"/>
          <w:color w:val="auto"/>
        </w:rPr>
        <w:t>This Policy generally will be administered and interpreted by the Committee, provided that the Board may, from time to time, exercise discretion to administer and interpret this Policy, in which case, all references herein to “Committee” shall be deemed to refer to the Board. Any determination by the Committee with respect to this Policy shall be final, conclusive and binding on all interested parties. Any discretionary determinations of the Committee under this Policy, if any, need not be uniform with respect to all persons, and may be made selectively amongst persons, whether or not such persons are similarly situated.</w:t>
      </w:r>
    </w:p>
    <w:p>
      <w:pPr>
        <w:spacing w:after="0" w:line="181" w:lineRule="exact"/>
        <w:rPr>
          <w:sz w:val="20"/>
          <w:szCs w:val="20"/>
          <w:color w:val="auto"/>
        </w:rPr>
      </w:pPr>
    </w:p>
    <w:p>
      <w:pPr>
        <w:ind w:right="140" w:firstLine="324"/>
        <w:spacing w:after="0" w:line="238" w:lineRule="auto"/>
        <w:rPr>
          <w:sz w:val="20"/>
          <w:szCs w:val="20"/>
          <w:color w:val="auto"/>
        </w:rPr>
      </w:pPr>
      <w:r>
        <w:rPr>
          <w:rFonts w:ascii="Times New Roman" w:cs="Times New Roman" w:eastAsia="Times New Roman" w:hAnsi="Times New Roman"/>
          <w:sz w:val="22"/>
          <w:szCs w:val="22"/>
          <w:color w:val="auto"/>
        </w:rPr>
        <w:t>This Policy is intended to satisfy the requirements of Section 954 of the Dodd-Frank Wall Street Reform and Consumer Protection Act, as it may be amended from time to time, and any related rules or regulations promulgated by the SEC or the Nasdaq, including any additional or new requirements that become effective after the Effective Date which upon effectiveness shall be deemed to automatically amend this Policy to the extent necessary to comply with such additional or new requirements.</w:t>
      </w:r>
    </w:p>
    <w:p>
      <w:pPr>
        <w:spacing w:after="0" w:line="177" w:lineRule="exact"/>
        <w:rPr>
          <w:sz w:val="20"/>
          <w:szCs w:val="20"/>
          <w:color w:val="auto"/>
        </w:rPr>
      </w:pPr>
    </w:p>
    <w:p>
      <w:pPr>
        <w:ind w:right="40" w:firstLine="324"/>
        <w:spacing w:after="0" w:line="248" w:lineRule="auto"/>
        <w:rPr>
          <w:sz w:val="20"/>
          <w:szCs w:val="20"/>
          <w:color w:val="auto"/>
        </w:rPr>
      </w:pPr>
      <w:r>
        <w:rPr>
          <w:rFonts w:ascii="Times New Roman" w:cs="Times New Roman" w:eastAsia="Times New Roman" w:hAnsi="Times New Roman"/>
          <w:sz w:val="21"/>
          <w:szCs w:val="21"/>
          <w:color w:val="auto"/>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Recovery of Erroneously Awarded Compensation under this Policy is not dependent upon the Group satisfying any conditions in this Policy, including any requirements to provide applicable documentation to the Nasdaq.</w:t>
      </w:r>
    </w:p>
    <w:p>
      <w:pPr>
        <w:spacing w:after="0" w:line="170"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22"/>
          <w:szCs w:val="22"/>
          <w:color w:val="auto"/>
        </w:rPr>
        <w:t>The rights of the Group under this Policy to seek forfeiture or reimbursement are in addition to, and not in lieu of, any rights of recovery, or remedies or rights other than recovery, that may be available to the Group pursuant to the terms of any law, government regulation or stock exchange listing requirement or any other policy, code of conduct, employee handbook, employment agreement, equity award agreement, or other plan or agreement of the Group.</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6.  Amendment and Termination</w:t>
      </w:r>
    </w:p>
    <w:p>
      <w:pPr>
        <w:spacing w:after="0" w:line="210"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22"/>
          <w:szCs w:val="22"/>
          <w:color w:val="auto"/>
        </w:rPr>
        <w:t>To the extent permitted by, and in a manner consistent with applicable law, including SEC and Nasdaq rules, the Committee may terminate, suspend or amend this Policy at any time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60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49" w:name="page450"/>
    <w:bookmarkEnd w:id="449"/>
    <w:p>
      <w:pPr>
        <w:ind w:left="340"/>
        <w:spacing w:after="0"/>
        <w:rPr>
          <w:sz w:val="20"/>
          <w:szCs w:val="20"/>
          <w:color w:val="auto"/>
        </w:rPr>
      </w:pPr>
      <w:r>
        <w:rPr>
          <w:rFonts w:ascii="Times New Roman" w:cs="Times New Roman" w:eastAsia="Times New Roman" w:hAnsi="Times New Roman"/>
          <w:sz w:val="22"/>
          <w:szCs w:val="22"/>
          <w:b w:val="1"/>
          <w:bCs w:val="1"/>
          <w:color w:val="auto"/>
        </w:rPr>
        <w:t>7.  Successors</w:t>
      </w:r>
    </w:p>
    <w:p>
      <w:pPr>
        <w:spacing w:after="0" w:line="210"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22"/>
          <w:szCs w:val="22"/>
          <w:color w:val="auto"/>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880"/>
      </w:cols>
      <w:pgMar w:left="980" w:top="108"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BACF25"/>
    <w:multiLevelType w:val="hybridMultilevel"/>
    <w:lvl w:ilvl="0">
      <w:lvlJc w:val="left"/>
      <w:lvlText w:val="☐"/>
      <w:numFmt w:val="bullet"/>
      <w:start w:val="1"/>
    </w:lvl>
  </w:abstractNum>
  <w:abstractNum w:abstractNumId="1">
    <w:nsid w:val="5D5BABB3"/>
    <w:multiLevelType w:val="hybridMultilevel"/>
    <w:lvl w:ilvl="0">
      <w:lvlJc w:val="left"/>
      <w:lvlText w:val="☒"/>
      <w:numFmt w:val="bullet"/>
      <w:start w:val="1"/>
    </w:lvl>
  </w:abstractNum>
  <w:abstractNum w:abstractNumId="2">
    <w:nsid w:val="51BF6B48"/>
    <w:multiLevelType w:val="hybridMultilevel"/>
    <w:lvl w:ilvl="0">
      <w:lvlJc w:val="left"/>
      <w:lvlText w:val="☐"/>
      <w:numFmt w:val="bullet"/>
      <w:start w:val="1"/>
    </w:lvl>
  </w:abstractNum>
  <w:abstractNum w:abstractNumId="3">
    <w:nsid w:val="7E0F6384"/>
    <w:multiLevelType w:val="hybridMultilevel"/>
    <w:lvl w:ilvl="0">
      <w:lvlJc w:val="left"/>
      <w:lvlText w:val="☐"/>
      <w:numFmt w:val="bullet"/>
      <w:start w:val="1"/>
    </w:lvl>
  </w:abstractNum>
  <w:abstractNum w:abstractNumId="4">
    <w:nsid w:val="2B4B8B53"/>
    <w:multiLevelType w:val="hybridMultilevel"/>
    <w:lvl w:ilvl="0">
      <w:lvlJc w:val="left"/>
      <w:lvlText w:val="†"/>
      <w:numFmt w:val="bullet"/>
      <w:start w:val="1"/>
    </w:lvl>
  </w:abstractNum>
  <w:abstractNum w:abstractNumId="5">
    <w:nsid w:val="72E3413A"/>
    <w:multiLevelType w:val="hybridMultilevel"/>
    <w:lvl w:ilvl="0">
      <w:lvlJc w:val="left"/>
      <w:lvlText w:val="●"/>
      <w:numFmt w:val="bullet"/>
      <w:start w:val="1"/>
    </w:lvl>
  </w:abstractNum>
  <w:abstractNum w:abstractNumId="6">
    <w:nsid w:val="116AE494"/>
    <w:multiLevelType w:val="hybridMultilevel"/>
    <w:lvl w:ilvl="0">
      <w:lvlJc w:val="left"/>
      <w:lvlText w:val="●"/>
      <w:numFmt w:val="bullet"/>
      <w:start w:val="1"/>
    </w:lvl>
  </w:abstractNum>
  <w:abstractNum w:abstractNumId="7">
    <w:nsid w:val="3494B2FB"/>
    <w:multiLevelType w:val="hybridMultilevel"/>
    <w:lvl w:ilvl="0">
      <w:lvlJc w:val="left"/>
      <w:lvlText w:val="●"/>
      <w:numFmt w:val="bullet"/>
      <w:start w:val="1"/>
    </w:lvl>
  </w:abstractNum>
  <w:abstractNum w:abstractNumId="8">
    <w:nsid w:val="B13A31"/>
    <w:multiLevelType w:val="hybridMultilevel"/>
    <w:lvl w:ilvl="0">
      <w:lvlJc w:val="left"/>
      <w:lvlText w:val="●"/>
      <w:numFmt w:val="bullet"/>
      <w:start w:val="1"/>
    </w:lvl>
  </w:abstractNum>
  <w:abstractNum w:abstractNumId="9">
    <w:nsid w:val="64429599"/>
    <w:multiLevelType w:val="hybridMultilevel"/>
    <w:lvl w:ilvl="0">
      <w:lvlJc w:val="left"/>
      <w:lvlText w:val="●"/>
      <w:numFmt w:val="bullet"/>
      <w:start w:val="1"/>
    </w:lvl>
  </w:abstractNum>
  <w:abstractNum w:abstractNumId="10">
    <w:nsid w:val="631F1690"/>
    <w:multiLevelType w:val="hybridMultilevel"/>
    <w:lvl w:ilvl="0">
      <w:lvlJc w:val="left"/>
      <w:lvlText w:val="(%1)"/>
      <w:numFmt w:val="lowerRoman"/>
      <w:start w:val="2"/>
    </w:lvl>
  </w:abstractNum>
  <w:abstractNum w:abstractNumId="11">
    <w:nsid w:val="25973E32"/>
    <w:multiLevelType w:val="hybridMultilevel"/>
    <w:lvl w:ilvl="0">
      <w:lvlJc w:val="left"/>
      <w:lvlText w:val="(%1)"/>
      <w:numFmt w:val="decimal"/>
      <w:start w:val="1"/>
    </w:lvl>
  </w:abstractNum>
  <w:abstractNum w:abstractNumId="12">
    <w:nsid w:val="EAD6F57"/>
    <w:multiLevelType w:val="hybridMultilevel"/>
    <w:lvl w:ilvl="0">
      <w:lvlJc w:val="left"/>
      <w:lvlText w:val="(%1)"/>
      <w:numFmt w:val="decimal"/>
      <w:start w:val="1"/>
    </w:lvl>
  </w:abstractNum>
  <w:abstractNum w:abstractNumId="13">
    <w:nsid w:val="6EC9D844"/>
    <w:multiLevelType w:val="hybridMultilevel"/>
    <w:lvl w:ilvl="0">
      <w:lvlJc w:val="left"/>
      <w:lvlText w:val="(%1)"/>
      <w:numFmt w:val="decimal"/>
      <w:start w:val="1"/>
    </w:lvl>
  </w:abstractNum>
  <w:abstractNum w:abstractNumId="14">
    <w:nsid w:val="5C49EAEE"/>
    <w:multiLevelType w:val="hybridMultilevel"/>
    <w:lvl w:ilvl="0">
      <w:lvlJc w:val="left"/>
      <w:lvlText w:val="%1."/>
      <w:numFmt w:val="upperLetter"/>
      <w:start w:val="1"/>
    </w:lvl>
  </w:abstractNum>
  <w:abstractNum w:abstractNumId="15">
    <w:nsid w:val="64AF49B"/>
    <w:multiLevelType w:val="hybridMultilevel"/>
    <w:lvl w:ilvl="0">
      <w:lvlJc w:val="left"/>
      <w:lvlText w:val="%1."/>
      <w:numFmt w:val="upperLetter"/>
      <w:start w:val="3"/>
    </w:lvl>
  </w:abstractNum>
  <w:abstractNum w:abstractNumId="16">
    <w:nsid w:val="397C46BC"/>
    <w:multiLevelType w:val="hybridMultilevel"/>
    <w:lvl w:ilvl="0">
      <w:lvlJc w:val="left"/>
      <w:lvlText w:val="●"/>
      <w:numFmt w:val="bullet"/>
      <w:start w:val="1"/>
    </w:lvl>
  </w:abstractNum>
  <w:abstractNum w:abstractNumId="17">
    <w:nsid w:val="7E448DE9"/>
    <w:multiLevelType w:val="hybridMultilevel"/>
    <w:lvl w:ilvl="0">
      <w:lvlJc w:val="left"/>
      <w:lvlText w:val="●"/>
      <w:numFmt w:val="bullet"/>
      <w:start w:val="1"/>
    </w:lvl>
  </w:abstractNum>
  <w:abstractNum w:abstractNumId="18">
    <w:nsid w:val="5A9CC3E5"/>
    <w:multiLevelType w:val="hybridMultilevel"/>
    <w:lvl w:ilvl="0">
      <w:lvlJc w:val="left"/>
      <w:lvlText w:val="●"/>
      <w:numFmt w:val="bullet"/>
      <w:start w:val="1"/>
    </w:lvl>
  </w:abstractNum>
  <w:abstractNum w:abstractNumId="19">
    <w:nsid w:val="1AFE3625"/>
    <w:multiLevelType w:val="hybridMultilevel"/>
    <w:lvl w:ilvl="0">
      <w:lvlJc w:val="left"/>
      <w:lvlText w:val="●"/>
      <w:numFmt w:val="bullet"/>
      <w:start w:val="1"/>
    </w:lvl>
  </w:abstractNum>
  <w:abstractNum w:abstractNumId="20">
    <w:nsid w:val="3CA88ECF"/>
    <w:multiLevelType w:val="hybridMultilevel"/>
    <w:lvl w:ilvl="0">
      <w:lvlJc w:val="left"/>
      <w:lvlText w:val="●"/>
      <w:numFmt w:val="bullet"/>
      <w:start w:val="1"/>
    </w:lvl>
  </w:abstractNum>
  <w:abstractNum w:abstractNumId="21">
    <w:nsid w:val="6EBE4208"/>
    <w:multiLevelType w:val="hybridMultilevel"/>
    <w:lvl w:ilvl="0">
      <w:lvlJc w:val="left"/>
      <w:lvlText w:val="(%1)"/>
      <w:numFmt w:val="lowerRoman"/>
      <w:start w:val="4"/>
    </w:lvl>
  </w:abstractNum>
  <w:abstractNum w:abstractNumId="22">
    <w:nsid w:val="C058DF5"/>
    <w:multiLevelType w:val="hybridMultilevel"/>
    <w:lvl w:ilvl="0">
      <w:lvlJc w:val="left"/>
      <w:lvlText w:val="(%1)"/>
      <w:numFmt w:val="lowerRoman"/>
      <w:start w:val="2"/>
    </w:lvl>
  </w:abstractNum>
  <w:abstractNum w:abstractNumId="23">
    <w:nsid w:val="CBE5BE9"/>
    <w:multiLevelType w:val="hybridMultilevel"/>
    <w:lvl w:ilvl="0">
      <w:lvlJc w:val="left"/>
      <w:lvlText w:val="●"/>
      <w:numFmt w:val="bullet"/>
      <w:start w:val="1"/>
    </w:lvl>
  </w:abstractNum>
  <w:abstractNum w:abstractNumId="24">
    <w:nsid w:val="3102BBE2"/>
    <w:multiLevelType w:val="hybridMultilevel"/>
    <w:lvl w:ilvl="0">
      <w:lvlJc w:val="left"/>
      <w:lvlText w:val="%1"/>
      <w:numFmt w:val="upperLetter"/>
      <w:start w:val="55"/>
    </w:lvl>
  </w:abstractNum>
  <w:abstractNum w:abstractNumId="25">
    <w:nsid w:val="26A02C5E"/>
    <w:multiLevelType w:val="hybridMultilevel"/>
    <w:lvl w:ilvl="0">
      <w:lvlJc w:val="left"/>
      <w:lvlText w:val="●"/>
      <w:numFmt w:val="bullet"/>
      <w:start w:val="1"/>
    </w:lvl>
  </w:abstractNum>
  <w:abstractNum w:abstractNumId="26">
    <w:nsid w:val="541C8153"/>
    <w:multiLevelType w:val="hybridMultilevel"/>
    <w:lvl w:ilvl="0">
      <w:lvlJc w:val="left"/>
      <w:lvlText w:val="●"/>
      <w:numFmt w:val="bullet"/>
      <w:start w:val="1"/>
    </w:lvl>
  </w:abstractNum>
  <w:abstractNum w:abstractNumId="27">
    <w:nsid w:val="67906F60"/>
    <w:multiLevelType w:val="hybridMultilevel"/>
    <w:lvl w:ilvl="0">
      <w:lvlJc w:val="left"/>
      <w:lvlText w:val="●"/>
      <w:numFmt w:val="bullet"/>
      <w:start w:val="1"/>
    </w:lvl>
  </w:abstractNum>
  <w:abstractNum w:abstractNumId="28">
    <w:nsid w:val="10DB9DAA"/>
    <w:multiLevelType w:val="hybridMultilevel"/>
    <w:lvl w:ilvl="0">
      <w:lvlJc w:val="left"/>
      <w:lvlText w:val="●"/>
      <w:numFmt w:val="bullet"/>
      <w:start w:val="1"/>
    </w:lvl>
  </w:abstractNum>
  <w:abstractNum w:abstractNumId="29">
    <w:nsid w:val="697D2D2"/>
    <w:multiLevelType w:val="hybridMultilevel"/>
    <w:lvl w:ilvl="0">
      <w:lvlJc w:val="left"/>
      <w:lvlText w:val="●"/>
      <w:numFmt w:val="bullet"/>
      <w:start w:val="1"/>
    </w:lvl>
  </w:abstractNum>
  <w:abstractNum w:abstractNumId="30">
    <w:nsid w:val="6D68AB2"/>
    <w:multiLevelType w:val="hybridMultilevel"/>
    <w:lvl w:ilvl="0">
      <w:lvlJc w:val="left"/>
      <w:lvlText w:val="(%1)"/>
      <w:numFmt w:val="lowerRoman"/>
      <w:start w:val="1"/>
    </w:lvl>
  </w:abstractNum>
  <w:abstractNum w:abstractNumId="31">
    <w:nsid w:val="3A966CD0"/>
    <w:multiLevelType w:val="hybridMultilevel"/>
    <w:lvl w:ilvl="0">
      <w:lvlJc w:val="left"/>
      <w:lvlText w:val="●"/>
      <w:numFmt w:val="bullet"/>
      <w:start w:val="1"/>
    </w:lvl>
  </w:abstractNum>
  <w:abstractNum w:abstractNumId="32">
    <w:nsid w:val="63F37E85"/>
    <w:multiLevelType w:val="hybridMultilevel"/>
    <w:lvl w:ilvl="0">
      <w:lvlJc w:val="left"/>
      <w:lvlText w:val="(%1)"/>
      <w:numFmt w:val="lowerRoman"/>
      <w:start w:val="1"/>
    </w:lvl>
  </w:abstractNum>
  <w:abstractNum w:abstractNumId="33">
    <w:nsid w:val="5895F5FA"/>
    <w:multiLevelType w:val="hybridMultilevel"/>
    <w:lvl w:ilvl="0">
      <w:lvlJc w:val="left"/>
      <w:lvlText w:val="(%1)"/>
      <w:numFmt w:val="lowerRoman"/>
      <w:start w:val="4"/>
    </w:lvl>
  </w:abstractNum>
  <w:abstractNum w:abstractNumId="34">
    <w:nsid w:val="38A5D054"/>
    <w:multiLevelType w:val="hybridMultilevel"/>
    <w:lvl w:ilvl="0">
      <w:lvlJc w:val="left"/>
      <w:lvlText w:val="(%1)"/>
      <w:numFmt w:val="lowerRoman"/>
      <w:start w:val="1"/>
    </w:lvl>
  </w:abstractNum>
  <w:abstractNum w:abstractNumId="35">
    <w:nsid w:val="F3F09D8"/>
    <w:multiLevelType w:val="hybridMultilevel"/>
    <w:lvl w:ilvl="0">
      <w:lvlJc w:val="left"/>
      <w:lvlText w:val="(%1)"/>
      <w:numFmt w:val="lowerRoman"/>
      <w:start w:val="2"/>
    </w:lvl>
  </w:abstractNum>
  <w:abstractNum w:abstractNumId="36">
    <w:nsid w:val="4B793735"/>
    <w:multiLevelType w:val="hybridMultilevel"/>
    <w:lvl w:ilvl="0">
      <w:lvlJc w:val="left"/>
      <w:lvlText w:val="●"/>
      <w:numFmt w:val="bullet"/>
      <w:start w:val="1"/>
    </w:lvl>
  </w:abstractNum>
  <w:abstractNum w:abstractNumId="37">
    <w:nsid w:val="4A10B4E8"/>
    <w:multiLevelType w:val="hybridMultilevel"/>
    <w:lvl w:ilvl="0">
      <w:lvlJc w:val="left"/>
      <w:lvlText w:val="●"/>
      <w:numFmt w:val="bullet"/>
      <w:start w:val="1"/>
    </w:lvl>
  </w:abstractNum>
  <w:abstractNum w:abstractNumId="38">
    <w:nsid w:val="43D3BCD4"/>
    <w:multiLevelType w:val="hybridMultilevel"/>
    <w:lvl w:ilvl="0">
      <w:lvlJc w:val="left"/>
      <w:lvlText w:val="●"/>
      <w:numFmt w:val="bullet"/>
      <w:start w:val="1"/>
    </w:lvl>
  </w:abstractNum>
  <w:abstractNum w:abstractNumId="39">
    <w:nsid w:val="4C2A7166"/>
    <w:multiLevelType w:val="hybridMultilevel"/>
    <w:lvl w:ilvl="0">
      <w:lvlJc w:val="left"/>
      <w:lvlText w:val="(%1)"/>
      <w:numFmt w:val="lowerLetter"/>
      <w:start w:val="2"/>
    </w:lvl>
  </w:abstractNum>
  <w:abstractNum w:abstractNumId="40">
    <w:nsid w:val="2E534A82"/>
    <w:multiLevelType w:val="hybridMultilevel"/>
    <w:lvl w:ilvl="0">
      <w:lvlJc w:val="left"/>
      <w:lvlText w:val="%1."/>
      <w:numFmt w:val="upperLetter"/>
      <w:start w:val="1"/>
    </w:lvl>
  </w:abstractNum>
  <w:abstractNum w:abstractNumId="41">
    <w:nsid w:val="26F2D364"/>
    <w:multiLevelType w:val="hybridMultilevel"/>
    <w:lvl w:ilvl="0">
      <w:lvlJc w:val="left"/>
      <w:lvlText w:val="%1."/>
      <w:numFmt w:val="upperLetter"/>
      <w:start w:val="2"/>
    </w:lvl>
  </w:abstractNum>
  <w:abstractNum w:abstractNumId="42">
    <w:nsid w:val="71C1AF98"/>
    <w:multiLevelType w:val="hybridMultilevel"/>
    <w:lvl w:ilvl="0">
      <w:lvlJc w:val="left"/>
      <w:lvlText w:val="●"/>
      <w:numFmt w:val="bullet"/>
      <w:start w:val="1"/>
    </w:lvl>
  </w:abstractNum>
  <w:abstractNum w:abstractNumId="43">
    <w:nsid w:val="3D00B9D9"/>
    <w:multiLevelType w:val="hybridMultilevel"/>
    <w:lvl w:ilvl="0">
      <w:lvlJc w:val="left"/>
      <w:lvlText w:val="●"/>
      <w:numFmt w:val="bullet"/>
      <w:start w:val="1"/>
    </w:lvl>
  </w:abstractNum>
  <w:abstractNum w:abstractNumId="44">
    <w:nsid w:val="15BCABA8"/>
    <w:multiLevelType w:val="hybridMultilevel"/>
    <w:lvl w:ilvl="0">
      <w:lvlJc w:val="left"/>
      <w:lvlText w:val="●"/>
      <w:numFmt w:val="bullet"/>
      <w:start w:val="1"/>
    </w:lvl>
  </w:abstractNum>
  <w:abstractNum w:abstractNumId="45">
    <w:nsid w:val="4E0B9A87"/>
    <w:multiLevelType w:val="hybridMultilevel"/>
    <w:lvl w:ilvl="0">
      <w:lvlJc w:val="left"/>
      <w:lvlText w:val="●"/>
      <w:numFmt w:val="bullet"/>
      <w:start w:val="1"/>
    </w:lvl>
  </w:abstractNum>
  <w:abstractNum w:abstractNumId="46">
    <w:nsid w:val="434BAE75"/>
    <w:multiLevelType w:val="hybridMultilevel"/>
    <w:lvl w:ilvl="0">
      <w:lvlJc w:val="left"/>
      <w:lvlText w:val="●"/>
      <w:numFmt w:val="bullet"/>
      <w:start w:val="1"/>
    </w:lvl>
  </w:abstractNum>
  <w:abstractNum w:abstractNumId="47">
    <w:nsid w:val="4F38F265"/>
    <w:multiLevelType w:val="hybridMultilevel"/>
    <w:lvl w:ilvl="0">
      <w:lvlJc w:val="left"/>
      <w:lvlText w:val="●"/>
      <w:numFmt w:val="bullet"/>
      <w:start w:val="1"/>
    </w:lvl>
  </w:abstractNum>
  <w:abstractNum w:abstractNumId="48">
    <w:nsid w:val="4C502870"/>
    <w:multiLevelType w:val="hybridMultilevel"/>
    <w:lvl w:ilvl="0">
      <w:lvlJc w:val="left"/>
      <w:lvlText w:val="●"/>
      <w:numFmt w:val="bullet"/>
      <w:start w:val="1"/>
    </w:lvl>
  </w:abstractNum>
  <w:abstractNum w:abstractNumId="49">
    <w:nsid w:val="1DE8725A"/>
    <w:multiLevelType w:val="hybridMultilevel"/>
    <w:lvl w:ilvl="0">
      <w:lvlJc w:val="left"/>
      <w:lvlText w:val="●"/>
      <w:numFmt w:val="bullet"/>
      <w:start w:val="1"/>
    </w:lvl>
  </w:abstractNum>
  <w:abstractNum w:abstractNumId="50">
    <w:nsid w:val="6A37288A"/>
    <w:multiLevelType w:val="hybridMultilevel"/>
    <w:lvl w:ilvl="0">
      <w:lvlJc w:val="left"/>
      <w:lvlText w:val="●"/>
      <w:numFmt w:val="bullet"/>
      <w:start w:val="1"/>
    </w:lvl>
  </w:abstractNum>
  <w:abstractNum w:abstractNumId="51">
    <w:nsid w:val="8F8B73F"/>
    <w:multiLevelType w:val="hybridMultilevel"/>
    <w:lvl w:ilvl="0">
      <w:lvlJc w:val="left"/>
      <w:lvlText w:val="●"/>
      <w:numFmt w:val="bullet"/>
      <w:start w:val="1"/>
    </w:lvl>
  </w:abstractNum>
  <w:abstractNum w:abstractNumId="52">
    <w:nsid w:val="CA6B462"/>
    <w:multiLevelType w:val="hybridMultilevel"/>
    <w:lvl w:ilvl="0">
      <w:lvlJc w:val="left"/>
      <w:lvlText w:val="●"/>
      <w:numFmt w:val="bullet"/>
      <w:start w:val="1"/>
    </w:lvl>
  </w:abstractNum>
  <w:abstractNum w:abstractNumId="53">
    <w:nsid w:val="763CB680"/>
    <w:multiLevelType w:val="hybridMultilevel"/>
    <w:lvl w:ilvl="0">
      <w:lvlJc w:val="left"/>
      <w:lvlText w:val="(%1)"/>
      <w:numFmt w:val="decimal"/>
      <w:start w:val="5"/>
    </w:lvl>
  </w:abstractNum>
  <w:abstractNum w:abstractNumId="54">
    <w:nsid w:val="15B71329"/>
    <w:multiLevelType w:val="hybridMultilevel"/>
    <w:lvl w:ilvl="0">
      <w:lvlJc w:val="left"/>
      <w:lvlText w:val="(%1)"/>
      <w:numFmt w:val="lowerRoman"/>
      <w:start w:val="4"/>
    </w:lvl>
  </w:abstractNum>
  <w:abstractNum w:abstractNumId="55">
    <w:nsid w:val="3DA97044"/>
    <w:multiLevelType w:val="hybridMultilevel"/>
    <w:lvl w:ilvl="0">
      <w:lvlJc w:val="left"/>
      <w:lvlText w:val="(%1)"/>
      <w:numFmt w:val="lowerLetter"/>
      <w:start w:val="26"/>
    </w:lvl>
  </w:abstractNum>
  <w:abstractNum w:abstractNumId="56">
    <w:nsid w:val="1CDCE2DE"/>
    <w:multiLevelType w:val="hybridMultilevel"/>
    <w:lvl w:ilvl="0">
      <w:lvlJc w:val="left"/>
      <w:lvlText w:val="(%1)"/>
      <w:numFmt w:val="lowerRoman"/>
      <w:start w:val="1"/>
    </w:lvl>
  </w:abstractNum>
  <w:abstractNum w:abstractNumId="57">
    <w:nsid w:val="69D3947C"/>
    <w:multiLevelType w:val="hybridMultilevel"/>
    <w:lvl w:ilvl="0">
      <w:lvlJc w:val="left"/>
      <w:lvlText w:val="%1."/>
      <w:numFmt w:val="upperLetter"/>
      <w:start w:val="3"/>
    </w:lvl>
  </w:abstractNum>
  <w:abstractNum w:abstractNumId="58">
    <w:nsid w:val="2539DFA5"/>
    <w:multiLevelType w:val="hybridMultilevel"/>
    <w:lvl w:ilvl="0">
      <w:lvlJc w:val="left"/>
      <w:lvlText w:val="%1."/>
      <w:numFmt w:val="upperLetter"/>
      <w:start w:val="4"/>
    </w:lvl>
  </w:abstractNum>
  <w:abstractNum w:abstractNumId="59">
    <w:nsid w:val="2DB88089"/>
    <w:multiLevelType w:val="hybridMultilevel"/>
    <w:lvl w:ilvl="0">
      <w:lvlJc w:val="left"/>
      <w:lvlText w:val="%1."/>
      <w:numFmt w:val="upperLetter"/>
      <w:start w:val="1"/>
    </w:lvl>
  </w:abstractNum>
  <w:abstractNum w:abstractNumId="60">
    <w:nsid w:val="706B674E"/>
    <w:multiLevelType w:val="hybridMultilevel"/>
    <w:lvl w:ilvl="0">
      <w:lvlJc w:val="left"/>
      <w:lvlText w:val="●"/>
      <w:numFmt w:val="bullet"/>
      <w:start w:val="1"/>
    </w:lvl>
  </w:abstractNum>
  <w:abstractNum w:abstractNumId="61">
    <w:nsid w:val="2C106A57"/>
    <w:multiLevelType w:val="hybridMultilevel"/>
    <w:lvl w:ilvl="0">
      <w:lvlJc w:val="left"/>
      <w:lvlText w:val="%1."/>
      <w:numFmt w:val="upperLetter"/>
      <w:start w:val="2"/>
    </w:lvl>
  </w:abstractNum>
  <w:abstractNum w:abstractNumId="62">
    <w:nsid w:val="684EED59"/>
    <w:multiLevelType w:val="hybridMultilevel"/>
    <w:lvl w:ilvl="0">
      <w:lvlJc w:val="left"/>
      <w:lvlText w:val="(%1)"/>
      <w:numFmt w:val="lowerRoman"/>
      <w:start w:val="5"/>
    </w:lvl>
  </w:abstractNum>
  <w:abstractNum w:abstractNumId="63">
    <w:nsid w:val="545EE5D3"/>
    <w:multiLevelType w:val="hybridMultilevel"/>
    <w:lvl w:ilvl="0">
      <w:lvlJc w:val="left"/>
      <w:lvlText w:val="%1."/>
      <w:numFmt w:val="upperLetter"/>
      <w:start w:val="3"/>
    </w:lvl>
  </w:abstractNum>
  <w:abstractNum w:abstractNumId="64">
    <w:nsid w:val="4A66051"/>
    <w:multiLevelType w:val="hybridMultilevel"/>
    <w:lvl w:ilvl="0">
      <w:lvlJc w:val="left"/>
      <w:lvlText w:val="%1."/>
      <w:numFmt w:val="upperLetter"/>
      <w:start w:val="5"/>
    </w:lvl>
  </w:abstractNum>
  <w:abstractNum w:abstractNumId="65">
    <w:nsid w:val="20F4BDAD"/>
    <w:multiLevelType w:val="hybridMultilevel"/>
    <w:lvl w:ilvl="0">
      <w:lvlJc w:val="left"/>
      <w:lvlText w:val="●"/>
      <w:numFmt w:val="bullet"/>
      <w:start w:val="1"/>
    </w:lvl>
  </w:abstractNum>
  <w:abstractNum w:abstractNumId="66">
    <w:nsid w:val="639DEFAC"/>
    <w:multiLevelType w:val="hybridMultilevel"/>
    <w:lvl w:ilvl="0">
      <w:lvlJc w:val="left"/>
      <w:lvlText w:val="%1."/>
      <w:numFmt w:val="upperLetter"/>
      <w:start w:val="1"/>
    </w:lvl>
  </w:abstractNum>
  <w:abstractNum w:abstractNumId="67">
    <w:nsid w:val="501F9786"/>
    <w:multiLevelType w:val="hybridMultilevel"/>
    <w:lvl w:ilvl="0">
      <w:lvlJc w:val="left"/>
      <w:lvlText w:val="%1."/>
      <w:numFmt w:val="upperLetter"/>
      <w:start w:val="2"/>
    </w:lvl>
  </w:abstractNum>
  <w:abstractNum w:abstractNumId="68">
    <w:nsid w:val="6B057295"/>
    <w:multiLevelType w:val="hybridMultilevel"/>
    <w:lvl w:ilvl="0">
      <w:lvlJc w:val="left"/>
      <w:lvlText w:val="%1."/>
      <w:numFmt w:val="upperLetter"/>
      <w:start w:val="3"/>
    </w:lvl>
  </w:abstractNum>
  <w:abstractNum w:abstractNumId="69">
    <w:nsid w:val="2771AC80"/>
    <w:multiLevelType w:val="hybridMultilevel"/>
    <w:lvl w:ilvl="0">
      <w:lvlJc w:val="left"/>
      <w:lvlText w:val="●"/>
      <w:numFmt w:val="bullet"/>
      <w:start w:val="1"/>
    </w:lvl>
  </w:abstractNum>
  <w:abstractNum w:abstractNumId="70">
    <w:nsid w:val="1C4A08EC"/>
    <w:multiLevelType w:val="hybridMultilevel"/>
    <w:lvl w:ilvl="0">
      <w:lvlJc w:val="left"/>
      <w:lvlText w:val="●"/>
      <w:numFmt w:val="bullet"/>
      <w:start w:val="1"/>
    </w:lvl>
  </w:abstractNum>
  <w:abstractNum w:abstractNumId="71">
    <w:nsid w:val="1958BD17"/>
    <w:multiLevelType w:val="hybridMultilevel"/>
    <w:lvl w:ilvl="0">
      <w:lvlJc w:val="left"/>
      <w:lvlText w:val="●"/>
      <w:numFmt w:val="bullet"/>
      <w:start w:val="1"/>
    </w:lvl>
  </w:abstractNum>
  <w:abstractNum w:abstractNumId="72">
    <w:nsid w:val="4E647FE4"/>
    <w:multiLevelType w:val="hybridMultilevel"/>
    <w:lvl w:ilvl="0">
      <w:lvlJc w:val="left"/>
      <w:lvlText w:val="%1."/>
      <w:numFmt w:val="upperLetter"/>
      <w:start w:val="5"/>
    </w:lvl>
    <w:lvl w:ilvl="1">
      <w:lvlJc w:val="left"/>
      <w:lvlText w:val="●"/>
      <w:numFmt w:val="bullet"/>
      <w:start w:val="1"/>
    </w:lvl>
  </w:abstractNum>
  <w:abstractNum w:abstractNumId="73">
    <w:nsid w:val="E0BB885"/>
    <w:multiLevelType w:val="hybridMultilevel"/>
    <w:lvl w:ilvl="0">
      <w:lvlJc w:val="left"/>
      <w:lvlText w:val="*"/>
      <w:numFmt w:val="bullet"/>
      <w:start w:val="1"/>
    </w:lvl>
  </w:abstractNum>
  <w:abstractNum w:abstractNumId="74">
    <w:nsid w:val="565976F1"/>
    <w:multiLevelType w:val="hybridMultilevel"/>
    <w:lvl w:ilvl="0">
      <w:lvlJc w:val="left"/>
      <w:lvlText w:val="(%1)"/>
      <w:numFmt w:val="decimal"/>
      <w:start w:val="1"/>
    </w:lvl>
  </w:abstractNum>
  <w:abstractNum w:abstractNumId="75">
    <w:nsid w:val="64212B8C"/>
    <w:multiLevelType w:val="hybridMultilevel"/>
    <w:lvl w:ilvl="0">
      <w:lvlJc w:val="left"/>
      <w:lvlText w:val="(%1)"/>
      <w:numFmt w:val="decimal"/>
      <w:start w:val="7"/>
    </w:lvl>
  </w:abstractNum>
  <w:abstractNum w:abstractNumId="76">
    <w:nsid w:val="5C17530C"/>
    <w:multiLevelType w:val="hybridMultilevel"/>
    <w:lvl w:ilvl="0">
      <w:lvlJc w:val="left"/>
      <w:lvlText w:val="%1."/>
      <w:numFmt w:val="upperLetter"/>
      <w:start w:val="6"/>
    </w:lvl>
  </w:abstractNum>
  <w:abstractNum w:abstractNumId="77">
    <w:nsid w:val="19A52566"/>
    <w:multiLevelType w:val="hybridMultilevel"/>
    <w:lvl w:ilvl="0">
      <w:lvlJc w:val="left"/>
      <w:lvlText w:val="%1."/>
      <w:numFmt w:val="upperLetter"/>
      <w:start w:val="1"/>
    </w:lvl>
  </w:abstractNum>
  <w:abstractNum w:abstractNumId="78">
    <w:nsid w:val="335A1DF1"/>
    <w:multiLevelType w:val="hybridMultilevel"/>
    <w:lvl w:ilvl="0">
      <w:lvlJc w:val="left"/>
      <w:lvlText w:val="(%1)"/>
      <w:numFmt w:val="lowerRoman"/>
      <w:start w:val="1"/>
    </w:lvl>
  </w:abstractNum>
  <w:abstractNum w:abstractNumId="79">
    <w:nsid w:val="28677B7C"/>
    <w:multiLevelType w:val="hybridMultilevel"/>
    <w:lvl w:ilvl="0">
      <w:lvlJc w:val="left"/>
      <w:lvlText w:val="(%1)"/>
      <w:numFmt w:val="lowerLetter"/>
      <w:start w:val="2"/>
    </w:lvl>
  </w:abstractNum>
  <w:abstractNum w:abstractNumId="80">
    <w:nsid w:val="378D97C0"/>
    <w:multiLevelType w:val="hybridMultilevel"/>
    <w:lvl w:ilvl="0">
      <w:lvlJc w:val="left"/>
      <w:lvlText w:val="%1)"/>
      <w:numFmt w:val="decimal"/>
      <w:start w:val="2"/>
    </w:lvl>
  </w:abstractNum>
  <w:abstractNum w:abstractNumId="81">
    <w:nsid w:val="1D91467C"/>
    <w:multiLevelType w:val="hybridMultilevel"/>
    <w:lvl w:ilvl="0">
      <w:lvlJc w:val="left"/>
      <w:lvlText w:val="(%1)"/>
      <w:numFmt w:val="lowerLetter"/>
      <w:start w:val="1"/>
    </w:lvl>
  </w:abstractNum>
  <w:abstractNum w:abstractNumId="82">
    <w:nsid w:val="316032BB"/>
    <w:multiLevelType w:val="hybridMultilevel"/>
    <w:lvl w:ilvl="0">
      <w:lvlJc w:val="left"/>
      <w:lvlText w:val="(%1)"/>
      <w:numFmt w:val="lowerLetter"/>
      <w:start w:val="1"/>
    </w:lvl>
  </w:abstractNum>
  <w:abstractNum w:abstractNumId="83">
    <w:nsid w:val="44344C22"/>
    <w:multiLevelType w:val="hybridMultilevel"/>
    <w:lvl w:ilvl="0">
      <w:lvlJc w:val="left"/>
      <w:lvlText w:val="%1."/>
      <w:numFmt w:val="upperLetter"/>
      <w:start w:val="3"/>
    </w:lvl>
  </w:abstractNum>
  <w:abstractNum w:abstractNumId="84">
    <w:nsid w:val="13CDFCFC"/>
    <w:multiLevelType w:val="hybridMultilevel"/>
    <w:lvl w:ilvl="0">
      <w:lvlJc w:val="left"/>
      <w:lvlText w:val="%1."/>
      <w:numFmt w:val="upperLetter"/>
      <w:start w:val="1"/>
    </w:lvl>
  </w:abstractNum>
  <w:abstractNum w:abstractNumId="85">
    <w:nsid w:val="471745E4"/>
    <w:multiLevelType w:val="hybridMultilevel"/>
    <w:lvl w:ilvl="0">
      <w:lvlJc w:val="left"/>
      <w:lvlText w:val="%1."/>
      <w:numFmt w:val="upperLetter"/>
      <w:start w:val="2"/>
    </w:lvl>
  </w:abstractNum>
  <w:abstractNum w:abstractNumId="86">
    <w:nsid w:val="1DDBC66"/>
    <w:multiLevelType w:val="hybridMultilevel"/>
    <w:lvl w:ilvl="0">
      <w:lvlJc w:val="left"/>
      <w:lvlText w:val="%1."/>
      <w:numFmt w:val="upperLetter"/>
      <w:start w:val="1"/>
    </w:lvl>
  </w:abstractNum>
  <w:abstractNum w:abstractNumId="87">
    <w:nsid w:val="30AADFDA"/>
    <w:multiLevelType w:val="hybridMultilevel"/>
    <w:lvl w:ilvl="0">
      <w:lvlJc w:val="left"/>
      <w:lvlText w:val="%1."/>
      <w:numFmt w:val="upperLetter"/>
      <w:start w:val="2"/>
    </w:lvl>
  </w:abstractNum>
  <w:abstractNum w:abstractNumId="88">
    <w:nsid w:val="30EADA61"/>
    <w:multiLevelType w:val="hybridMultilevel"/>
    <w:lvl w:ilvl="0">
      <w:lvlJc w:val="left"/>
      <w:lvlText w:val="%1."/>
      <w:numFmt w:val="upperLetter"/>
      <w:start w:val="1"/>
    </w:lvl>
  </w:abstractNum>
  <w:abstractNum w:abstractNumId="89">
    <w:nsid w:val="27179C0B"/>
    <w:multiLevelType w:val="hybridMultilevel"/>
    <w:lvl w:ilvl="0">
      <w:lvlJc w:val="left"/>
      <w:lvlText w:val="●"/>
      <w:numFmt w:val="bullet"/>
      <w:start w:val="1"/>
    </w:lvl>
  </w:abstractNum>
  <w:abstractNum w:abstractNumId="90">
    <w:nsid w:val="5E636063"/>
    <w:multiLevelType w:val="hybridMultilevel"/>
    <w:lvl w:ilvl="0">
      <w:lvlJc w:val="left"/>
      <w:lvlText w:val="●"/>
      <w:numFmt w:val="bullet"/>
      <w:start w:val="1"/>
    </w:lvl>
  </w:abstractNum>
  <w:abstractNum w:abstractNumId="91">
    <w:nsid w:val="215641AF"/>
    <w:multiLevelType w:val="hybridMultilevel"/>
    <w:lvl w:ilvl="0">
      <w:lvlJc w:val="left"/>
      <w:lvlText w:val="(%1)"/>
      <w:numFmt w:val="lowerLetter"/>
      <w:start w:val="25"/>
    </w:lvl>
  </w:abstractNum>
  <w:abstractNum w:abstractNumId="92">
    <w:nsid w:val="53280662"/>
    <w:multiLevelType w:val="hybridMultilevel"/>
    <w:lvl w:ilvl="0">
      <w:lvlJc w:val="left"/>
      <w:lvlText w:val="●"/>
      <w:numFmt w:val="bullet"/>
      <w:start w:val="1"/>
    </w:lvl>
  </w:abstractNum>
  <w:abstractNum w:abstractNumId="93">
    <w:nsid w:val="46B24DBC"/>
    <w:multiLevelType w:val="hybridMultilevel"/>
    <w:lvl w:ilvl="0">
      <w:lvlJc w:val="left"/>
      <w:lvlText w:val="●"/>
      <w:numFmt w:val="bullet"/>
      <w:start w:val="1"/>
    </w:lvl>
  </w:abstractNum>
  <w:abstractNum w:abstractNumId="94">
    <w:nsid w:val="75B52783"/>
    <w:multiLevelType w:val="hybridMultilevel"/>
    <w:lvl w:ilvl="0">
      <w:lvlJc w:val="left"/>
      <w:lvlText w:val="●"/>
      <w:numFmt w:val="bullet"/>
      <w:start w:val="1"/>
    </w:lvl>
  </w:abstractNum>
  <w:abstractNum w:abstractNumId="95">
    <w:nsid w:val="57CE66B4"/>
    <w:multiLevelType w:val="hybridMultilevel"/>
    <w:lvl w:ilvl="0">
      <w:lvlJc w:val="left"/>
      <w:lvlText w:val="(%1)"/>
      <w:numFmt w:val="lowerRoman"/>
      <w:start w:val="10"/>
    </w:lvl>
  </w:abstractNum>
  <w:abstractNum w:abstractNumId="96">
    <w:nsid w:val="67A70B69"/>
    <w:multiLevelType w:val="hybridMultilevel"/>
    <w:lvl w:ilvl="0">
      <w:lvlJc w:val="left"/>
      <w:lvlText w:val="(%1)"/>
      <w:numFmt w:val="lowerRoman"/>
      <w:start w:val="3"/>
    </w:lvl>
  </w:abstractNum>
  <w:abstractNum w:abstractNumId="97">
    <w:nsid w:val="5953172F"/>
    <w:multiLevelType w:val="hybridMultilevel"/>
    <w:lvl w:ilvl="0">
      <w:lvlJc w:val="left"/>
      <w:lvlText w:val="(%1)"/>
      <w:numFmt w:val="decimal"/>
      <w:start w:val="2"/>
    </w:lvl>
  </w:abstractNum>
  <w:abstractNum w:abstractNumId="98">
    <w:nsid w:val="27EDFE3A"/>
    <w:multiLevelType w:val="hybridMultilevel"/>
    <w:lvl w:ilvl="0">
      <w:lvlJc w:val="left"/>
      <w:lvlText w:val="●"/>
      <w:numFmt w:val="bullet"/>
      <w:start w:val="1"/>
    </w:lvl>
  </w:abstractNum>
  <w:abstractNum w:abstractNumId="99">
    <w:nsid w:val="52AC7DFF"/>
    <w:multiLevelType w:val="hybridMultilevel"/>
    <w:lvl w:ilvl="0">
      <w:lvlJc w:val="left"/>
      <w:lvlText w:val="●"/>
      <w:numFmt w:val="bullet"/>
      <w:start w:val="1"/>
    </w:lvl>
  </w:abstractNum>
  <w:abstractNum w:abstractNumId="100">
    <w:nsid w:val="C4C3AF"/>
    <w:multiLevelType w:val="hybridMultilevel"/>
    <w:lvl w:ilvl="0">
      <w:lvlJc w:val="left"/>
      <w:lvlText w:val="●"/>
      <w:numFmt w:val="bullet"/>
      <w:start w:val="1"/>
    </w:lvl>
  </w:abstractNum>
  <w:abstractNum w:abstractNumId="101">
    <w:nsid w:val="44380727"/>
    <w:multiLevelType w:val="hybridMultilevel"/>
    <w:lvl w:ilvl="0">
      <w:lvlJc w:val="left"/>
      <w:lvlText w:val="●"/>
      <w:numFmt w:val="bullet"/>
      <w:start w:val="1"/>
    </w:lvl>
  </w:abstractNum>
  <w:abstractNum w:abstractNumId="102">
    <w:nsid w:val="6C053B16"/>
    <w:multiLevelType w:val="hybridMultilevel"/>
    <w:lvl w:ilvl="0">
      <w:lvlJc w:val="left"/>
      <w:lvlText w:val="●"/>
      <w:numFmt w:val="bullet"/>
      <w:start w:val="1"/>
    </w:lvl>
  </w:abstractNum>
  <w:abstractNum w:abstractNumId="103">
    <w:nsid w:val="4F294393"/>
    <w:multiLevelType w:val="hybridMultilevel"/>
    <w:lvl w:ilvl="0">
      <w:lvlJc w:val="left"/>
      <w:lvlText w:val="%1."/>
      <w:numFmt w:val="upperLetter"/>
      <w:start w:val="3"/>
    </w:lvl>
  </w:abstractNum>
  <w:abstractNum w:abstractNumId="104">
    <w:nsid w:val="5243BFAC"/>
    <w:multiLevelType w:val="hybridMultilevel"/>
    <w:lvl w:ilvl="0">
      <w:lvlJc w:val="left"/>
      <w:lvlText w:val="%1."/>
      <w:numFmt w:val="upperLetter"/>
      <w:start w:val="4"/>
    </w:lvl>
  </w:abstractNum>
  <w:abstractNum w:abstractNumId="105">
    <w:nsid w:val="425EB207"/>
    <w:multiLevelType w:val="hybridMultilevel"/>
    <w:lvl w:ilvl="0">
      <w:lvlJc w:val="left"/>
      <w:lvlText w:val="%1."/>
      <w:numFmt w:val="upperLetter"/>
      <w:start w:val="5"/>
    </w:lvl>
  </w:abstractNum>
  <w:abstractNum w:abstractNumId="106">
    <w:nsid w:val="334A6F1F"/>
    <w:multiLevelType w:val="hybridMultilevel"/>
    <w:lvl w:ilvl="0">
      <w:lvlJc w:val="left"/>
      <w:lvlText w:val="●"/>
      <w:numFmt w:val="bullet"/>
      <w:start w:val="1"/>
    </w:lvl>
  </w:abstractNum>
  <w:abstractNum w:abstractNumId="107">
    <w:nsid w:val="2E5B12B8"/>
    <w:multiLevelType w:val="hybridMultilevel"/>
    <w:lvl w:ilvl="0">
      <w:lvlJc w:val="left"/>
      <w:lvlText w:val="●"/>
      <w:numFmt w:val="bullet"/>
      <w:start w:val="1"/>
    </w:lvl>
  </w:abstractNum>
  <w:abstractNum w:abstractNumId="108">
    <w:nsid w:val="5C03D76D"/>
    <w:multiLevelType w:val="hybridMultilevel"/>
    <w:lvl w:ilvl="0">
      <w:lvlJc w:val="left"/>
      <w:lvlText w:val="●"/>
      <w:numFmt w:val="bullet"/>
      <w:start w:val="1"/>
    </w:lvl>
  </w:abstractNum>
  <w:abstractNum w:abstractNumId="109">
    <w:nsid w:val="66A48D11"/>
    <w:multiLevelType w:val="hybridMultilevel"/>
    <w:lvl w:ilvl="0">
      <w:lvlJc w:val="left"/>
      <w:lvlText w:val="(%1)"/>
      <w:numFmt w:val="lowerRoman"/>
      <w:start w:val="2"/>
    </w:lvl>
  </w:abstractNum>
  <w:abstractNum w:abstractNumId="110">
    <w:nsid w:val="56C28E34"/>
    <w:multiLevelType w:val="hybridMultilevel"/>
    <w:lvl w:ilvl="0">
      <w:lvlJc w:val="left"/>
      <w:lvlText w:val="●"/>
      <w:numFmt w:val="bullet"/>
      <w:start w:val="1"/>
    </w:lvl>
  </w:abstractNum>
  <w:abstractNum w:abstractNumId="111">
    <w:nsid w:val="13916F2D"/>
    <w:multiLevelType w:val="hybridMultilevel"/>
    <w:lvl w:ilvl="0">
      <w:lvlJc w:val="left"/>
      <w:lvlText w:val="%1."/>
      <w:numFmt w:val="upperLetter"/>
      <w:start w:val="6"/>
    </w:lvl>
  </w:abstractNum>
  <w:abstractNum w:abstractNumId="112">
    <w:nsid w:val="435D38D"/>
    <w:multiLevelType w:val="hybridMultilevel"/>
    <w:lvl w:ilvl="0">
      <w:lvlJc w:val="left"/>
      <w:lvlText w:val="%1."/>
      <w:numFmt w:val="upperLetter"/>
      <w:start w:val="9"/>
    </w:lvl>
  </w:abstractNum>
  <w:abstractNum w:abstractNumId="113">
    <w:nsid w:val="822C0EF"/>
    <w:multiLevelType w:val="hybridMultilevel"/>
    <w:lvl w:ilvl="0">
      <w:lvlJc w:val="left"/>
      <w:lvlText w:val="%1."/>
      <w:numFmt w:val="upperLetter"/>
      <w:start w:val="1"/>
    </w:lvl>
  </w:abstractNum>
  <w:abstractNum w:abstractNumId="114">
    <w:nsid w:val="57C5BB4F"/>
    <w:multiLevelType w:val="hybridMultilevel"/>
    <w:lvl w:ilvl="0">
      <w:lvlJc w:val="left"/>
      <w:lvlText w:val="%1."/>
      <w:numFmt w:val="upperLetter"/>
      <w:start w:val="2"/>
    </w:lvl>
  </w:abstractNum>
  <w:abstractNum w:abstractNumId="115">
    <w:nsid w:val="1803D089"/>
    <w:multiLevelType w:val="hybridMultilevel"/>
    <w:lvl w:ilvl="0">
      <w:lvlJc w:val="left"/>
      <w:lvlText w:val="●"/>
      <w:numFmt w:val="bullet"/>
      <w:start w:val="1"/>
    </w:lvl>
  </w:abstractNum>
  <w:abstractNum w:abstractNumId="116">
    <w:nsid w:val="4F3A06D4"/>
    <w:multiLevelType w:val="hybridMultilevel"/>
    <w:lvl w:ilvl="0">
      <w:lvlJc w:val="left"/>
      <w:lvlText w:val="●"/>
      <w:numFmt w:val="bullet"/>
      <w:start w:val="1"/>
    </w:lvl>
  </w:abstractNum>
  <w:abstractNum w:abstractNumId="117">
    <w:nsid w:val="59A377B6"/>
    <w:multiLevelType w:val="hybridMultilevel"/>
    <w:lvl w:ilvl="0">
      <w:lvlJc w:val="left"/>
      <w:lvlText w:val="●"/>
      <w:numFmt w:val="bullet"/>
      <w:start w:val="1"/>
    </w:lvl>
  </w:abstractNum>
  <w:abstractNum w:abstractNumId="118">
    <w:nsid w:val="48AEB063"/>
    <w:multiLevelType w:val="hybridMultilevel"/>
    <w:lvl w:ilvl="0">
      <w:lvlJc w:val="left"/>
      <w:lvlText w:val="●"/>
      <w:numFmt w:val="bullet"/>
      <w:start w:val="1"/>
    </w:lvl>
  </w:abstractNum>
  <w:abstractNum w:abstractNumId="119">
    <w:nsid w:val="24E135"/>
    <w:multiLevelType w:val="hybridMultilevel"/>
    <w:lvl w:ilvl="0">
      <w:lvlJc w:val="left"/>
      <w:lvlText w:val="(%1)"/>
      <w:numFmt w:val="decimal"/>
      <w:start w:val="1"/>
    </w:lvl>
  </w:abstractNum>
  <w:abstractNum w:abstractNumId="120">
    <w:nsid w:val="BB13C1"/>
    <w:multiLevelType w:val="hybridMultilevel"/>
    <w:lvl w:ilvl="0">
      <w:lvlJc w:val="left"/>
      <w:lvlText w:val="*"/>
      <w:numFmt w:val="bullet"/>
      <w:start w:val="1"/>
    </w:lvl>
  </w:abstractNum>
  <w:abstractNum w:abstractNumId="121">
    <w:nsid w:val="271210C7"/>
    <w:multiLevelType w:val="hybridMultilevel"/>
    <w:lvl w:ilvl="0">
      <w:lvlJc w:val="left"/>
      <w:lvlText w:val="#"/>
      <w:numFmt w:val="bullet"/>
      <w:start w:val="1"/>
    </w:lvl>
  </w:abstractNum>
  <w:abstractNum w:abstractNumId="122">
    <w:nsid w:val="217B22E4"/>
    <w:multiLevelType w:val="hybridMultilevel"/>
    <w:lvl w:ilvl="0">
      <w:lvlJc w:val="left"/>
      <w:lvlText w:val="†"/>
      <w:numFmt w:val="bullet"/>
      <w:start w:val="1"/>
    </w:lvl>
  </w:abstractNum>
  <w:abstractNum w:abstractNumId="123">
    <w:nsid w:val="53E31A24"/>
    <w:multiLevelType w:val="hybridMultilevel"/>
    <w:lvl w:ilvl="0">
      <w:lvlJc w:val="left"/>
      <w:lvlText w:val="1"/>
      <w:numFmt w:val="bullet"/>
      <w:start w:val="1"/>
    </w:lvl>
  </w:abstractNum>
  <w:abstractNum w:abstractNumId="124">
    <w:nsid w:val="6DC45E83"/>
    <w:multiLevelType w:val="hybridMultilevel"/>
    <w:lvl w:ilvl="0">
      <w:lvlJc w:val="left"/>
      <w:lvlText w:val="1"/>
      <w:numFmt w:val="bullet"/>
      <w:start w:val="1"/>
    </w:lvl>
  </w:abstractNum>
  <w:abstractNum w:abstractNumId="125">
    <w:nsid w:val="17304A67"/>
    <w:multiLevelType w:val="hybridMultilevel"/>
    <w:lvl w:ilvl="0">
      <w:lvlJc w:val="left"/>
      <w:lvlText w:val="1"/>
      <w:numFmt w:val="bullet"/>
      <w:start w:val="1"/>
    </w:lvl>
  </w:abstractNum>
  <w:abstractNum w:abstractNumId="126">
    <w:nsid w:val="2BB180D8"/>
    <w:multiLevelType w:val="hybridMultilevel"/>
    <w:lvl w:ilvl="0">
      <w:lvlJc w:val="left"/>
      <w:lvlText w:val="1"/>
      <w:numFmt w:val="bullet"/>
      <w:start w:val="1"/>
    </w:lvl>
  </w:abstractNum>
  <w:abstractNum w:abstractNumId="127">
    <w:nsid w:val="556B69ED"/>
    <w:multiLevelType w:val="hybridMultilevel"/>
    <w:lvl w:ilvl="0">
      <w:lvlJc w:val="left"/>
      <w:lvlText w:val="1"/>
      <w:numFmt w:val="bullet"/>
      <w:start w:val="1"/>
    </w:lvl>
  </w:abstractNum>
  <w:abstractNum w:abstractNumId="128">
    <w:nsid w:val="70836196"/>
    <w:multiLevelType w:val="hybridMultilevel"/>
    <w:lvl w:ilvl="0">
      <w:lvlJc w:val="left"/>
      <w:lvlText w:val="%1."/>
      <w:numFmt w:val="decimal"/>
      <w:start w:val="1"/>
    </w:lvl>
  </w:abstractNum>
  <w:abstractNum w:abstractNumId="129">
    <w:nsid w:val="539F7F12"/>
    <w:multiLevelType w:val="hybridMultilevel"/>
    <w:lvl w:ilvl="0">
      <w:lvlJc w:val="left"/>
      <w:lvlText w:val="(%1)"/>
      <w:numFmt w:val="lowerLetter"/>
      <w:start w:val="1"/>
    </w:lvl>
  </w:abstractNum>
  <w:abstractNum w:abstractNumId="130">
    <w:nsid w:val="2817E7EC"/>
    <w:multiLevelType w:val="hybridMultilevel"/>
    <w:lvl w:ilvl="0">
      <w:lvlJc w:val="left"/>
      <w:lvlText w:val="(%1)"/>
      <w:numFmt w:val="lowerLetter"/>
      <w:start w:val="2"/>
    </w:lvl>
  </w:abstractNum>
  <w:abstractNum w:abstractNumId="131">
    <w:nsid w:val="71482545"/>
    <w:multiLevelType w:val="hybridMultilevel"/>
    <w:lvl w:ilvl="0">
      <w:lvlJc w:val="left"/>
      <w:lvlText w:val="(%1)"/>
      <w:numFmt w:val="lowerRoman"/>
      <w:start w:val="1"/>
    </w:lvl>
  </w:abstractNum>
  <w:abstractNum w:abstractNumId="132">
    <w:nsid w:val="17D78639"/>
    <w:multiLevelType w:val="hybridMultilevel"/>
    <w:lvl w:ilvl="0">
      <w:lvlJc w:val="left"/>
      <w:lvlText w:val="(%1)"/>
      <w:numFmt w:val="lowerRoman"/>
      <w:start w:val="8"/>
    </w:lvl>
  </w:abstractNum>
  <w:abstractNum w:abstractNumId="133">
    <w:nsid w:val="141D2302"/>
    <w:multiLevelType w:val="hybridMultilevel"/>
    <w:lvl w:ilvl="0">
      <w:lvlJc w:val="left"/>
      <w:lvlText w:val="(%1)"/>
      <w:numFmt w:val="lowerLetter"/>
      <w:start w:val="3"/>
    </w:lvl>
  </w:abstractNum>
  <w:abstractNum w:abstractNumId="134">
    <w:nsid w:val="407168D8"/>
    <w:multiLevelType w:val="hybridMultilevel"/>
    <w:lvl w:ilvl="0">
      <w:lvlJc w:val="left"/>
      <w:lvlText w:val="(%1)"/>
      <w:numFmt w:val="lowerLetter"/>
      <w:start w:val="4"/>
    </w:lvl>
  </w:abstractNum>
  <w:abstractNum w:abstractNumId="135">
    <w:nsid w:val="6A1B45E5"/>
    <w:multiLevelType w:val="hybridMultilevel"/>
    <w:lvl w:ilvl="0">
      <w:lvlJc w:val="left"/>
      <w:lvlText w:val="(%1)"/>
      <w:numFmt w:val="lowerLetter"/>
      <w:start w:val="5"/>
    </w:lvl>
  </w:abstractNum>
  <w:abstractNum w:abstractNumId="136">
    <w:nsid w:val="567BD50A"/>
    <w:multiLevelType w:val="hybridMultilevel"/>
    <w:lvl w:ilvl="0">
      <w:lvlJc w:val="left"/>
      <w:lvlText w:val="●"/>
      <w:numFmt w:val="bullet"/>
      <w:start w:val="1"/>
    </w:lvl>
  </w:abstractNum>
  <w:abstractNum w:abstractNumId="137">
    <w:nsid w:val="73BBD7F8"/>
    <w:multiLevelType w:val="hybridMultilevel"/>
    <w:lvl w:ilvl="0">
      <w:lvlJc w:val="left"/>
      <w:lvlText w:val="(%1)"/>
      <w:numFmt w:val="lowerRoman"/>
      <w:start w:val="1"/>
    </w:lvl>
  </w:abstractNum>
  <w:abstractNum w:abstractNumId="138">
    <w:nsid w:val="1876589D"/>
    <w:multiLevelType w:val="hybridMultilevel"/>
    <w:lvl w:ilvl="0">
      <w:lvlJc w:val="left"/>
      <w:lvlText w:val="(%1)"/>
      <w:numFmt w:val="lowerRoman"/>
      <w:start w:val="1"/>
    </w:lvl>
  </w:abstractNum>
  <w:abstractNum w:abstractNumId="139">
    <w:nsid w:val="327FAC77"/>
    <w:multiLevelType w:val="hybridMultilevel"/>
    <w:lvl w:ilvl="0">
      <w:lvlJc w:val="left"/>
      <w:lvlText w:val="(%1)"/>
      <w:numFmt w:val="lowerLetter"/>
      <w:start w:val="6"/>
    </w:lvl>
  </w:abstractNum>
  <w:abstractNum w:abstractNumId="140">
    <w:nsid w:val="5A606509"/>
    <w:multiLevelType w:val="hybridMultilevel"/>
    <w:lvl w:ilvl="0">
      <w:lvlJc w:val="left"/>
      <w:lvlText w:val="%1."/>
      <w:numFmt w:val="decimal"/>
      <w:start w:val="2"/>
    </w:lvl>
  </w:abstractNum>
  <w:abstractNum w:abstractNumId="141">
    <w:nsid w:val="6F38E6D1"/>
    <w:multiLevelType w:val="hybridMultilevel"/>
    <w:lvl w:ilvl="0">
      <w:lvlJc w:val="left"/>
      <w:lvlText w:val="(%1)"/>
      <w:numFmt w:val="lowerLetter"/>
      <w:start w:val="19"/>
    </w:lvl>
  </w:abstractNum>
  <w:abstractNum w:abstractNumId="142">
    <w:nsid w:val="46111BA5"/>
    <w:multiLevelType w:val="hybridMultilevel"/>
    <w:lvl w:ilvl="0">
      <w:lvlJc w:val="left"/>
      <w:lvlText w:val="●"/>
      <w:numFmt w:val="bullet"/>
      <w:start w:val="1"/>
    </w:lvl>
  </w:abstractNum>
  <w:abstractNum w:abstractNumId="143">
    <w:nsid w:val="5E963896"/>
    <w:multiLevelType w:val="hybridMultilevel"/>
    <w:lvl w:ilvl="0">
      <w:lvlJc w:val="left"/>
      <w:lvlText w:val="%1."/>
      <w:numFmt w:val="lowerRoman"/>
      <w:start w:val="1"/>
    </w:lvl>
  </w:abstractNum>
  <w:abstractNum w:abstractNumId="144">
    <w:nsid w:val="775BA7C1"/>
    <w:multiLevelType w:val="hybridMultilevel"/>
    <w:lvl w:ilvl="0">
      <w:lvlJc w:val="left"/>
      <w:lvlText w:val="(%1)"/>
      <w:numFmt w:val="lowerRoman"/>
      <w:start w:val="4"/>
    </w:lvl>
    <w:lvl w:ilvl="1">
      <w:lvlJc w:val="left"/>
      <w:lvlText w:val="●"/>
      <w:numFmt w:val="bullet"/>
      <w:start w:val="1"/>
    </w:lvl>
  </w:abstractNum>
  <w:abstractNum w:abstractNumId="145">
    <w:nsid w:val="1DD6D6F4"/>
    <w:multiLevelType w:val="hybridMultilevel"/>
    <w:lvl w:ilvl="0">
      <w:lvlJc w:val="left"/>
      <w:lvlText w:val="%1."/>
      <w:numFmt w:val="decimal"/>
      <w:start w:val="5"/>
    </w:lvl>
  </w:abstractNum>
  <w:abstractNum w:abstractNumId="146">
    <w:nsid w:val="769A091F"/>
    <w:multiLevelType w:val="hybridMultilevel"/>
    <w:lvl w:ilvl="0">
      <w:lvlJc w:val="left"/>
      <w:lvlText w:val="(%1)"/>
      <w:numFmt w:val="lowerRoman"/>
      <w:start w:val="1"/>
    </w:lvl>
  </w:abstractNum>
  <w:abstractNum w:abstractNumId="147">
    <w:nsid w:val="4695AE95"/>
    <w:multiLevelType w:val="hybridMultilevel"/>
    <w:lvl w:ilvl="0">
      <w:lvlJc w:val="left"/>
      <w:lvlText w:val="%1."/>
      <w:numFmt w:val="decimal"/>
      <w:start w:val="8"/>
    </w:lvl>
  </w:abstractNum>
  <w:abstractNum w:abstractNumId="148">
    <w:nsid w:val="777A4EAA"/>
    <w:multiLevelType w:val="hybridMultilevel"/>
    <w:lvl w:ilvl="0">
      <w:lvlJc w:val="left"/>
      <w:lvlText w:val="*"/>
      <w:numFmt w:val="bullet"/>
      <w:start w:val="1"/>
    </w:lvl>
  </w:abstractNum>
  <w:abstractNum w:abstractNumId="149">
    <w:nsid w:val="3F48B982"/>
    <w:multiLevelType w:val="hybridMultilevel"/>
    <w:lvl w:ilvl="0">
      <w:lvlJc w:val="left"/>
      <w:lvlText w:val="*"/>
      <w:numFmt w:val="bullet"/>
      <w:start w:val="1"/>
    </w:lvl>
  </w:abstractNum>
  <w:abstractNum w:abstractNumId="150">
    <w:nsid w:val="46BA8FCA"/>
    <w:multiLevelType w:val="hybridMultilevel"/>
    <w:lvl w:ilvl="0">
      <w:lvlJc w:val="left"/>
      <w:lvlText w:val="**"/>
      <w:numFmt w:val="bullet"/>
      <w:start w:val="1"/>
    </w:lvl>
  </w:abstractNum>
  <w:abstractNum w:abstractNumId="151">
    <w:nsid w:val="7835626C"/>
    <w:multiLevelType w:val="hybridMultilevel"/>
    <w:lvl w:ilvl="0">
      <w:lvlJc w:val="left"/>
      <w:lvlText w:val="%1."/>
      <w:numFmt w:val="decimal"/>
      <w:start w:val="9"/>
    </w:lvl>
  </w:abstractNum>
  <w:abstractNum w:abstractNumId="152">
    <w:nsid w:val="665ACA49"/>
    <w:multiLevelType w:val="hybridMultilevel"/>
    <w:lvl w:ilvl="0">
      <w:lvlJc w:val="left"/>
      <w:lvlText w:val="%1."/>
      <w:numFmt w:val="decimal"/>
      <w:start w:val="11"/>
    </w:lvl>
  </w:abstractNum>
  <w:abstractNum w:abstractNumId="153">
    <w:nsid w:val="6835B2AE"/>
    <w:multiLevelType w:val="hybridMultilevel"/>
    <w:lvl w:ilvl="0">
      <w:lvlJc w:val="left"/>
      <w:lvlText w:val="(%1)"/>
      <w:numFmt w:val="lowerRoman"/>
      <w:start w:val="1"/>
    </w:lvl>
  </w:abstractNum>
  <w:abstractNum w:abstractNumId="154">
    <w:nsid w:val="4C187C90"/>
    <w:multiLevelType w:val="hybridMultilevel"/>
    <w:lvl w:ilvl="0">
      <w:lvlJc w:val="left"/>
      <w:lvlText w:val="%1."/>
      <w:numFmt w:val="decimal"/>
      <w:start w:val="12"/>
    </w:lvl>
  </w:abstractNum>
  <w:abstractNum w:abstractNumId="155">
    <w:nsid w:val="541F28CD"/>
    <w:multiLevelType w:val="hybridMultilevel"/>
    <w:lvl w:ilvl="0">
      <w:lvlJc w:val="left"/>
      <w:lvlText w:val="%1."/>
      <w:numFmt w:val="decimal"/>
      <w:start w:val="13"/>
    </w:lvl>
  </w:abstractNum>
  <w:abstractNum w:abstractNumId="156">
    <w:nsid w:val="7F65FD16"/>
    <w:multiLevelType w:val="hybridMultilevel"/>
    <w:lvl w:ilvl="0">
      <w:lvlJc w:val="left"/>
      <w:lvlText w:val="%1)"/>
      <w:numFmt w:val="decimal"/>
      <w:start w:val="1"/>
    </w:lvl>
  </w:abstractNum>
  <w:abstractNum w:abstractNumId="157">
    <w:nsid w:val="77C9FD68"/>
    <w:multiLevelType w:val="hybridMultilevel"/>
    <w:lvl w:ilvl="0">
      <w:lvlJc w:val="left"/>
      <w:lvlText w:val="●"/>
      <w:numFmt w:val="bullet"/>
      <w:start w:val="1"/>
    </w:lvl>
  </w:abstractNum>
  <w:abstractNum w:abstractNumId="158">
    <w:nsid w:val="298A92BA"/>
    <w:multiLevelType w:val="hybridMultilevel"/>
    <w:lvl w:ilvl="0">
      <w:lvlJc w:val="left"/>
      <w:lvlText w:val="●"/>
      <w:numFmt w:val="bullet"/>
      <w:start w:val="1"/>
    </w:lvl>
  </w:abstractNum>
  <w:abstractNum w:abstractNumId="159">
    <w:nsid w:val="6FE95EAC"/>
    <w:multiLevelType w:val="hybridMultilevel"/>
    <w:lvl w:ilvl="0">
      <w:lvlJc w:val="left"/>
      <w:lvlText w:val="●"/>
      <w:numFmt w:val="bullet"/>
      <w:start w:val="1"/>
    </w:lvl>
  </w:abstractNum>
  <w:abstractNum w:abstractNumId="160">
    <w:nsid w:val="4B697C7A"/>
    <w:multiLevelType w:val="hybridMultilevel"/>
    <w:lvl w:ilvl="0">
      <w:lvlJc w:val="left"/>
      <w:lvlText w:val="(%1)"/>
      <w:numFmt w:val="lowerLetter"/>
      <w:start w:val="1"/>
    </w:lvl>
  </w:abstractNum>
  <w:abstractNum w:abstractNumId="161">
    <w:nsid w:val="51A27AA6"/>
    <w:multiLevelType w:val="hybridMultilevel"/>
    <w:lvl w:ilvl="0">
      <w:lvlJc w:val="left"/>
      <w:lvlText w:val="%1."/>
      <w:numFmt w:val="decimal"/>
      <w:start w:val="14"/>
    </w:lvl>
  </w:abstractNum>
  <w:abstractNum w:abstractNumId="162">
    <w:nsid w:val="613183F2"/>
    <w:multiLevelType w:val="hybridMultilevel"/>
    <w:lvl w:ilvl="0">
      <w:lvlJc w:val="left"/>
      <w:lvlText w:val="●"/>
      <w:numFmt w:val="bullet"/>
      <w:start w:val="1"/>
    </w:lvl>
  </w:abstractNum>
  <w:abstractNum w:abstractNumId="163">
    <w:nsid w:val="634102B4"/>
    <w:multiLevelType w:val="hybridMultilevel"/>
    <w:lvl w:ilvl="0">
      <w:lvlJc w:val="left"/>
      <w:lvlText w:val="(%1)"/>
      <w:numFmt w:val="lowerRoman"/>
      <w:start w:val="1"/>
    </w:lvl>
  </w:abstractNum>
  <w:abstractNum w:abstractNumId="164">
    <w:nsid w:val="65BF9DA8"/>
    <w:multiLevelType w:val="hybridMultilevel"/>
    <w:lvl w:ilvl="0">
      <w:lvlJc w:val="left"/>
      <w:lvlText w:val="%1)"/>
      <w:numFmt w:val="decimal"/>
      <w:start w:val="1"/>
    </w:lvl>
  </w:abstractNum>
  <w:abstractNum w:abstractNumId="165">
    <w:nsid w:val="21A2ECCA"/>
    <w:multiLevelType w:val="hybridMultilevel"/>
    <w:lvl w:ilvl="0">
      <w:lvlJc w:val="left"/>
      <w:lvlText w:val="%1."/>
      <w:numFmt w:val="decimal"/>
      <w:start w:val="19"/>
    </w:lvl>
  </w:abstractNum>
  <w:abstractNum w:abstractNumId="166">
    <w:nsid w:val="4D5C4899"/>
    <w:multiLevelType w:val="hybridMultilevel"/>
    <w:lvl w:ilvl="0">
      <w:lvlJc w:val="left"/>
      <w:lvlText w:val="%1"/>
      <w:numFmt w:val="decimal"/>
      <w:start w:val="1"/>
    </w:lvl>
    <w:lvl w:ilvl="1">
      <w:lvlJc w:val="left"/>
      <w:lvlText w:val="(%2)"/>
      <w:numFmt w:val="lowerRoman"/>
      <w:start w:val="1"/>
    </w:lvl>
  </w:abstractNum>
  <w:abstractNum w:abstractNumId="167">
    <w:nsid w:val="3C3B72B2"/>
    <w:multiLevelType w:val="hybridMultilevel"/>
    <w:lvl w:ilvl="0">
      <w:lvlJc w:val="left"/>
      <w:lvlText w:val="%1."/>
      <w:numFmt w:val="decimal"/>
      <w:start w:val="20"/>
    </w:lvl>
    <w:lvl w:ilvl="1">
      <w:lvlJc w:val="left"/>
      <w:lvlText w:val="%2"/>
      <w:numFmt w:val="lowerRoman"/>
      <w:start w:val="1"/>
    </w:lvl>
  </w:abstractNum>
  <w:abstractNum w:abstractNumId="168">
    <w:nsid w:val="155EC4C2"/>
    <w:multiLevelType w:val="hybridMultilevel"/>
    <w:lvl w:ilvl="0">
      <w:lvlJc w:val="left"/>
      <w:lvlText w:val="%1."/>
      <w:numFmt w:val="decimal"/>
      <w:start w:val="21"/>
    </w:lvl>
  </w:abstractNum>
  <w:abstractNum w:abstractNumId="169">
    <w:nsid w:val="65D2A137"/>
    <w:multiLevelType w:val="hybridMultilevel"/>
    <w:lvl w:ilvl="0">
      <w:lvlJc w:val="left"/>
      <w:lvlText w:val="*"/>
      <w:numFmt w:val="bullet"/>
      <w:start w:val="1"/>
    </w:lvl>
  </w:abstractNum>
  <w:abstractNum w:abstractNumId="170">
    <w:nsid w:val="6EBB1F2A"/>
    <w:multiLevelType w:val="hybridMultilevel"/>
    <w:lvl w:ilvl="0">
      <w:lvlJc w:val="left"/>
      <w:lvlText w:val="**"/>
      <w:numFmt w:val="bullet"/>
      <w:start w:val="1"/>
    </w:lvl>
  </w:abstractNum>
  <w:abstractNum w:abstractNumId="171">
    <w:nsid w:val="6FBF29CB"/>
    <w:multiLevelType w:val="hybridMultilevel"/>
    <w:lvl w:ilvl="0">
      <w:lvlJc w:val="left"/>
      <w:lvlText w:val="(%1)"/>
      <w:numFmt w:val="lowerRoman"/>
      <w:start w:val="1"/>
    </w:lvl>
  </w:abstractNum>
  <w:abstractNum w:abstractNumId="172">
    <w:nsid w:val="550B8808"/>
    <w:multiLevelType w:val="hybridMultilevel"/>
    <w:lvl w:ilvl="0">
      <w:lvlJc w:val="left"/>
      <w:lvlText w:val="(%1)"/>
      <w:numFmt w:val="lowerRoman"/>
      <w:start w:val="4"/>
    </w:lvl>
    <w:lvl w:ilvl="1">
      <w:lvlJc w:val="left"/>
      <w:lvlText w:val="(%2)"/>
      <w:numFmt w:val="lowerRoman"/>
      <w:start w:val="8"/>
    </w:lvl>
  </w:abstractNum>
  <w:abstractNum w:abstractNumId="173">
    <w:nsid w:val="34CC3ACF"/>
    <w:multiLevelType w:val="hybridMultilevel"/>
    <w:lvl w:ilvl="0">
      <w:lvlJc w:val="left"/>
      <w:lvlText w:val="*"/>
      <w:numFmt w:val="bullet"/>
      <w:start w:val="1"/>
    </w:lvl>
  </w:abstractNum>
  <w:abstractNum w:abstractNumId="174">
    <w:nsid w:val="4E556261"/>
    <w:multiLevelType w:val="hybridMultilevel"/>
    <w:lvl w:ilvl="0">
      <w:lvlJc w:val="left"/>
      <w:lvlText w:val="(%1)"/>
      <w:numFmt w:val="lowerRoman"/>
      <w:start w:val="1"/>
    </w:lvl>
  </w:abstractNum>
  <w:abstractNum w:abstractNumId="175">
    <w:nsid w:val="4C672FC9"/>
    <w:multiLevelType w:val="hybridMultilevel"/>
    <w:lvl w:ilvl="0">
      <w:lvlJc w:val="left"/>
      <w:lvlText w:val="%1"/>
      <w:numFmt w:val="decimal"/>
      <w:start w:val="1"/>
    </w:lvl>
    <w:lvl w:ilvl="1">
      <w:lvlJc w:val="left"/>
      <w:lvlText w:val="(%2)"/>
      <w:numFmt w:val="lowerRoman"/>
      <w:start w:val="4"/>
    </w:lvl>
    <w:lvl w:ilvl="2">
      <w:lvlJc w:val="left"/>
      <w:lvlText w:val="(%3)"/>
      <w:numFmt w:val="lowerRoman"/>
      <w:start w:val="6"/>
    </w:lvl>
  </w:abstractNum>
  <w:abstractNum w:abstractNumId="176">
    <w:nsid w:val="52A311C3"/>
    <w:multiLevelType w:val="hybridMultilevel"/>
    <w:lvl w:ilvl="0">
      <w:lvlJc w:val="left"/>
      <w:lvlText w:val="%1."/>
      <w:numFmt w:val="decimal"/>
      <w:start w:val="28"/>
    </w:lvl>
    <w:lvl w:ilvl="1">
      <w:lvlJc w:val="left"/>
      <w:lvlText w:val="%2"/>
      <w:numFmt w:val="lowerRoman"/>
      <w:start w:val="1"/>
    </w:lvl>
    <w:lvl w:ilvl="2">
      <w:lvlJc w:val="left"/>
      <w:lvlText w:val="%3"/>
      <w:numFmt w:val="lowerRoman"/>
      <w:start w:val="1"/>
    </w:lvl>
  </w:abstractNum>
  <w:abstractNum w:abstractNumId="177">
    <w:nsid w:val="44EF6B80"/>
    <w:multiLevelType w:val="hybridMultilevel"/>
    <w:lvl w:ilvl="0">
      <w:lvlJc w:val="left"/>
      <w:lvlText w:val="(%1)"/>
      <w:numFmt w:val="lowerRoman"/>
      <w:start w:val="1"/>
    </w:lvl>
  </w:abstractNum>
  <w:abstractNum w:abstractNumId="178">
    <w:nsid w:val="12FCDE5E"/>
    <w:multiLevelType w:val="hybridMultilevel"/>
    <w:lvl w:ilvl="0">
      <w:lvlJc w:val="left"/>
      <w:lvlText w:val="*"/>
      <w:numFmt w:val="bullet"/>
      <w:start w:val="1"/>
    </w:lvl>
  </w:abstractNum>
  <w:abstractNum w:abstractNumId="179">
    <w:nsid w:val="4A1D606E"/>
    <w:multiLevelType w:val="hybridMultilevel"/>
    <w:lvl w:ilvl="0">
      <w:lvlJc w:val="left"/>
      <w:lvlText w:val="(%1)"/>
      <w:numFmt w:val="lowerRoman"/>
      <w:start w:val="1"/>
    </w:lvl>
    <w:lvl w:ilvl="1">
      <w:lvlJc w:val="left"/>
      <w:lvlText w:val="%2."/>
      <w:numFmt w:val="lowerLetter"/>
      <w:start w:val="1"/>
    </w:lvl>
  </w:abstractNum>
  <w:abstractNum w:abstractNumId="180">
    <w:nsid w:val="4382503"/>
    <w:multiLevelType w:val="hybridMultilevel"/>
    <w:lvl w:ilvl="0">
      <w:lvlJc w:val="left"/>
      <w:lvlText w:val="%1"/>
      <w:numFmt w:val="lowerRoman"/>
      <w:start w:val="1"/>
    </w:lvl>
    <w:lvl w:ilvl="1">
      <w:lvlJc w:val="left"/>
      <w:lvlText w:val="%2."/>
      <w:numFmt w:val="lowerLetter"/>
      <w:start w:val="4"/>
    </w:lvl>
  </w:abstractNum>
  <w:abstractNum w:abstractNumId="181">
    <w:nsid w:val="59B76E28"/>
    <w:multiLevelType w:val="hybridMultilevel"/>
    <w:lvl w:ilvl="0">
      <w:lvlJc w:val="left"/>
      <w:lvlText w:val="(%1)"/>
      <w:numFmt w:val="lowerRoman"/>
      <w:start w:val="3"/>
    </w:lvl>
    <w:lvl w:ilvl="1">
      <w:lvlJc w:val="left"/>
      <w:lvlText w:val="%2."/>
      <w:numFmt w:val="lowerLetter"/>
      <w:start w:val="1"/>
    </w:lvl>
  </w:abstractNum>
  <w:abstractNum w:abstractNumId="182">
    <w:nsid w:val="4252C2DA"/>
    <w:multiLevelType w:val="hybridMultilevel"/>
    <w:lvl w:ilvl="0">
      <w:lvlJc w:val="left"/>
      <w:lvlText w:val="%1."/>
      <w:numFmt w:val="lowerLetter"/>
      <w:start w:val="2"/>
    </w:lvl>
  </w:abstractNum>
  <w:abstractNum w:abstractNumId="183">
    <w:nsid w:val="6A92EF4C"/>
    <w:multiLevelType w:val="hybridMultilevel"/>
    <w:lvl w:ilvl="0">
      <w:lvlJc w:val="left"/>
      <w:lvlText w:val="%1"/>
      <w:numFmt w:val="lowerRoman"/>
      <w:start w:val="1"/>
    </w:lvl>
    <w:lvl w:ilvl="1">
      <w:lvlJc w:val="left"/>
      <w:lvlText w:val="%2."/>
      <w:numFmt w:val="lowerLetter"/>
      <w:start w:val="7"/>
    </w:lvl>
  </w:abstractNum>
  <w:abstractNum w:abstractNumId="184">
    <w:nsid w:val="41ED20D7"/>
    <w:multiLevelType w:val="hybridMultilevel"/>
    <w:lvl w:ilvl="0">
      <w:lvlJc w:val="left"/>
      <w:lvlText w:val="(%1)"/>
      <w:numFmt w:val="lowerRoman"/>
      <w:start w:val="4"/>
    </w:lvl>
    <w:lvl w:ilvl="1">
      <w:lvlJc w:val="left"/>
      <w:lvlText w:val="%2"/>
      <w:numFmt w:val="lowerLetter"/>
      <w:start w:val="1"/>
    </w:lvl>
  </w:abstractNum>
  <w:abstractNum w:abstractNumId="185">
    <w:nsid w:val="E6B3F6A"/>
    <w:multiLevelType w:val="hybridMultilevel"/>
    <w:lvl w:ilvl="0">
      <w:lvlJc w:val="left"/>
      <w:lvlText w:val="(%1)"/>
      <w:numFmt w:val="lowerLetter"/>
      <w:start w:val="5"/>
    </w:lvl>
  </w:abstractNum>
  <w:abstractNum w:abstractNumId="186">
    <w:nsid w:val="3EB21819"/>
    <w:multiLevelType w:val="hybridMultilevel"/>
    <w:lvl w:ilvl="0">
      <w:lvlJc w:val="left"/>
      <w:lvlText w:val="(%1)"/>
      <w:numFmt w:val="lowerRoman"/>
      <w:start w:val="1"/>
    </w:lvl>
  </w:abstractNum>
  <w:abstractNum w:abstractNumId="187">
    <w:nsid w:val="41531DED"/>
    <w:multiLevelType w:val="hybridMultilevel"/>
    <w:lvl w:ilvl="0">
      <w:lvlJc w:val="left"/>
      <w:lvlText w:val="(%1)"/>
      <w:numFmt w:val="lowerRoman"/>
      <w:start w:val="4"/>
    </w:lvl>
  </w:abstractNum>
  <w:abstractNum w:abstractNumId="188">
    <w:nsid w:val="6353CD2"/>
    <w:multiLevelType w:val="hybridMultilevel"/>
    <w:lvl w:ilvl="0">
      <w:lvlJc w:val="left"/>
      <w:lvlText w:val="(%1)"/>
      <w:numFmt w:val="lowerRoman"/>
      <w:start w:val="5"/>
    </w:lvl>
  </w:abstractNum>
  <w:abstractNum w:abstractNumId="189">
    <w:nsid w:val="683CAAD3"/>
    <w:multiLevelType w:val="hybridMultilevel"/>
    <w:lvl w:ilvl="0">
      <w:lvlJc w:val="left"/>
      <w:lvlText w:val="%1."/>
      <w:numFmt w:val="decimal"/>
      <w:start w:val="31"/>
    </w:lvl>
  </w:abstractNum>
  <w:abstractNum w:abstractNumId="190">
    <w:nsid w:val="313C7C99"/>
    <w:multiLevelType w:val="hybridMultilevel"/>
    <w:lvl w:ilvl="0">
      <w:lvlJc w:val="left"/>
      <w:lvlText w:val="%1."/>
      <w:numFmt w:val="decimal"/>
      <w:start w:val="1"/>
    </w:lvl>
  </w:abstractNum>
  <w:abstractNum w:abstractNumId="191">
    <w:nsid w:val="519EB94C"/>
    <w:multiLevelType w:val="hybridMultilevel"/>
    <w:lvl w:ilvl="0">
      <w:lvlJc w:val="left"/>
      <w:lvlText w:val="%1."/>
      <w:numFmt w:val="decimal"/>
      <w:start w:val="1"/>
    </w:lvl>
  </w:abstractNum>
  <w:abstractNum w:abstractNumId="192">
    <w:nsid w:val="39DF2579"/>
    <w:multiLevelType w:val="hybridMultilevel"/>
    <w:lvl w:ilvl="0">
      <w:lvlJc w:val="left"/>
      <w:lvlText w:val="(%1)"/>
      <w:numFmt w:val="lowerLetter"/>
      <w:start w:val="2"/>
    </w:lvl>
  </w:abstractNum>
  <w:abstractNum w:abstractNumId="193">
    <w:nsid w:val="126E008B"/>
    <w:multiLevelType w:val="hybridMultilevel"/>
    <w:lvl w:ilvl="0">
      <w:lvlJc w:val="left"/>
      <w:lvlText w:val="%1."/>
      <w:numFmt w:val="decimal"/>
      <w:start w:val="2"/>
    </w:lvl>
    <w:lvl w:ilvl="1">
      <w:lvlJc w:val="left"/>
      <w:lvlText w:val="(%2)"/>
      <w:numFmt w:val="lowerLetter"/>
      <w:start w:val="1"/>
    </w:lvl>
  </w:abstractNum>
  <w:abstractNum w:abstractNumId="194">
    <w:nsid w:val="34DFBC00"/>
    <w:multiLevelType w:val="hybridMultilevel"/>
    <w:lvl w:ilvl="0">
      <w:lvlJc w:val="left"/>
      <w:lvlText w:val="%1."/>
      <w:numFmt w:val="decimal"/>
      <w:start w:val="4"/>
    </w:lvl>
  </w:abstractNum>
  <w:abstractNum w:abstractNumId="195">
    <w:nsid w:val="1F9EC322"/>
    <w:multiLevelType w:val="hybridMultilevel"/>
    <w:lvl w:ilvl="0">
      <w:lvlJc w:val="left"/>
      <w:lvlText w:val="%1."/>
      <w:numFmt w:val="decimal"/>
      <w:start w:val="6"/>
    </w:lvl>
  </w:abstractNum>
  <w:abstractNum w:abstractNumId="196">
    <w:nsid w:val="3410ED56"/>
    <w:multiLevelType w:val="hybridMultilevel"/>
    <w:lvl w:ilvl="0">
      <w:lvlJc w:val="left"/>
      <w:lvlText w:val="%1."/>
      <w:numFmt w:val="decimal"/>
      <w:start w:val="8"/>
    </w:lvl>
    <w:lvl w:ilvl="1">
      <w:lvlJc w:val="left"/>
      <w:lvlText w:val="(%2)"/>
      <w:numFmt w:val="lowerLetter"/>
      <w:start w:val="1"/>
    </w:lvl>
  </w:abstractNum>
  <w:abstractNum w:abstractNumId="197">
    <w:nsid w:val="23C049A"/>
    <w:multiLevelType w:val="hybridMultilevel"/>
    <w:lvl w:ilvl="0">
      <w:lvlJc w:val="left"/>
      <w:lvlText w:val="(%1)"/>
      <w:numFmt w:val="lowerLetter"/>
      <w:start w:val="2"/>
    </w:lvl>
  </w:abstractNum>
  <w:abstractNum w:abstractNumId="198">
    <w:nsid w:val="5BDA35D4"/>
    <w:multiLevelType w:val="hybridMultilevel"/>
    <w:lvl w:ilvl="0">
      <w:lvlJc w:val="left"/>
      <w:lvlText w:val="%1."/>
      <w:numFmt w:val="decimal"/>
      <w:start w:val="10"/>
    </w:lvl>
  </w:abstractNum>
  <w:abstractNum w:abstractNumId="199">
    <w:nsid w:val="496FB218"/>
    <w:multiLevelType w:val="hybridMultilevel"/>
    <w:lvl w:ilvl="0">
      <w:lvlJc w:val="left"/>
      <w:lvlText w:val="%1."/>
      <w:numFmt w:val="decimal"/>
      <w:start w:val="11"/>
    </w:lvl>
  </w:abstractNum>
  <w:abstractNum w:abstractNumId="200">
    <w:nsid w:val="680EA5D1"/>
    <w:multiLevelType w:val="hybridMultilevel"/>
    <w:lvl w:ilvl="0">
      <w:lvlJc w:val="left"/>
      <w:lvlText w:val="%1."/>
      <w:numFmt w:val="decimal"/>
      <w:start w:val="12"/>
    </w:lvl>
  </w:abstractNum>
  <w:abstractNum w:abstractNumId="201">
    <w:nsid w:val="4A9554FE"/>
    <w:multiLevelType w:val="hybridMultilevel"/>
    <w:lvl w:ilvl="0">
      <w:lvlJc w:val="left"/>
      <w:lvlText w:val="%1."/>
      <w:numFmt w:val="decimal"/>
      <w:start w:val="14"/>
    </w:lvl>
  </w:abstractNum>
  <w:abstractNum w:abstractNumId="202">
    <w:nsid w:val="392EDBE4"/>
    <w:multiLevelType w:val="hybridMultilevel"/>
    <w:lvl w:ilvl="0">
      <w:lvlJc w:val="left"/>
      <w:lvlText w:val="%1."/>
      <w:numFmt w:val="decimal"/>
      <w:start w:val="17"/>
    </w:lvl>
  </w:abstractNum>
  <w:abstractNum w:abstractNumId="203">
    <w:nsid w:val="3D1A2DD9"/>
    <w:multiLevelType w:val="hybridMultilevel"/>
    <w:lvl w:ilvl="0">
      <w:lvlJc w:val="left"/>
      <w:lvlText w:val="%1."/>
      <w:numFmt w:val="decimal"/>
      <w:start w:val="19"/>
    </w:lvl>
  </w:abstractNum>
  <w:abstractNum w:abstractNumId="204">
    <w:nsid w:val="7F618FCD"/>
    <w:multiLevelType w:val="hybridMultilevel"/>
    <w:lvl w:ilvl="0">
      <w:lvlJc w:val="left"/>
      <w:lvlText w:val="%1."/>
      <w:numFmt w:val="decimal"/>
      <w:start w:val="20"/>
    </w:lvl>
  </w:abstractNum>
  <w:abstractNum w:abstractNumId="205">
    <w:nsid w:val="7843E45"/>
    <w:multiLevelType w:val="hybridMultilevel"/>
    <w:lvl w:ilvl="0">
      <w:lvlJc w:val="left"/>
      <w:lvlText w:val="%1."/>
      <w:numFmt w:val="decimal"/>
      <w:start w:val="24"/>
    </w:lvl>
  </w:abstractNum>
  <w:abstractNum w:abstractNumId="206">
    <w:nsid w:val="9815DA3"/>
    <w:multiLevelType w:val="hybridMultilevel"/>
    <w:lvl w:ilvl="0">
      <w:lvlJc w:val="left"/>
      <w:lvlText w:val="%1."/>
      <w:numFmt w:val="decimal"/>
      <w:start w:val="30"/>
    </w:lvl>
  </w:abstractNum>
  <w:abstractNum w:abstractNumId="207">
    <w:nsid w:val="5204A191"/>
    <w:multiLevelType w:val="hybridMultilevel"/>
    <w:lvl w:ilvl="0">
      <w:lvlJc w:val="left"/>
      <w:lvlText w:val="%1."/>
      <w:numFmt w:val="decimal"/>
      <w:start w:val="33"/>
    </w:lvl>
  </w:abstractNum>
  <w:abstractNum w:abstractNumId="208">
    <w:nsid w:val="4C73A9C6"/>
    <w:multiLevelType w:val="hybridMultilevel"/>
    <w:lvl w:ilvl="0">
      <w:lvlJc w:val="left"/>
      <w:lvlText w:val="%1."/>
      <w:numFmt w:val="decimal"/>
      <w:start w:val="38"/>
    </w:lvl>
    <w:lvl w:ilvl="1">
      <w:lvlJc w:val="left"/>
      <w:lvlText w:val="(%2)"/>
      <w:numFmt w:val="lowerLetter"/>
      <w:start w:val="2"/>
    </w:lvl>
    <w:lvl w:ilvl="2">
      <w:lvlJc w:val="left"/>
      <w:lvlText w:val="(%3)"/>
      <w:numFmt w:val="lowerRoman"/>
      <w:start w:val="1"/>
    </w:lvl>
  </w:abstractNum>
  <w:abstractNum w:abstractNumId="209">
    <w:nsid w:val="1C7E3C01"/>
    <w:multiLevelType w:val="hybridMultilevel"/>
    <w:lvl w:ilvl="0">
      <w:lvlJc w:val="left"/>
      <w:lvlText w:val="%1"/>
      <w:numFmt w:val="decimal"/>
      <w:start w:val="1"/>
    </w:lvl>
    <w:lvl w:ilvl="1">
      <w:lvlJc w:val="left"/>
      <w:lvlText w:val="(%2)"/>
      <w:numFmt w:val="lowerRoman"/>
      <w:start w:val="2"/>
    </w:lvl>
  </w:abstractNum>
  <w:abstractNum w:abstractNumId="210">
    <w:nsid w:val="1C2201FF"/>
    <w:multiLevelType w:val="hybridMultilevel"/>
    <w:lvl w:ilvl="0">
      <w:lvlJc w:val="left"/>
      <w:lvlText w:val="%1."/>
      <w:numFmt w:val="decimal"/>
      <w:start w:val="40"/>
    </w:lvl>
    <w:lvl w:ilvl="1">
      <w:lvlJc w:val="left"/>
      <w:lvlText w:val="%2"/>
      <w:numFmt w:val="lowerRoman"/>
      <w:start w:val="1"/>
    </w:lvl>
  </w:abstractNum>
  <w:abstractNum w:abstractNumId="211">
    <w:nsid w:val="50ABCEC9"/>
    <w:multiLevelType w:val="hybridMultilevel"/>
    <w:lvl w:ilvl="0">
      <w:lvlJc w:val="left"/>
      <w:lvlText w:val="%1."/>
      <w:numFmt w:val="decimal"/>
      <w:start w:val="42"/>
    </w:lvl>
  </w:abstractNum>
  <w:abstractNum w:abstractNumId="212">
    <w:nsid w:val="7635AA2A"/>
    <w:multiLevelType w:val="hybridMultilevel"/>
    <w:lvl w:ilvl="0">
      <w:lvlJc w:val="left"/>
      <w:lvlText w:val="%1."/>
      <w:numFmt w:val="decimal"/>
      <w:start w:val="45"/>
    </w:lvl>
  </w:abstractNum>
  <w:abstractNum w:abstractNumId="213">
    <w:nsid w:val="5E74C4D9"/>
    <w:multiLevelType w:val="hybridMultilevel"/>
    <w:lvl w:ilvl="0">
      <w:lvlJc w:val="left"/>
      <w:lvlText w:val="%1."/>
      <w:numFmt w:val="decimal"/>
      <w:start w:val="46"/>
    </w:lvl>
    <w:lvl w:ilvl="1">
      <w:lvlJc w:val="left"/>
      <w:lvlText w:val="(%2)"/>
      <w:numFmt w:val="lowerLetter"/>
      <w:start w:val="1"/>
    </w:lvl>
  </w:abstractNum>
  <w:abstractNum w:abstractNumId="214">
    <w:nsid w:val="3B3EBE15"/>
    <w:multiLevelType w:val="hybridMultilevel"/>
    <w:lvl w:ilvl="0">
      <w:lvlJc w:val="left"/>
      <w:lvlText w:val="%1."/>
      <w:numFmt w:val="decimal"/>
      <w:start w:val="49"/>
    </w:lvl>
    <w:lvl w:ilvl="1">
      <w:lvlJc w:val="left"/>
      <w:lvlText w:val="(%2)"/>
      <w:numFmt w:val="lowerLetter"/>
      <w:start w:val="1"/>
    </w:lvl>
  </w:abstractNum>
  <w:abstractNum w:abstractNumId="215">
    <w:nsid w:val="3822CB01"/>
    <w:multiLevelType w:val="hybridMultilevel"/>
    <w:lvl w:ilvl="0">
      <w:lvlJc w:val="left"/>
      <w:lvlText w:val="%1."/>
      <w:numFmt w:val="decimal"/>
      <w:start w:val="50"/>
    </w:lvl>
  </w:abstractNum>
  <w:abstractNum w:abstractNumId="216">
    <w:nsid w:val="6CE00443"/>
    <w:multiLevelType w:val="hybridMultilevel"/>
    <w:lvl w:ilvl="0">
      <w:lvlJc w:val="left"/>
      <w:lvlText w:val="%1."/>
      <w:numFmt w:val="decimal"/>
      <w:start w:val="54"/>
    </w:lvl>
  </w:abstractNum>
  <w:abstractNum w:abstractNumId="217">
    <w:nsid w:val="79F0D62F"/>
    <w:multiLevelType w:val="hybridMultilevel"/>
    <w:lvl w:ilvl="0">
      <w:lvlJc w:val="left"/>
      <w:lvlText w:val="%1."/>
      <w:numFmt w:val="decimal"/>
      <w:start w:val="58"/>
    </w:lvl>
    <w:lvl w:ilvl="1">
      <w:lvlJc w:val="left"/>
      <w:lvlText w:val="(%2)"/>
      <w:numFmt w:val="lowerLetter"/>
      <w:start w:val="2"/>
    </w:lvl>
  </w:abstractNum>
  <w:abstractNum w:abstractNumId="218">
    <w:nsid w:val="7975E8EE"/>
    <w:multiLevelType w:val="hybridMultilevel"/>
    <w:lvl w:ilvl="0">
      <w:lvlJc w:val="left"/>
      <w:lvlText w:val="(%1)"/>
      <w:numFmt w:val="lowerLetter"/>
      <w:start w:val="3"/>
    </w:lvl>
  </w:abstractNum>
  <w:abstractNum w:abstractNumId="219">
    <w:nsid w:val="73154115"/>
    <w:multiLevelType w:val="hybridMultilevel"/>
    <w:lvl w:ilvl="0">
      <w:lvlJc w:val="left"/>
      <w:lvlText w:val="%1."/>
      <w:numFmt w:val="decimal"/>
      <w:start w:val="61"/>
    </w:lvl>
    <w:lvl w:ilvl="1">
      <w:lvlJc w:val="left"/>
      <w:lvlText w:val="(%2)"/>
      <w:numFmt w:val="lowerLetter"/>
      <w:start w:val="1"/>
    </w:lvl>
  </w:abstractNum>
  <w:abstractNum w:abstractNumId="220">
    <w:nsid w:val="622D8102"/>
    <w:multiLevelType w:val="hybridMultilevel"/>
    <w:lvl w:ilvl="0">
      <w:lvlJc w:val="left"/>
      <w:lvlText w:val="%1."/>
      <w:numFmt w:val="decimal"/>
      <w:start w:val="63"/>
    </w:lvl>
  </w:abstractNum>
  <w:abstractNum w:abstractNumId="221">
    <w:nsid w:val="2AB26587"/>
    <w:multiLevelType w:val="hybridMultilevel"/>
    <w:lvl w:ilvl="0">
      <w:lvlJc w:val="left"/>
      <w:lvlText w:val="%1."/>
      <w:numFmt w:val="decimal"/>
      <w:start w:val="66"/>
    </w:lvl>
  </w:abstractNum>
  <w:abstractNum w:abstractNumId="222">
    <w:nsid w:val="44B3FA61"/>
    <w:multiLevelType w:val="hybridMultilevel"/>
    <w:lvl w:ilvl="0">
      <w:lvlJc w:val="left"/>
      <w:lvlText w:val="%1."/>
      <w:numFmt w:val="decimal"/>
      <w:start w:val="72"/>
    </w:lvl>
  </w:abstractNum>
  <w:abstractNum w:abstractNumId="223">
    <w:nsid w:val="1C0CA67C"/>
    <w:multiLevelType w:val="hybridMultilevel"/>
    <w:lvl w:ilvl="0">
      <w:lvlJc w:val="left"/>
      <w:lvlText w:val="%1."/>
      <w:numFmt w:val="decimal"/>
      <w:start w:val="73"/>
    </w:lvl>
    <w:lvl w:ilvl="1">
      <w:lvlJc w:val="left"/>
      <w:lvlText w:val="(%2)"/>
      <w:numFmt w:val="lowerLetter"/>
      <w:start w:val="1"/>
    </w:lvl>
  </w:abstractNum>
  <w:abstractNum w:abstractNumId="224">
    <w:nsid w:val="3D206613"/>
    <w:multiLevelType w:val="hybridMultilevel"/>
    <w:lvl w:ilvl="0">
      <w:lvlJc w:val="left"/>
      <w:lvlText w:val="%1."/>
      <w:numFmt w:val="decimal"/>
      <w:start w:val="81"/>
    </w:lvl>
  </w:abstractNum>
  <w:abstractNum w:abstractNumId="225">
    <w:nsid w:val="7993B662"/>
    <w:multiLevelType w:val="hybridMultilevel"/>
    <w:lvl w:ilvl="0">
      <w:lvlJc w:val="left"/>
      <w:lvlText w:val="%1."/>
      <w:numFmt w:val="decimal"/>
      <w:start w:val="83"/>
    </w:lvl>
  </w:abstractNum>
  <w:abstractNum w:abstractNumId="226">
    <w:nsid w:val="3BAB699E"/>
    <w:multiLevelType w:val="hybridMultilevel"/>
    <w:lvl w:ilvl="0">
      <w:lvlJc w:val="left"/>
      <w:lvlText w:val="%1."/>
      <w:numFmt w:val="decimal"/>
      <w:start w:val="84"/>
    </w:lvl>
  </w:abstractNum>
  <w:abstractNum w:abstractNumId="227">
    <w:nsid w:val="71315369"/>
    <w:multiLevelType w:val="hybridMultilevel"/>
    <w:lvl w:ilvl="0">
      <w:lvlJc w:val="left"/>
      <w:lvlText w:val="%1."/>
      <w:numFmt w:val="decimal"/>
      <w:start w:val="85"/>
    </w:lvl>
    <w:lvl w:ilvl="1">
      <w:lvlJc w:val="left"/>
      <w:lvlText w:val="(%2)"/>
      <w:numFmt w:val="lowerLetter"/>
      <w:start w:val="2"/>
    </w:lvl>
  </w:abstractNum>
  <w:abstractNum w:abstractNumId="228">
    <w:nsid w:val="7BCFBAFC"/>
    <w:multiLevelType w:val="hybridMultilevel"/>
    <w:lvl w:ilvl="0">
      <w:lvlJc w:val="left"/>
      <w:lvlText w:val="%1"/>
      <w:numFmt w:val="decimal"/>
      <w:start w:val="1"/>
    </w:lvl>
    <w:lvl w:ilvl="1">
      <w:lvlJc w:val="left"/>
      <w:lvlText w:val="(%2)"/>
      <w:numFmt w:val="lowerLetter"/>
      <w:start w:val="4"/>
    </w:lvl>
  </w:abstractNum>
  <w:abstractNum w:abstractNumId="229">
    <w:nsid w:val="17859F72"/>
    <w:multiLevelType w:val="hybridMultilevel"/>
    <w:lvl w:ilvl="0">
      <w:lvlJc w:val="left"/>
      <w:lvlText w:val="%1."/>
      <w:numFmt w:val="decimal"/>
      <w:start w:val="86"/>
    </w:lvl>
    <w:lvl w:ilvl="1">
      <w:lvlJc w:val="left"/>
      <w:lvlText w:val="%2"/>
      <w:numFmt w:val="lowerLetter"/>
      <w:start w:val="1"/>
    </w:lvl>
  </w:abstractNum>
  <w:abstractNum w:abstractNumId="230">
    <w:nsid w:val="3AA10581"/>
    <w:multiLevelType w:val="hybridMultilevel"/>
    <w:lvl w:ilvl="0">
      <w:lvlJc w:val="left"/>
      <w:lvlText w:val="%1."/>
      <w:numFmt w:val="decimal"/>
      <w:start w:val="91"/>
    </w:lvl>
  </w:abstractNum>
  <w:abstractNum w:abstractNumId="231">
    <w:nsid w:val="63DE60CD"/>
    <w:multiLevelType w:val="hybridMultilevel"/>
    <w:lvl w:ilvl="0">
      <w:lvlJc w:val="left"/>
      <w:lvlText w:val="%1."/>
      <w:numFmt w:val="decimal"/>
      <w:start w:val="92"/>
    </w:lvl>
  </w:abstractNum>
  <w:abstractNum w:abstractNumId="232">
    <w:nsid w:val="621AF471"/>
    <w:multiLevelType w:val="hybridMultilevel"/>
    <w:lvl w:ilvl="0">
      <w:lvlJc w:val="left"/>
      <w:lvlText w:val="%1."/>
      <w:numFmt w:val="decimal"/>
      <w:start w:val="93"/>
    </w:lvl>
  </w:abstractNum>
  <w:abstractNum w:abstractNumId="233">
    <w:nsid w:val="73CFE165"/>
    <w:multiLevelType w:val="hybridMultilevel"/>
    <w:lvl w:ilvl="0">
      <w:lvlJc w:val="left"/>
      <w:lvlText w:val="%1."/>
      <w:numFmt w:val="decimal"/>
      <w:start w:val="98"/>
    </w:lvl>
  </w:abstractNum>
  <w:abstractNum w:abstractNumId="234">
    <w:nsid w:val="20F88EA6"/>
    <w:multiLevelType w:val="hybridMultilevel"/>
    <w:lvl w:ilvl="0">
      <w:lvlJc w:val="left"/>
      <w:lvlText w:val="%1."/>
      <w:numFmt w:val="decimal"/>
      <w:start w:val="105"/>
    </w:lvl>
  </w:abstractNum>
  <w:abstractNum w:abstractNumId="235">
    <w:nsid w:val="617C843E"/>
    <w:multiLevelType w:val="hybridMultilevel"/>
    <w:lvl w:ilvl="0">
      <w:lvlJc w:val="left"/>
      <w:lvlText w:val="(%1)"/>
      <w:numFmt w:val="lowerLetter"/>
      <w:start w:val="1"/>
    </w:lvl>
  </w:abstractNum>
  <w:abstractNum w:abstractNumId="236">
    <w:nsid w:val="7B541FAB"/>
    <w:multiLevelType w:val="hybridMultilevel"/>
    <w:lvl w:ilvl="0">
      <w:lvlJc w:val="left"/>
      <w:lvlText w:val="%1."/>
      <w:numFmt w:val="decimal"/>
      <w:start w:val="110"/>
    </w:lvl>
    <w:lvl w:ilvl="1">
      <w:lvlJc w:val="left"/>
      <w:lvlText w:val="(%2)"/>
      <w:numFmt w:val="lowerLetter"/>
      <w:start w:val="1"/>
    </w:lvl>
  </w:abstractNum>
  <w:abstractNum w:abstractNumId="237">
    <w:nsid w:val="2A79EC49"/>
    <w:multiLevelType w:val="hybridMultilevel"/>
    <w:lvl w:ilvl="0">
      <w:lvlJc w:val="left"/>
      <w:lvlText w:val="%1."/>
      <w:numFmt w:val="decimal"/>
      <w:start w:val="116"/>
    </w:lvl>
  </w:abstractNum>
  <w:abstractNum w:abstractNumId="238">
    <w:nsid w:val="338125CF"/>
    <w:multiLevelType w:val="hybridMultilevel"/>
    <w:lvl w:ilvl="0">
      <w:lvlJc w:val="left"/>
      <w:lvlText w:val="%1."/>
      <w:numFmt w:val="decimal"/>
      <w:start w:val="121"/>
    </w:lvl>
  </w:abstractNum>
  <w:abstractNum w:abstractNumId="239">
    <w:nsid w:val="47C7C971"/>
    <w:multiLevelType w:val="hybridMultilevel"/>
    <w:lvl w:ilvl="0">
      <w:lvlJc w:val="left"/>
      <w:lvlText w:val="%1."/>
      <w:numFmt w:val="decimal"/>
      <w:start w:val="126"/>
    </w:lvl>
  </w:abstractNum>
  <w:abstractNum w:abstractNumId="240">
    <w:nsid w:val="46F8284B"/>
    <w:multiLevelType w:val="hybridMultilevel"/>
    <w:lvl w:ilvl="0">
      <w:lvlJc w:val="left"/>
      <w:lvlText w:val="%1."/>
      <w:numFmt w:val="decimal"/>
      <w:start w:val="135"/>
    </w:lvl>
  </w:abstractNum>
  <w:abstractNum w:abstractNumId="241">
    <w:nsid w:val="4FA327CE"/>
    <w:multiLevelType w:val="hybridMultilevel"/>
    <w:lvl w:ilvl="0">
      <w:lvlJc w:val="left"/>
      <w:lvlText w:val="%1."/>
      <w:numFmt w:val="decimal"/>
      <w:start w:val="138"/>
    </w:lvl>
    <w:lvl w:ilvl="1">
      <w:lvlJc w:val="left"/>
      <w:lvlText w:val="(%2)"/>
      <w:numFmt w:val="lowerLetter"/>
      <w:start w:val="1"/>
    </w:lvl>
    <w:lvl w:ilvl="2">
      <w:lvlJc w:val="left"/>
      <w:lvlText w:val="(%3)"/>
      <w:numFmt w:val="lowerRoman"/>
      <w:start w:val="1"/>
    </w:lvl>
  </w:abstractNum>
  <w:abstractNum w:abstractNumId="242">
    <w:nsid w:val="1873983A"/>
    <w:multiLevelType w:val="hybridMultilevel"/>
    <w:lvl w:ilvl="0">
      <w:lvlJc w:val="left"/>
      <w:lvlText w:val="(%1)"/>
      <w:numFmt w:val="lowerLetter"/>
      <w:start w:val="3"/>
    </w:lvl>
  </w:abstractNum>
  <w:abstractNum w:abstractNumId="243">
    <w:nsid w:val="3D2DD275"/>
    <w:multiLevelType w:val="hybridMultilevel"/>
    <w:lvl w:ilvl="0">
      <w:lvlJc w:val="left"/>
      <w:lvlText w:val="(%1)"/>
      <w:numFmt w:val="lowerLetter"/>
      <w:start w:val="4"/>
    </w:lvl>
    <w:lvl w:ilvl="1">
      <w:lvlJc w:val="left"/>
      <w:lvlText w:val="(%2)"/>
      <w:numFmt w:val="lowerRoman"/>
      <w:start w:val="1"/>
    </w:lvl>
  </w:abstractNum>
  <w:abstractNum w:abstractNumId="244">
    <w:nsid w:val="2E17ECA7"/>
    <w:multiLevelType w:val="hybridMultilevel"/>
    <w:lvl w:ilvl="0">
      <w:lvlJc w:val="left"/>
      <w:lvlText w:val="%1."/>
      <w:numFmt w:val="decimal"/>
      <w:start w:val="140"/>
    </w:lvl>
  </w:abstractNum>
  <w:abstractNum w:abstractNumId="245">
    <w:nsid w:val="53B2564F"/>
    <w:multiLevelType w:val="hybridMultilevel"/>
    <w:lvl w:ilvl="0">
      <w:lvlJc w:val="left"/>
      <w:lvlText w:val="%1."/>
      <w:numFmt w:val="decimal"/>
      <w:start w:val="141"/>
    </w:lvl>
  </w:abstractNum>
  <w:abstractNum w:abstractNumId="246">
    <w:nsid w:val="75509D76"/>
    <w:multiLevelType w:val="hybridMultilevel"/>
    <w:lvl w:ilvl="0">
      <w:lvlJc w:val="left"/>
      <w:lvlText w:val="(%1)"/>
      <w:numFmt w:val="lowerLetter"/>
      <w:start w:val="2"/>
    </w:lvl>
  </w:abstractNum>
  <w:abstractNum w:abstractNumId="247">
    <w:nsid w:val="1AF7F0EA"/>
    <w:multiLevelType w:val="hybridMultilevel"/>
    <w:lvl w:ilvl="0">
      <w:lvlJc w:val="left"/>
      <w:lvlText w:val="%1."/>
      <w:numFmt w:val="decimal"/>
      <w:start w:val="146"/>
    </w:lvl>
    <w:lvl w:ilvl="1">
      <w:lvlJc w:val="left"/>
      <w:lvlText w:val="(%2)"/>
      <w:numFmt w:val="lowerLetter"/>
      <w:start w:val="1"/>
    </w:lvl>
  </w:abstractNum>
  <w:abstractNum w:abstractNumId="248">
    <w:nsid w:val="4DA32C7E"/>
    <w:multiLevelType w:val="hybridMultilevel"/>
    <w:lvl w:ilvl="0">
      <w:lvlJc w:val="left"/>
      <w:lvlText w:val="%1."/>
      <w:numFmt w:val="decimal"/>
      <w:start w:val="147"/>
    </w:lvl>
  </w:abstractNum>
  <w:abstractNum w:abstractNumId="249">
    <w:nsid w:val="6EC68664"/>
    <w:multiLevelType w:val="hybridMultilevel"/>
    <w:lvl w:ilvl="0">
      <w:lvlJc w:val="left"/>
      <w:lvlText w:val="%1."/>
      <w:numFmt w:val="decimal"/>
      <w:start w:val="149"/>
    </w:lvl>
  </w:abstractNum>
  <w:abstractNum w:abstractNumId="250">
    <w:nsid w:val="E0D31FF"/>
    <w:multiLevelType w:val="hybridMultilevel"/>
    <w:lvl w:ilvl="0">
      <w:lvlJc w:val="left"/>
      <w:lvlText w:val="(%1)"/>
      <w:numFmt w:val="lowerLetter"/>
      <w:start w:val="1"/>
    </w:lvl>
  </w:abstractNum>
  <w:abstractNum w:abstractNumId="251">
    <w:nsid w:val="2FD0AD81"/>
    <w:multiLevelType w:val="hybridMultilevel"/>
    <w:lvl w:ilvl="0">
      <w:lvlJc w:val="left"/>
      <w:lvlText w:val="%1."/>
      <w:numFmt w:val="decimal"/>
      <w:start w:val="151"/>
    </w:lvl>
  </w:abstractNum>
  <w:abstractNum w:abstractNumId="252">
    <w:nsid w:val="1978EBEB"/>
    <w:multiLevelType w:val="hybridMultilevel"/>
    <w:lvl w:ilvl="0">
      <w:lvlJc w:val="left"/>
      <w:lvlText w:val="%1."/>
      <w:numFmt w:val="decimal"/>
      <w:start w:val="153"/>
    </w:lvl>
  </w:abstractNum>
  <w:abstractNum w:abstractNumId="253">
    <w:nsid w:val="52C12C61"/>
    <w:multiLevelType w:val="hybridMultilevel"/>
    <w:lvl w:ilvl="0">
      <w:lvlJc w:val="left"/>
      <w:lvlText w:val="%1."/>
      <w:numFmt w:val="decimal"/>
      <w:start w:val="155"/>
    </w:lvl>
  </w:abstractNum>
  <w:abstractNum w:abstractNumId="254">
    <w:nsid w:val="4BDD53FD"/>
    <w:multiLevelType w:val="hybridMultilevel"/>
    <w:lvl w:ilvl="0">
      <w:lvlJc w:val="left"/>
      <w:lvlText w:val="%1."/>
      <w:numFmt w:val="decimal"/>
      <w:start w:val="156"/>
    </w:lvl>
  </w:abstractNum>
  <w:abstractNum w:abstractNumId="255">
    <w:nsid w:val="569951FE"/>
    <w:multiLevelType w:val="hybridMultilevel"/>
    <w:lvl w:ilvl="0">
      <w:lvlJc w:val="left"/>
      <w:lvlText w:val="%1."/>
      <w:numFmt w:val="decimal"/>
      <w:start w:val="162"/>
    </w:lvl>
  </w:abstractNum>
  <w:abstractNum w:abstractNumId="256">
    <w:nsid w:val="4C54E2C3"/>
    <w:multiLevelType w:val="hybridMultilevel"/>
    <w:lvl w:ilvl="0">
      <w:lvlJc w:val="left"/>
      <w:lvlText w:val="(%1)"/>
      <w:numFmt w:val="lowerLetter"/>
      <w:start w:val="1"/>
    </w:lvl>
  </w:abstractNum>
  <w:abstractNum w:abstractNumId="257">
    <w:nsid w:val="788BD9B"/>
    <w:multiLevelType w:val="hybridMultilevel"/>
    <w:lvl w:ilvl="0">
      <w:lvlJc w:val="left"/>
      <w:lvlText w:val="(%1)"/>
      <w:numFmt w:val="lowerLetter"/>
      <w:start w:val="2"/>
    </w:lvl>
  </w:abstractNum>
  <w:abstractNum w:abstractNumId="258">
    <w:nsid w:val="47CAA567"/>
    <w:multiLevelType w:val="hybridMultilevel"/>
    <w:lvl w:ilvl="0">
      <w:lvlJc w:val="left"/>
      <w:lvlText w:val="(%1)"/>
      <w:numFmt w:val="lowerLetter"/>
      <w:start w:val="1"/>
    </w:lvl>
  </w:abstractNum>
  <w:abstractNum w:abstractNumId="259">
    <w:nsid w:val="48249DBF"/>
    <w:multiLevelType w:val="hybridMultilevel"/>
    <w:lvl w:ilvl="0">
      <w:lvlJc w:val="left"/>
      <w:lvlText w:val="(%1)"/>
      <w:numFmt w:val="lowerLetter"/>
      <w:start w:val="2"/>
    </w:lvl>
  </w:abstractNum>
  <w:abstractNum w:abstractNumId="260">
    <w:nsid w:val="1F0E5D0D"/>
    <w:multiLevelType w:val="hybridMultilevel"/>
    <w:lvl w:ilvl="0">
      <w:lvlJc w:val="left"/>
      <w:lvlText w:val="(%1)"/>
      <w:numFmt w:val="lowerLetter"/>
      <w:start w:val="1"/>
    </w:lvl>
  </w:abstractNum>
  <w:abstractNum w:abstractNumId="261">
    <w:nsid w:val="26BAAE9"/>
    <w:multiLevelType w:val="hybridMultilevel"/>
    <w:lvl w:ilvl="0">
      <w:lvlJc w:val="left"/>
      <w:lvlText w:val="(%1)"/>
      <w:numFmt w:val="lowerLetter"/>
      <w:start w:val="4"/>
    </w:lvl>
  </w:abstractNum>
  <w:abstractNum w:abstractNumId="262">
    <w:nsid w:val="2C02FE8C"/>
    <w:multiLevelType w:val="hybridMultilevel"/>
    <w:lvl w:ilvl="0">
      <w:lvlJc w:val="left"/>
      <w:lvlText w:val="(%1)"/>
      <w:numFmt w:val="lowerLetter"/>
      <w:start w:val="1"/>
    </w:lvl>
  </w:abstractNum>
  <w:abstractNum w:abstractNumId="263">
    <w:nsid w:val="129517E"/>
    <w:multiLevelType w:val="hybridMultilevel"/>
    <w:lvl w:ilvl="0">
      <w:lvlJc w:val="left"/>
      <w:lvlText w:val="(%1)"/>
      <w:numFmt w:val="lowerLetter"/>
      <w:start w:val="1"/>
    </w:lvl>
  </w:abstractNum>
  <w:abstractNum w:abstractNumId="264">
    <w:nsid w:val="763B8C4E"/>
    <w:multiLevelType w:val="hybridMultilevel"/>
    <w:lvl w:ilvl="0">
      <w:lvlJc w:val="left"/>
      <w:lvlText w:val="(%1)"/>
      <w:numFmt w:val="lowerLetter"/>
      <w:start w:val="2"/>
    </w:lvl>
  </w:abstractNum>
  <w:abstractNum w:abstractNumId="265">
    <w:nsid w:val="4CFB8D32"/>
    <w:multiLevelType w:val="hybridMultilevel"/>
    <w:lvl w:ilvl="0">
      <w:lvlJc w:val="left"/>
      <w:lvlText w:val="(%1)"/>
      <w:numFmt w:val="lowerRoman"/>
      <w:start w:val="5"/>
    </w:lvl>
  </w:abstractNum>
  <w:abstractNum w:abstractNumId="266">
    <w:nsid w:val="62A5D5BD"/>
    <w:multiLevelType w:val="hybridMultilevel"/>
    <w:lvl w:ilvl="0">
      <w:lvlJc w:val="left"/>
      <w:lvlText w:val="(%1)"/>
      <w:numFmt w:val="lowerLetter"/>
      <w:start w:val="1"/>
    </w:lvl>
  </w:abstractNum>
  <w:abstractNum w:abstractNumId="267">
    <w:nsid w:val="718FABF9"/>
    <w:multiLevelType w:val="hybridMultilevel"/>
    <w:lvl w:ilvl="0">
      <w:lvlJc w:val="left"/>
      <w:lvlText w:val="(%1)"/>
      <w:numFmt w:val="lowerLetter"/>
      <w:start w:val="3"/>
    </w:lvl>
  </w:abstractNum>
  <w:abstractNum w:abstractNumId="268">
    <w:nsid w:val="7775797C"/>
    <w:multiLevelType w:val="hybridMultilevel"/>
    <w:lvl w:ilvl="0">
      <w:lvlJc w:val="left"/>
      <w:lvlText w:val="(%1)"/>
      <w:numFmt w:val="lowerLetter"/>
      <w:start w:val="1"/>
    </w:lvl>
  </w:abstractNum>
  <w:abstractNum w:abstractNumId="269">
    <w:nsid w:val="1626FB8C"/>
    <w:multiLevelType w:val="hybridMultilevel"/>
    <w:lvl w:ilvl="0">
      <w:lvlJc w:val="left"/>
      <w:lvlText w:val="(%1)"/>
      <w:numFmt w:val="lowerRoman"/>
      <w:start w:val="2"/>
    </w:lvl>
  </w:abstractNum>
  <w:abstractNum w:abstractNumId="270">
    <w:nsid w:val="3957756A"/>
    <w:multiLevelType w:val="hybridMultilevel"/>
    <w:lvl w:ilvl="0">
      <w:lvlJc w:val="left"/>
      <w:lvlText w:val="(%1)"/>
      <w:numFmt w:val="lowerRoman"/>
      <w:start w:val="1"/>
    </w:lvl>
  </w:abstractNum>
  <w:abstractNum w:abstractNumId="271">
    <w:nsid w:val="3E6DA1C7"/>
    <w:multiLevelType w:val="hybridMultilevel"/>
    <w:lvl w:ilvl="0">
      <w:lvlJc w:val="left"/>
      <w:lvlText w:val="(%1)"/>
      <w:numFmt w:val="lowerRoman"/>
      <w:start w:val="2"/>
    </w:lvl>
  </w:abstractNum>
  <w:abstractNum w:abstractNumId="272">
    <w:nsid w:val="65CA235B"/>
    <w:multiLevelType w:val="hybridMultilevel"/>
    <w:lvl w:ilvl="0">
      <w:lvlJc w:val="left"/>
      <w:lvlText w:val="(%1)"/>
      <w:numFmt w:val="decimal"/>
      <w:start w:val="1"/>
    </w:lvl>
  </w:abstractNum>
  <w:abstractNum w:abstractNumId="273">
    <w:nsid w:val="51CB0DA4"/>
    <w:multiLevelType w:val="hybridMultilevel"/>
    <w:lvl w:ilvl="0">
      <w:lvlJc w:val="left"/>
      <w:lvlText w:val="(%1)"/>
      <w:numFmt w:val="decimal"/>
      <w:start w:val="2"/>
    </w:lvl>
  </w:abstractNum>
  <w:abstractNum w:abstractNumId="274">
    <w:nsid w:val="7B9B743C"/>
    <w:multiLevelType w:val="hybridMultilevel"/>
    <w:lvl w:ilvl="0">
      <w:lvlJc w:val="left"/>
      <w:lvlText w:val="(%1)"/>
      <w:numFmt w:val="decimal"/>
      <w:start w:val="3"/>
    </w:lvl>
  </w:abstractNum>
  <w:abstractNum w:abstractNumId="275">
    <w:nsid w:val="13E21002"/>
    <w:multiLevelType w:val="hybridMultilevel"/>
    <w:lvl w:ilvl="0">
      <w:lvlJc w:val="left"/>
      <w:lvlText w:val="(%1)"/>
      <w:numFmt w:val="decimal"/>
      <w:start w:val="4"/>
    </w:lvl>
  </w:abstractNum>
  <w:abstractNum w:abstractNumId="276">
    <w:nsid w:val="257D63F4"/>
    <w:multiLevelType w:val="hybridMultilevel"/>
    <w:lvl w:ilvl="0">
      <w:lvlJc w:val="left"/>
      <w:lvlText w:val="(%1)"/>
      <w:numFmt w:val="decimal"/>
      <w:start w:val="5"/>
    </w:lvl>
  </w:abstractNum>
  <w:abstractNum w:abstractNumId="277">
    <w:nsid w:val="70EC11B2"/>
    <w:multiLevelType w:val="hybridMultilevel"/>
    <w:lvl w:ilvl="0">
      <w:lvlJc w:val="left"/>
      <w:lvlText w:val="(%1)"/>
      <w:numFmt w:val="decimal"/>
      <w:start w:val="7"/>
    </w:lvl>
  </w:abstractNum>
  <w:abstractNum w:abstractNumId="278">
    <w:nsid w:val="2EDA00ED"/>
    <w:multiLevelType w:val="hybridMultilevel"/>
    <w:lvl w:ilvl="0">
      <w:lvlJc w:val="left"/>
      <w:lvlText w:val="(%1)"/>
      <w:numFmt w:val="decimal"/>
      <w:start w:val="9"/>
    </w:lvl>
    <w:lvl w:ilvl="1">
      <w:lvlJc w:val="left"/>
      <w:lvlText w:val="(%2)"/>
      <w:numFmt w:val="lowerRoman"/>
      <w:start w:val="1"/>
    </w:lvl>
  </w:abstractNum>
  <w:abstractNum w:abstractNumId="279">
    <w:nsid w:val="73209072"/>
    <w:multiLevelType w:val="hybridMultilevel"/>
    <w:lvl w:ilvl="0">
      <w:lvlJc w:val="left"/>
      <w:lvlText w:val="(%1)"/>
      <w:numFmt w:val="lowerRoman"/>
      <w:start w:val="5"/>
    </w:lvl>
  </w:abstractNum>
  <w:abstractNum w:abstractNumId="280">
    <w:nsid w:val="5FB29816"/>
    <w:multiLevelType w:val="hybridMultilevel"/>
    <w:lvl w:ilvl="0">
      <w:lvlJc w:val="left"/>
      <w:lvlText w:val="(%1)"/>
      <w:numFmt w:val="lowerRoman"/>
      <w:start w:val="1"/>
    </w:lvl>
  </w:abstractNum>
  <w:abstractNum w:abstractNumId="281">
    <w:nsid w:val="3CE732EC"/>
    <w:multiLevelType w:val="hybridMultilevel"/>
    <w:lvl w:ilvl="0">
      <w:lvlJc w:val="left"/>
      <w:lvlText w:val="(%1)"/>
      <w:numFmt w:val="decimal"/>
      <w:start w:val="10"/>
    </w:lvl>
  </w:abstractNum>
  <w:abstractNum w:abstractNumId="282">
    <w:nsid w:val="22F13DF3"/>
    <w:multiLevelType w:val="hybridMultilevel"/>
    <w:lvl w:ilvl="0">
      <w:lvlJc w:val="left"/>
      <w:lvlText w:val="(%1)"/>
      <w:numFmt w:val="decimal"/>
      <w:start w:val="13"/>
    </w:lvl>
  </w:abstractNum>
  <w:abstractNum w:abstractNumId="283">
    <w:nsid w:val="792B8401"/>
    <w:multiLevelType w:val="hybridMultilevel"/>
    <w:lvl w:ilvl="0">
      <w:lvlJc w:val="left"/>
      <w:lvlText w:val="(%1)"/>
      <w:numFmt w:val="decimal"/>
      <w:start w:val="14"/>
    </w:lvl>
  </w:abstractNum>
  <w:abstractNum w:abstractNumId="284">
    <w:nsid w:val="FA85F4D"/>
    <w:multiLevelType w:val="hybridMultilevel"/>
    <w:lvl w:ilvl="0">
      <w:lvlJc w:val="left"/>
      <w:lvlText w:val="(%1)"/>
      <w:numFmt w:val="decimal"/>
      <w:start w:val="15"/>
    </w:lvl>
  </w:abstractNum>
  <w:abstractNum w:abstractNumId="285">
    <w:nsid w:val="6ECE91F0"/>
    <w:multiLevelType w:val="hybridMultilevel"/>
    <w:lvl w:ilvl="0">
      <w:lvlJc w:val="left"/>
      <w:lvlText w:val="(%1)"/>
      <w:numFmt w:val="decimal"/>
      <w:start w:val="16"/>
    </w:lvl>
  </w:abstractNum>
  <w:abstractNum w:abstractNumId="286">
    <w:nsid w:val="4FC4D600"/>
    <w:multiLevelType w:val="hybridMultilevel"/>
    <w:lvl w:ilvl="0">
      <w:lvlJc w:val="left"/>
      <w:lvlText w:val="(%1)"/>
      <w:numFmt w:val="decimal"/>
      <w:start w:val="17"/>
    </w:lvl>
  </w:abstractNum>
  <w:abstractNum w:abstractNumId="287">
    <w:nsid w:val="5BFD4210"/>
    <w:multiLevelType w:val="hybridMultilevel"/>
    <w:lvl w:ilvl="0">
      <w:lvlJc w:val="left"/>
      <w:lvlText w:val="(%1)"/>
      <w:numFmt w:val="decimal"/>
      <w:start w:val="19"/>
    </w:lvl>
  </w:abstractNum>
  <w:abstractNum w:abstractNumId="288">
    <w:nsid w:val="76574F8B"/>
    <w:multiLevelType w:val="hybridMultilevel"/>
    <w:lvl w:ilvl="0">
      <w:lvlJc w:val="left"/>
      <w:lvlText w:val="(%1)"/>
      <w:numFmt w:val="decimal"/>
      <w:start w:val="20"/>
    </w:lvl>
  </w:abstractNum>
  <w:abstractNum w:abstractNumId="289">
    <w:nsid w:val="178F7B67"/>
    <w:multiLevelType w:val="hybridMultilevel"/>
    <w:lvl w:ilvl="0">
      <w:lvlJc w:val="left"/>
      <w:lvlText w:val="(%1)"/>
      <w:numFmt w:val="decimal"/>
      <w:start w:val="21"/>
    </w:lvl>
  </w:abstractNum>
  <w:abstractNum w:abstractNumId="290">
    <w:nsid w:val="2421DFCF"/>
    <w:multiLevelType w:val="hybridMultilevel"/>
    <w:lvl w:ilvl="0">
      <w:lvlJc w:val="left"/>
      <w:lvlText w:val="(%1)"/>
      <w:numFmt w:val="decimal"/>
      <w:start w:val="22"/>
    </w:lvl>
  </w:abstractNum>
  <w:abstractNum w:abstractNumId="291">
    <w:nsid w:val="1565AC99"/>
    <w:multiLevelType w:val="hybridMultilevel"/>
    <w:lvl w:ilvl="0">
      <w:lvlJc w:val="left"/>
      <w:lvlText w:val="(%1)"/>
      <w:numFmt w:val="lowerRoman"/>
      <w:start w:val="1"/>
    </w:lvl>
  </w:abstractNum>
  <w:abstractNum w:abstractNumId="292">
    <w:nsid w:val="19FB2650"/>
    <w:multiLevelType w:val="hybridMultilevel"/>
    <w:lvl w:ilvl="0">
      <w:lvlJc w:val="left"/>
      <w:lvlText w:val="(%1)"/>
      <w:numFmt w:val="lowerRoman"/>
      <w:start w:val="4"/>
    </w:lvl>
  </w:abstractNum>
  <w:abstractNum w:abstractNumId="293">
    <w:nsid w:val="5024DE5B"/>
    <w:multiLevelType w:val="hybridMultilevel"/>
    <w:lvl w:ilvl="0">
      <w:lvlJc w:val="left"/>
      <w:lvlText w:val="(%1)"/>
      <w:numFmt w:val="lowerRoman"/>
      <w:start w:val="2"/>
    </w:lvl>
  </w:abstractNum>
  <w:abstractNum w:abstractNumId="294">
    <w:nsid w:val="168EFE17"/>
    <w:multiLevelType w:val="hybridMultilevel"/>
    <w:lvl w:ilvl="0">
      <w:lvlJc w:val="left"/>
      <w:lvlText w:val="(%1)"/>
      <w:numFmt w:val="upperLetter"/>
      <w:start w:val="1"/>
    </w:lvl>
  </w:abstractNum>
  <w:abstractNum w:abstractNumId="295">
    <w:nsid w:val="1036B29F"/>
    <w:multiLevelType w:val="hybridMultilevel"/>
    <w:lvl w:ilvl="0">
      <w:lvlJc w:val="left"/>
      <w:lvlText w:val="%1."/>
      <w:numFmt w:val="decimal"/>
      <w:start w:val="1"/>
    </w:lvl>
  </w:abstractNum>
  <w:abstractNum w:abstractNumId="296">
    <w:nsid w:val="1D206B8E"/>
    <w:multiLevelType w:val="hybridMultilevel"/>
    <w:lvl w:ilvl="0">
      <w:lvlJc w:val="left"/>
      <w:lvlText w:val="%1."/>
      <w:numFmt w:val="decimal"/>
      <w:start w:val="2"/>
    </w:lvl>
  </w:abstractNum>
  <w:abstractNum w:abstractNumId="297">
    <w:nsid w:val="7934D3D4"/>
    <w:multiLevelType w:val="hybridMultilevel"/>
    <w:lvl w:ilvl="0">
      <w:lvlJc w:val="left"/>
      <w:lvlText w:val="%1."/>
      <w:numFmt w:val="decimal"/>
      <w:start w:val="3"/>
    </w:lvl>
    <w:lvl w:ilvl="1">
      <w:lvlJc w:val="left"/>
      <w:lvlText w:val="%2."/>
      <w:numFmt w:val="decimal"/>
      <w:start w:val="1"/>
    </w:lvl>
  </w:abstractNum>
  <w:abstractNum w:abstractNumId="298">
    <w:nsid w:val="1C65E98"/>
    <w:multiLevelType w:val="hybridMultilevel"/>
    <w:lvl w:ilvl="0">
      <w:lvlJc w:val="left"/>
      <w:lvlText w:val="%1."/>
      <w:numFmt w:val="decimal"/>
      <w:start w:val="4"/>
    </w:lvl>
  </w:abstractNum>
  <w:abstractNum w:abstractNumId="299">
    <w:nsid w:val="1495E50A"/>
    <w:multiLevelType w:val="hybridMultilevel"/>
    <w:lvl w:ilvl="0">
      <w:lvlJc w:val="left"/>
      <w:lvlText w:val="%1"/>
      <w:numFmt w:val="upperLetter"/>
      <w:start w:val="1"/>
    </w:lvl>
    <w:lvl w:ilvl="1">
      <w:lvlJc w:val="left"/>
      <w:lvlText w:val="(%2)"/>
      <w:numFmt w:val="upperLetter"/>
      <w:start w:val="1"/>
    </w:lvl>
  </w:abstractNum>
  <w:abstractNum w:abstractNumId="300">
    <w:nsid w:val="F5BCF61"/>
    <w:multiLevelType w:val="hybridMultilevel"/>
    <w:lvl w:ilvl="0">
      <w:lvlJc w:val="left"/>
      <w:lvlText w:val="(%1)"/>
      <w:numFmt w:val="upperLetter"/>
      <w:start w:val="2"/>
    </w:lvl>
    <w:lvl w:ilvl="1">
      <w:lvlJc w:val="left"/>
      <w:lvlText w:val="%2"/>
      <w:numFmt w:val="upperLetter"/>
      <w:start w:val="1"/>
    </w:lvl>
  </w:abstractNum>
  <w:abstractNum w:abstractNumId="301">
    <w:nsid w:val="3B1DD403"/>
    <w:multiLevelType w:val="hybridMultilevel"/>
    <w:lvl w:ilvl="0">
      <w:lvlJc w:val="left"/>
      <w:lvlText w:val="(%1)"/>
      <w:numFmt w:val="upperLetter"/>
      <w:start w:val="1"/>
    </w:lvl>
  </w:abstractNum>
  <w:abstractNum w:abstractNumId="302">
    <w:nsid w:val="530386D1"/>
    <w:multiLevelType w:val="hybridMultilevel"/>
    <w:lvl w:ilvl="0">
      <w:lvlJc w:val="left"/>
      <w:lvlText w:val="(%1)"/>
      <w:numFmt w:val="decimal"/>
      <w:start w:val="2"/>
    </w:lvl>
  </w:abstractNum>
  <w:abstractNum w:abstractNumId="303">
    <w:nsid w:val="7525F2BC"/>
    <w:multiLevelType w:val="hybridMultilevel"/>
    <w:lvl w:ilvl="0">
      <w:lvlJc w:val="left"/>
      <w:lvlText w:val="(%1)"/>
      <w:numFmt w:val="lowerLetter"/>
      <w:start w:val="1"/>
    </w:lvl>
  </w:abstractNum>
  <w:abstractNum w:abstractNumId="304">
    <w:nsid w:val="CE8E1A7"/>
    <w:multiLevelType w:val="hybridMultilevel"/>
    <w:lvl w:ilvl="0">
      <w:lvlJc w:val="left"/>
      <w:lvlText w:val="(%1)"/>
      <w:numFmt w:val="lowerLetter"/>
      <w:start w:val="2"/>
    </w:lvl>
  </w:abstractNum>
  <w:abstractNum w:abstractNumId="305">
    <w:nsid w:val="4E9EFB0D"/>
    <w:multiLevelType w:val="hybridMultilevel"/>
    <w:lvl w:ilvl="0">
      <w:lvlJc w:val="left"/>
      <w:lvlText w:val="(%1)"/>
      <w:numFmt w:val="lowerLetter"/>
      <w:start w:val="1"/>
    </w:lvl>
    <w:lvl w:ilvl="1">
      <w:lvlJc w:val="left"/>
      <w:lvlText w:val="(%2)"/>
      <w:numFmt w:val="lowerRoman"/>
      <w:start w:val="1"/>
    </w:lvl>
  </w:abstractNum>
  <w:abstractNum w:abstractNumId="306">
    <w:nsid w:val="90802BE"/>
    <w:multiLevelType w:val="hybridMultilevel"/>
    <w:lvl w:ilvl="0">
      <w:lvlJc w:val="left"/>
      <w:lvlText w:val="%1"/>
      <w:numFmt w:val="lowerLetter"/>
      <w:start w:val="1"/>
    </w:lvl>
    <w:lvl w:ilvl="1">
      <w:lvlJc w:val="left"/>
      <w:lvlText w:val="(%2)"/>
      <w:numFmt w:val="lowerRoman"/>
      <w:start w:val="3"/>
    </w:lvl>
  </w:abstractNum>
  <w:abstractNum w:abstractNumId="307">
    <w:nsid w:val="3266459B"/>
    <w:multiLevelType w:val="hybridMultilevel"/>
    <w:lvl w:ilvl="0">
      <w:lvlJc w:val="left"/>
      <w:lvlText w:val="(%1)"/>
      <w:numFmt w:val="lowerLetter"/>
      <w:start w:val="3"/>
    </w:lvl>
    <w:lvl w:ilvl="1">
      <w:lvlJc w:val="left"/>
      <w:lvlText w:val="%2"/>
      <w:numFmt w:val="lowerRoman"/>
      <w:start w:val="1"/>
    </w:lvl>
  </w:abstractNum>
  <w:abstractNum w:abstractNumId="308">
    <w:nsid w:val="3F8B0CBF"/>
    <w:multiLevelType w:val="hybridMultilevel"/>
    <w:lvl w:ilvl="0">
      <w:lvlJc w:val="left"/>
      <w:lvlText w:val="(%1)"/>
      <w:numFmt w:val="lowerLetter"/>
      <w:start w:val="1"/>
    </w:lvl>
  </w:abstractNum>
  <w:abstractNum w:abstractNumId="309">
    <w:nsid w:val="37E203AB"/>
    <w:multiLevelType w:val="hybridMultilevel"/>
    <w:lvl w:ilvl="0">
      <w:lvlJc w:val="left"/>
      <w:lvlText w:val="(%1)"/>
      <w:numFmt w:val="lowerRoman"/>
      <w:start w:val="2"/>
    </w:lvl>
  </w:abstractNum>
  <w:abstractNum w:abstractNumId="310">
    <w:nsid w:val="2586D60E"/>
    <w:multiLevelType w:val="hybridMultilevel"/>
    <w:lvl w:ilvl="0">
      <w:lvlJc w:val="left"/>
      <w:lvlText w:val="·"/>
      <w:numFmt w:val="bullet"/>
      <w:start w:val="1"/>
    </w:lvl>
  </w:abstractNum>
  <w:abstractNum w:abstractNumId="311">
    <w:nsid w:val="1F3DA4D5"/>
    <w:multiLevelType w:val="hybridMultilevel"/>
    <w:lvl w:ilvl="0">
      <w:lvlJc w:val="left"/>
      <w:lvlText w:val="·"/>
      <w:numFmt w:val="bullet"/>
      <w:start w:val="1"/>
    </w:lvl>
  </w:abstractNum>
  <w:abstractNum w:abstractNumId="312">
    <w:nsid w:val="74C93698"/>
    <w:multiLevelType w:val="hybridMultilevel"/>
    <w:lvl w:ilvl="0">
      <w:lvlJc w:val="left"/>
      <w:lvlText w:val="·"/>
      <w:numFmt w:val="bullet"/>
      <w:start w:val="1"/>
    </w:lvl>
  </w:abstractNum>
  <w:abstractNum w:abstractNumId="313">
    <w:nsid w:val="48781401"/>
    <w:multiLevelType w:val="hybridMultilevel"/>
    <w:lvl w:ilvl="0">
      <w:lvlJc w:val="left"/>
      <w:lvlText w:val="(%1)"/>
      <w:numFmt w:val="decimal"/>
      <w:start w:val="2"/>
    </w:lvl>
  </w:abstractNum>
  <w:abstractNum w:abstractNumId="314">
    <w:nsid w:val="186928D6"/>
    <w:multiLevelType w:val="hybridMultilevel"/>
    <w:lvl w:ilvl="0">
      <w:lvlJc w:val="left"/>
      <w:lvlText w:val="·"/>
      <w:numFmt w:val="bullet"/>
      <w:start w:val="1"/>
    </w:lvl>
  </w:abstractNum>
  <w:abstractNum w:abstractNumId="315">
    <w:nsid w:val="47195E5"/>
    <w:multiLevelType w:val="hybridMultilevel"/>
    <w:lvl w:ilvl="0">
      <w:lvlJc w:val="left"/>
      <w:lvlText w:val="·"/>
      <w:numFmt w:val="bullet"/>
      <w:start w:val="1"/>
    </w:lvl>
  </w:abstractNum>
  <w:abstractNum w:abstractNumId="316">
    <w:nsid w:val="3746A5F2"/>
    <w:multiLevelType w:val="hybridMultilevel"/>
    <w:lvl w:ilvl="0">
      <w:lvlJc w:val="left"/>
      <w:lvlText w:val="·"/>
      <w:numFmt w:val="bullet"/>
      <w:start w:val="1"/>
    </w:lvl>
  </w:abstractNum>
  <w:abstractNum w:abstractNumId="317">
    <w:nsid w:val="682DFED6"/>
    <w:multiLevelType w:val="hybridMultilevel"/>
    <w:lvl w:ilvl="0">
      <w:lvlJc w:val="left"/>
      <w:lvlText w:val="·"/>
      <w:numFmt w:val="bullet"/>
      <w:start w:val="1"/>
    </w:lvl>
  </w:abstractNum>
  <w:abstractNum w:abstractNumId="318">
    <w:nsid w:val="606ED7F6"/>
    <w:multiLevelType w:val="hybridMultilevel"/>
    <w:lvl w:ilvl="0">
      <w:lvlJc w:val="left"/>
      <w:lvlText w:val="·"/>
      <w:numFmt w:val="bullet"/>
      <w:start w:val="1"/>
    </w:lvl>
  </w:abstractNum>
  <w:abstractNum w:abstractNumId="319">
    <w:nsid w:val="2D9DF57D"/>
    <w:multiLevelType w:val="hybridMultilevel"/>
    <w:lvl w:ilvl="0">
      <w:lvlJc w:val="left"/>
      <w:lvlText w:val="·"/>
      <w:numFmt w:val="bullet"/>
      <w:start w:val="1"/>
    </w:lvl>
  </w:abstractNum>
  <w:abstractNum w:abstractNumId="320">
    <w:nsid w:val="7FBD7A3E"/>
    <w:multiLevelType w:val="hybridMultilevel"/>
    <w:lvl w:ilvl="0">
      <w:lvlJc w:val="left"/>
      <w:lvlText w:val="(%1)"/>
      <w:numFmt w:val="lowerLetter"/>
      <w:start w:val="25"/>
    </w:lvl>
  </w:abstractNum>
  <w:abstractNum w:abstractNumId="321">
    <w:nsid w:val="490B7C5"/>
    <w:multiLevelType w:val="hybridMultilevel"/>
    <w:lvl w:ilvl="0">
      <w:lvlJc w:val="left"/>
      <w:lvlText w:val="·"/>
      <w:numFmt w:val="bullet"/>
      <w:start w:val="1"/>
    </w:lvl>
  </w:abstractNum>
  <w:abstractNum w:abstractNumId="322">
    <w:nsid w:val="4303A216"/>
    <w:multiLevelType w:val="hybridMultilevel"/>
    <w:lvl w:ilvl="0">
      <w:lvlJc w:val="left"/>
      <w:lvlText w:val="·"/>
      <w:numFmt w:val="bullet"/>
      <w:start w:val="1"/>
    </w:lvl>
  </w:abstractNum>
  <w:abstractNum w:abstractNumId="323">
    <w:nsid w:val="19B8A08E"/>
    <w:multiLevelType w:val="hybridMultilevel"/>
    <w:lvl w:ilvl="0">
      <w:lvlJc w:val="left"/>
      <w:lvlText w:val="(%1)"/>
      <w:numFmt w:val="lowerRoman"/>
      <w:start w:val="10"/>
    </w:lvl>
  </w:abstractNum>
  <w:abstractNum w:abstractNumId="324">
    <w:nsid w:val="54B59621"/>
    <w:multiLevelType w:val="hybridMultilevel"/>
    <w:lvl w:ilvl="0">
      <w:lvlJc w:val="left"/>
      <w:lvlText w:val="(%1)"/>
      <w:numFmt w:val="lowerRoman"/>
      <w:start w:val="3"/>
    </w:lvl>
  </w:abstractNum>
  <w:abstractNum w:abstractNumId="325">
    <w:nsid w:val="5992A02E"/>
    <w:multiLevelType w:val="hybridMultilevel"/>
    <w:lvl w:ilvl="0">
      <w:lvlJc w:val="left"/>
      <w:lvlText w:val="·"/>
      <w:numFmt w:val="bullet"/>
      <w:start w:val="1"/>
    </w:lvl>
  </w:abstractNum>
  <w:abstractNum w:abstractNumId="326">
    <w:nsid w:val="29EF532D"/>
    <w:multiLevelType w:val="hybridMultilevel"/>
    <w:lvl w:ilvl="0">
      <w:lvlJc w:val="left"/>
      <w:lvlText w:val="·"/>
      <w:numFmt w:val="bullet"/>
      <w:start w:val="1"/>
    </w:lvl>
  </w:abstractNum>
  <w:abstractNum w:abstractNumId="327">
    <w:nsid w:val="71D601AF"/>
    <w:multiLevelType w:val="hybridMultilevel"/>
    <w:lvl w:ilvl="0">
      <w:lvlJc w:val="left"/>
      <w:lvlText w:val="·"/>
      <w:numFmt w:val="bullet"/>
      <w:start w:val="1"/>
    </w:lvl>
  </w:abstractNum>
  <w:abstractNum w:abstractNumId="328">
    <w:nsid w:val="52C77402"/>
    <w:multiLevelType w:val="hybridMultilevel"/>
    <w:lvl w:ilvl="0">
      <w:lvlJc w:val="left"/>
      <w:lvlText w:val="·"/>
      <w:numFmt w:val="bullet"/>
      <w:start w:val="1"/>
    </w:lvl>
  </w:abstractNum>
  <w:abstractNum w:abstractNumId="329">
    <w:nsid w:val="2BB5B1C6"/>
    <w:multiLevelType w:val="hybridMultilevel"/>
    <w:lvl w:ilvl="0">
      <w:lvlJc w:val="left"/>
      <w:lvlText w:val="·"/>
      <w:numFmt w:val="bullet"/>
      <w:start w:val="1"/>
    </w:lvl>
  </w:abstractNum>
  <w:abstractNum w:abstractNumId="330">
    <w:nsid w:val="66BE6B9"/>
    <w:multiLevelType w:val="hybridMultilevel"/>
    <w:lvl w:ilvl="0">
      <w:lvlJc w:val="left"/>
      <w:lvlText w:val="·"/>
      <w:numFmt w:val="bullet"/>
      <w:start w:val="1"/>
    </w:lvl>
  </w:abstractNum>
  <w:abstractNum w:abstractNumId="331">
    <w:nsid w:val="62234363"/>
    <w:multiLevelType w:val="hybridMultilevel"/>
    <w:lvl w:ilvl="0">
      <w:lvlJc w:val="left"/>
      <w:lvlText w:val="·"/>
      <w:numFmt w:val="bullet"/>
      <w:start w:val="1"/>
    </w:lvl>
  </w:abstractNum>
  <w:abstractNum w:abstractNumId="332">
    <w:nsid w:val="66D385C9"/>
    <w:multiLevelType w:val="hybridMultilevel"/>
    <w:lvl w:ilvl="0">
      <w:lvlJc w:val="left"/>
      <w:lvlText w:val="·"/>
      <w:numFmt w:val="bullet"/>
      <w:start w:val="1"/>
    </w:lvl>
  </w:abstractNum>
  <w:abstractNum w:abstractNumId="333">
    <w:nsid w:val="596F6D8A"/>
    <w:multiLevelType w:val="hybridMultilevel"/>
    <w:lvl w:ilvl="0">
      <w:lvlJc w:val="left"/>
      <w:lvlText w:val="·"/>
      <w:numFmt w:val="bullet"/>
      <w:start w:val="1"/>
    </w:lvl>
  </w:abstractNum>
  <w:abstractNum w:abstractNumId="334">
    <w:nsid w:val="5749361F"/>
    <w:multiLevelType w:val="hybridMultilevel"/>
    <w:lvl w:ilvl="0">
      <w:lvlJc w:val="left"/>
      <w:lvlText w:val="%1."/>
      <w:numFmt w:val="upperLetter"/>
      <w:start w:val="9"/>
    </w:lvl>
  </w:abstractNum>
  <w:abstractNum w:abstractNumId="335">
    <w:nsid w:val="73BC6770"/>
    <w:multiLevelType w:val="hybridMultilevel"/>
    <w:lvl w:ilvl="0">
      <w:lvlJc w:val="left"/>
      <w:lvlText w:val="%1."/>
      <w:numFmt w:val="upperLetter"/>
      <w:start w:val="34"/>
    </w:lvl>
    <w:lvl w:ilvl="1">
      <w:lvlJc w:val="left"/>
      <w:lvlText w:val="·"/>
      <w:numFmt w:val="bullet"/>
      <w:start w:val="1"/>
    </w:lvl>
  </w:abstractNum>
  <w:abstractNum w:abstractNumId="336">
    <w:nsid w:val="280E6897"/>
    <w:multiLevelType w:val="hybridMultilevel"/>
    <w:lvl w:ilvl="0">
      <w:lvlJc w:val="left"/>
      <w:lvlText w:val="%1."/>
      <w:numFmt w:val="upperLetter"/>
      <w:start w:val="61"/>
    </w:lvl>
  </w:abstractNum>
  <w:abstractNum w:abstractNumId="337">
    <w:nsid w:val="605138DE"/>
    <w:multiLevelType w:val="hybridMultilevel"/>
    <w:lvl w:ilvl="0">
      <w:lvlJc w:val="left"/>
      <w:lvlText w:val="·"/>
      <w:numFmt w:val="bullet"/>
      <w:start w:val="1"/>
    </w:lvl>
    <w:lvl w:ilvl="1">
      <w:lvlJc w:val="left"/>
      <w:lvlText w:val="(%2)"/>
      <w:numFmt w:val="lowerRoman"/>
      <w:start w:val="1"/>
    </w:lvl>
  </w:abstractNum>
  <w:abstractNum w:abstractNumId="338">
    <w:nsid w:val="2622AD0C"/>
    <w:multiLevelType w:val="hybridMultilevel"/>
    <w:lvl w:ilvl="0">
      <w:lvlJc w:val="left"/>
      <w:lvlText w:val="(%1)"/>
      <w:numFmt w:val="lowerRoman"/>
      <w:start w:val="4"/>
    </w:lvl>
    <w:lvl w:ilvl="1">
      <w:lvlJc w:val="left"/>
      <w:lvlText w:val="(%2)"/>
      <w:numFmt w:val="lowerLetter"/>
      <w:start w:val="1"/>
    </w:lvl>
    <w:lvl w:ilvl="2">
      <w:lvlJc w:val="left"/>
      <w:lvlText w:val="(%3)"/>
      <w:numFmt w:val="decimal"/>
      <w:start w:val="1"/>
    </w:lvl>
  </w:abstractNum>
  <w:abstractNum w:abstractNumId="339">
    <w:nsid w:val="67997556"/>
    <w:multiLevelType w:val="hybridMultilevel"/>
    <w:lvl w:ilvl="0">
      <w:lvlJc w:val="left"/>
      <w:lvlText w:val="·"/>
      <w:numFmt w:val="bullet"/>
      <w:start w:val="1"/>
    </w:lvl>
    <w:lvl w:ilvl="1">
      <w:lvlJc w:val="left"/>
      <w:lvlText w:val="(%2)"/>
      <w:numFmt w:val="lowerLetter"/>
      <w:start w:val="2"/>
    </w:lvl>
  </w:abstractNum>
  <w:abstractNum w:abstractNumId="340">
    <w:nsid w:val="18333C89"/>
    <w:multiLevelType w:val="hybridMultilevel"/>
    <w:lvl w:ilvl="0">
      <w:lvlJc w:val="left"/>
      <w:lvlText w:val="·"/>
      <w:numFmt w:val="bullet"/>
      <w:start w:val="1"/>
    </w:lvl>
  </w:abstractNum>
  <w:abstractNum w:abstractNumId="341">
    <w:nsid w:val="4BA9831A"/>
    <w:multiLevelType w:val="hybridMultilevel"/>
    <w:lvl w:ilvl="0">
      <w:lvlJc w:val="left"/>
      <w:lvlText w:val="·"/>
      <w:numFmt w:val="bullet"/>
      <w:start w:val="1"/>
    </w:lvl>
  </w:abstractNum>
  <w:abstractNum w:abstractNumId="342">
    <w:nsid w:val="6D71A2B"/>
    <w:multiLevelType w:val="hybridMultilevel"/>
    <w:lvl w:ilvl="0">
      <w:lvlJc w:val="left"/>
      <w:lvlText w:val="%1."/>
      <w:numFmt w:val="upperLetter"/>
      <w:start w:val="22"/>
    </w:lvl>
  </w:abstractNum>
  <w:abstractNum w:abstractNumId="343">
    <w:nsid w:val="CFC7321"/>
    <w:multiLevelType w:val="hybridMultilevel"/>
    <w:lvl w:ilvl="0">
      <w:lvlJc w:val="left"/>
      <w:lvlText w:val="·"/>
      <w:numFmt w:val="bullet"/>
      <w:start w:val="1"/>
    </w:lvl>
  </w:abstractNum>
  <w:abstractNum w:abstractNumId="344">
    <w:nsid w:val="1421971B"/>
    <w:multiLevelType w:val="hybridMultilevel"/>
    <w:lvl w:ilvl="0">
      <w:lvlJc w:val="left"/>
      <w:lvlText w:val="·"/>
      <w:numFmt w:val="bullet"/>
      <w:start w:val="1"/>
    </w:lvl>
  </w:abstractNum>
  <w:abstractNum w:abstractNumId="345">
    <w:nsid w:val="1F404301"/>
    <w:multiLevelType w:val="hybridMultilevel"/>
    <w:lvl w:ilvl="0">
      <w:lvlJc w:val="left"/>
      <w:lvlText w:val="·"/>
      <w:numFmt w:val="bullet"/>
      <w:start w:val="1"/>
    </w:lvl>
  </w:abstractNum>
  <w:abstractNum w:abstractNumId="346">
    <w:nsid w:val="116E0907"/>
    <w:multiLevelType w:val="hybridMultilevel"/>
    <w:lvl w:ilvl="0">
      <w:lvlJc w:val="left"/>
      <w:lvlText w:val="·"/>
      <w:numFmt w:val="bullet"/>
      <w:start w:val="1"/>
    </w:lvl>
  </w:abstractNum>
  <w:abstractNum w:abstractNumId="347">
    <w:nsid w:val="4B683D0D"/>
    <w:multiLevelType w:val="hybridMultilevel"/>
    <w:lvl w:ilvl="0">
      <w:lvlJc w:val="left"/>
      <w:lvlText w:val="·"/>
      <w:numFmt w:val="bullet"/>
      <w:start w:val="1"/>
    </w:lvl>
  </w:abstractNum>
  <w:abstractNum w:abstractNumId="348">
    <w:nsid w:val="76E41D8"/>
    <w:multiLevelType w:val="hybridMultilevel"/>
    <w:lvl w:ilvl="0">
      <w:lvlJc w:val="left"/>
      <w:lvlText w:val="·"/>
      <w:numFmt w:val="bullet"/>
      <w:start w:val="1"/>
    </w:lvl>
  </w:abstractNum>
  <w:abstractNum w:abstractNumId="349">
    <w:nsid w:val="71DCE0FD"/>
    <w:multiLevelType w:val="hybridMultilevel"/>
    <w:lvl w:ilvl="0">
      <w:lvlJc w:val="left"/>
      <w:lvlText w:val="%1."/>
      <w:numFmt w:val="upperLetter"/>
      <w:start w:val="24"/>
    </w:lvl>
  </w:abstractNum>
  <w:abstractNum w:abstractNumId="350">
    <w:nsid w:val="7906328B"/>
    <w:multiLevelType w:val="hybridMultilevel"/>
    <w:lvl w:ilvl="0">
      <w:lvlJc w:val="left"/>
      <w:lvlText w:val="%1."/>
      <w:numFmt w:val="decimal"/>
      <w:start w:val="1"/>
    </w:lvl>
  </w:abstractNum>
  <w:abstractNum w:abstractNumId="351">
    <w:nsid w:val="72BBC16"/>
    <w:multiLevelType w:val="hybridMultilevel"/>
    <w:lvl w:ilvl="0">
      <w:lvlJc w:val="left"/>
      <w:lvlText w:val="(%1)"/>
      <w:numFmt w:val="lowerLetter"/>
      <w:start w:val="1"/>
    </w:lvl>
  </w:abstractNum>
  <w:abstractNum w:abstractNumId="352">
    <w:nsid w:val="766D98C2"/>
    <w:multiLevelType w:val="hybridMultilevel"/>
    <w:lvl w:ilvl="0">
      <w:lvlJc w:val="left"/>
      <w:lvlText w:val="%1."/>
      <w:numFmt w:val="decimal"/>
      <w:start w:val="5"/>
    </w:lvl>
  </w:abstractNum>
  <w:abstractNum w:abstractNumId="353">
    <w:nsid w:val="3C09D4A1"/>
    <w:multiLevelType w:val="hybridMultilevel"/>
    <w:lvl w:ilvl="0">
      <w:lvlJc w:val="left"/>
      <w:lvlText w:val="(%1)"/>
      <w:numFmt w:val="lowerLetter"/>
      <w:start w:val="1"/>
    </w:lvl>
  </w:abstractNum>
  <w:abstractNum w:abstractNumId="354">
    <w:nsid w:val="20E45CA4"/>
    <w:multiLevelType w:val="hybridMultilevel"/>
    <w:lvl w:ilvl="0">
      <w:lvlJc w:val="left"/>
      <w:lvlText w:val="%1."/>
      <w:numFmt w:val="decimal"/>
      <w:start w:val="1"/>
    </w:lvl>
  </w:abstractNum>
  <w:abstractNum w:abstractNumId="355">
    <w:nsid w:val="4B232EE3"/>
    <w:multiLevelType w:val="hybridMultilevel"/>
    <w:lvl w:ilvl="0">
      <w:lvlJc w:val="left"/>
      <w:lvlText w:val="(%1)"/>
      <w:numFmt w:val="lowerLetter"/>
      <w:start w:val="1"/>
    </w:lvl>
  </w:abstractNum>
  <w:abstractNum w:abstractNumId="356">
    <w:nsid w:val="159C74CF"/>
    <w:multiLevelType w:val="hybridMultilevel"/>
    <w:lvl w:ilvl="0">
      <w:lvlJc w:val="left"/>
      <w:lvlText w:val="%1."/>
      <w:numFmt w:val="decimal"/>
      <w:start w:val="5"/>
    </w:lvl>
  </w:abstractNum>
  <w:abstractNum w:abstractNumId="357">
    <w:nsid w:val="4AD3AFD2"/>
    <w:multiLevelType w:val="hybridMultilevel"/>
    <w:lvl w:ilvl="0">
      <w:lvlJc w:val="left"/>
      <w:lvlText w:val="(%1)"/>
      <w:numFmt w:val="lowerLetter"/>
      <w:start w:val="1"/>
    </w:lvl>
  </w:abstractNum>
  <w:abstractNum w:abstractNumId="358">
    <w:nsid w:val="3CF93092"/>
    <w:multiLevelType w:val="hybridMultilevel"/>
    <w:lvl w:ilvl="0">
      <w:lvlJc w:val="left"/>
      <w:lvlText w:val="(%1)"/>
      <w:numFmt w:val="decimal"/>
      <w:start w:val="1"/>
    </w:lvl>
  </w:abstractNum>
  <w:abstractNum w:abstractNumId="359">
    <w:nsid w:val="6863E8D2"/>
    <w:multiLevelType w:val="hybridMultilevel"/>
    <w:lvl w:ilvl="0">
      <w:lvlJc w:val="left"/>
      <w:lvlText w:val="(%1)"/>
      <w:numFmt w:val="decimal"/>
      <w:start w:val="1"/>
    </w:lvl>
  </w:abstractNum>
  <w:abstractNum w:abstractNumId="360">
    <w:nsid w:val="76896198"/>
    <w:multiLevelType w:val="hybridMultilevel"/>
    <w:lvl w:ilvl="0">
      <w:lvlJc w:val="left"/>
      <w:lvlText w:val="%1)"/>
      <w:numFmt w:val="lowerLetter"/>
      <w:start w:val="1"/>
    </w:lvl>
  </w:abstractNum>
  <w:abstractNum w:abstractNumId="361">
    <w:nsid w:val="4365174B"/>
    <w:multiLevelType w:val="hybridMultilevel"/>
    <w:lvl w:ilvl="0">
      <w:lvlJc w:val="left"/>
      <w:lvlText w:val="%1)"/>
      <w:numFmt w:val="lowerLetter"/>
      <w:start w:val="7"/>
    </w:lvl>
  </w:abstractNum>
  <w:abstractNum w:abstractNumId="362">
    <w:nsid w:val="4A872C35"/>
    <w:multiLevelType w:val="hybridMultilevel"/>
    <w:lvl w:ilvl="0">
      <w:lvlJc w:val="left"/>
      <w:lvlText w:val="%1"/>
      <w:numFmt w:val="decimal"/>
      <w:start w:val="1"/>
    </w:lvl>
    <w:lvl w:ilvl="1">
      <w:lvlJc w:val="left"/>
      <w:lvlText w:val="%2)"/>
      <w:numFmt w:val="lowerLetter"/>
      <w:start w:val="15"/>
    </w:lvl>
  </w:abstractNum>
  <w:abstractNum w:abstractNumId="363">
    <w:nsid w:val="5D5CE761"/>
    <w:multiLevelType w:val="hybridMultilevel"/>
    <w:lvl w:ilvl="0">
      <w:lvlJc w:val="left"/>
      <w:lvlText w:val="%1."/>
      <w:numFmt w:val="decimal"/>
      <w:start w:val="2"/>
    </w:lvl>
    <w:lvl w:ilvl="1">
      <w:lvlJc w:val="left"/>
      <w:lvlText w:val="%2"/>
      <w:numFmt w:val="lowerLetter"/>
      <w:start w:val="1"/>
    </w:lvl>
  </w:abstractNum>
  <w:abstractNum w:abstractNumId="364">
    <w:nsid w:val="1CD484D5"/>
    <w:multiLevelType w:val="hybridMultilevel"/>
    <w:lvl w:ilvl="0">
      <w:lvlJc w:val="left"/>
      <w:lvlText w:val="(%1)"/>
      <w:numFmt w:val="decimal"/>
      <w:start w:val="13"/>
    </w:lvl>
    <w:lvl w:ilvl="1">
      <w:lvlJc w:val="left"/>
      <w:lvlText w:val="%2."/>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27" Type="http://schemas.openxmlformats.org/officeDocument/2006/relationships/image" Target="media/image203.png"/><Relationship Id="rId244" Type="http://schemas.openxmlformats.org/officeDocument/2006/relationships/image" Target="media/image204.png"/><Relationship Id="rId245" Type="http://schemas.openxmlformats.org/officeDocument/2006/relationships/image" Target="media/image205.png"/><Relationship Id="rId246" Type="http://schemas.openxmlformats.org/officeDocument/2006/relationships/image" Target="media/image206.png"/><Relationship Id="rId247" Type="http://schemas.openxmlformats.org/officeDocument/2006/relationships/image" Target="media/image207.png"/><Relationship Id="rId248" Type="http://schemas.openxmlformats.org/officeDocument/2006/relationships/image" Target="media/image208.png"/><Relationship Id="rId249" Type="http://schemas.openxmlformats.org/officeDocument/2006/relationships/image" Target="media/image209.png"/><Relationship Id="rId250" Type="http://schemas.openxmlformats.org/officeDocument/2006/relationships/image" Target="media/image210.png"/><Relationship Id="rId251" Type="http://schemas.openxmlformats.org/officeDocument/2006/relationships/image" Target="media/image211.png"/><Relationship Id="rId252" Type="http://schemas.openxmlformats.org/officeDocument/2006/relationships/image" Target="media/image212.png"/><Relationship Id="rId253" Type="http://schemas.openxmlformats.org/officeDocument/2006/relationships/image" Target="media/image213.png"/><Relationship Id="rId254" Type="http://schemas.openxmlformats.org/officeDocument/2006/relationships/image" Target="media/image214.png"/><Relationship Id="rId255" Type="http://schemas.openxmlformats.org/officeDocument/2006/relationships/image" Target="media/image215.png"/><Relationship Id="rId256" Type="http://schemas.openxmlformats.org/officeDocument/2006/relationships/image" Target="media/image216.png"/><Relationship Id="rId257" Type="http://schemas.openxmlformats.org/officeDocument/2006/relationships/image" Target="media/image217.png"/><Relationship Id="rId258" Type="http://schemas.openxmlformats.org/officeDocument/2006/relationships/image" Target="media/image218.png"/><Relationship Id="rId259" Type="http://schemas.openxmlformats.org/officeDocument/2006/relationships/image" Target="media/image219.png"/><Relationship Id="rId260" Type="http://schemas.openxmlformats.org/officeDocument/2006/relationships/image" Target="media/image220.png"/><Relationship Id="rId261" Type="http://schemas.openxmlformats.org/officeDocument/2006/relationships/image" Target="media/image221.png"/><Relationship Id="rId262" Type="http://schemas.openxmlformats.org/officeDocument/2006/relationships/image" Target="media/image222.png"/><Relationship Id="rId263" Type="http://schemas.openxmlformats.org/officeDocument/2006/relationships/image" Target="media/image223.png"/><Relationship Id="rId264" Type="http://schemas.openxmlformats.org/officeDocument/2006/relationships/image" Target="media/image224.png"/><Relationship Id="rId265" Type="http://schemas.openxmlformats.org/officeDocument/2006/relationships/image" Target="media/image225.png"/><Relationship Id="rId266" Type="http://schemas.openxmlformats.org/officeDocument/2006/relationships/image" Target="media/image226.png"/><Relationship Id="rId267" Type="http://schemas.openxmlformats.org/officeDocument/2006/relationships/image" Target="media/image227.png"/><Relationship Id="rId268" Type="http://schemas.openxmlformats.org/officeDocument/2006/relationships/image" Target="media/image228.png"/><Relationship Id="rId269" Type="http://schemas.openxmlformats.org/officeDocument/2006/relationships/image" Target="media/image229.png"/><Relationship Id="rId270" Type="http://schemas.openxmlformats.org/officeDocument/2006/relationships/image" Target="media/image230.png"/><Relationship Id="rId271" Type="http://schemas.openxmlformats.org/officeDocument/2006/relationships/image" Target="media/image231.png"/><Relationship Id="rId272" Type="http://schemas.openxmlformats.org/officeDocument/2006/relationships/image" Target="media/image232.png"/><Relationship Id="rId273" Type="http://schemas.openxmlformats.org/officeDocument/2006/relationships/image" Target="media/image233.png"/><Relationship Id="rId274" Type="http://schemas.openxmlformats.org/officeDocument/2006/relationships/image" Target="media/image234.png"/><Relationship Id="rId275" Type="http://schemas.openxmlformats.org/officeDocument/2006/relationships/image" Target="media/image235.png"/><Relationship Id="rId276" Type="http://schemas.openxmlformats.org/officeDocument/2006/relationships/image" Target="media/image236.png"/><Relationship Id="rId277" Type="http://schemas.openxmlformats.org/officeDocument/2006/relationships/image" Target="media/image237.png"/><Relationship Id="rId278" Type="http://schemas.openxmlformats.org/officeDocument/2006/relationships/image" Target="media/image238.png"/><Relationship Id="rId279" Type="http://schemas.openxmlformats.org/officeDocument/2006/relationships/image" Target="media/image239.png"/><Relationship Id="rId280" Type="http://schemas.openxmlformats.org/officeDocument/2006/relationships/image" Target="media/image240.png"/><Relationship Id="rId281" Type="http://schemas.openxmlformats.org/officeDocument/2006/relationships/image" Target="media/image241.png"/><Relationship Id="rId282" Type="http://schemas.openxmlformats.org/officeDocument/2006/relationships/image" Target="media/image242.png"/><Relationship Id="rId283" Type="http://schemas.openxmlformats.org/officeDocument/2006/relationships/image" Target="media/image243.png"/><Relationship Id="rId284" Type="http://schemas.openxmlformats.org/officeDocument/2006/relationships/image" Target="media/image244.png"/><Relationship Id="rId285" Type="http://schemas.openxmlformats.org/officeDocument/2006/relationships/image" Target="media/image245.png"/><Relationship Id="rId286" Type="http://schemas.openxmlformats.org/officeDocument/2006/relationships/image" Target="media/image246.png"/><Relationship Id="rId287" Type="http://schemas.openxmlformats.org/officeDocument/2006/relationships/image" Target="media/image247.png"/><Relationship Id="rId288" Type="http://schemas.openxmlformats.org/officeDocument/2006/relationships/image" Target="media/image248.png"/><Relationship Id="rId289" Type="http://schemas.openxmlformats.org/officeDocument/2006/relationships/image" Target="media/image249.png"/><Relationship Id="rId290" Type="http://schemas.openxmlformats.org/officeDocument/2006/relationships/image" Target="media/image250.png"/><Relationship Id="rId291" Type="http://schemas.openxmlformats.org/officeDocument/2006/relationships/image" Target="media/image251.png"/><Relationship Id="rId292" Type="http://schemas.openxmlformats.org/officeDocument/2006/relationships/image" Target="media/image252.png"/><Relationship Id="rId293" Type="http://schemas.openxmlformats.org/officeDocument/2006/relationships/image" Target="media/image253.png"/><Relationship Id="rId294" Type="http://schemas.openxmlformats.org/officeDocument/2006/relationships/image" Target="media/image254.png"/><Relationship Id="rId295" Type="http://schemas.openxmlformats.org/officeDocument/2006/relationships/image" Target="media/image255.png"/><Relationship Id="rId296" Type="http://schemas.openxmlformats.org/officeDocument/2006/relationships/image" Target="media/image256.png"/><Relationship Id="rId297" Type="http://schemas.openxmlformats.org/officeDocument/2006/relationships/image" Target="media/image257.png"/><Relationship Id="rId298" Type="http://schemas.openxmlformats.org/officeDocument/2006/relationships/image" Target="media/image258.png"/><Relationship Id="rId299" Type="http://schemas.openxmlformats.org/officeDocument/2006/relationships/image" Target="media/image259.png"/><Relationship Id="rId300" Type="http://schemas.openxmlformats.org/officeDocument/2006/relationships/image" Target="media/image260.png"/><Relationship Id="rId301" Type="http://schemas.openxmlformats.org/officeDocument/2006/relationships/image" Target="media/image261.png"/><Relationship Id="rId302" Type="http://schemas.openxmlformats.org/officeDocument/2006/relationships/image" Target="media/image262.png"/><Relationship Id="rId303" Type="http://schemas.openxmlformats.org/officeDocument/2006/relationships/image" Target="media/image263.png"/><Relationship Id="rId304" Type="http://schemas.openxmlformats.org/officeDocument/2006/relationships/image" Target="media/image264.png"/><Relationship Id="rId305" Type="http://schemas.openxmlformats.org/officeDocument/2006/relationships/image" Target="media/image265.png"/><Relationship Id="rId306" Type="http://schemas.openxmlformats.org/officeDocument/2006/relationships/image" Target="media/image266.png"/><Relationship Id="rId307" Type="http://schemas.openxmlformats.org/officeDocument/2006/relationships/image" Target="media/image267.png"/><Relationship Id="rId308" Type="http://schemas.openxmlformats.org/officeDocument/2006/relationships/image" Target="media/image268.png"/><Relationship Id="rId309" Type="http://schemas.openxmlformats.org/officeDocument/2006/relationships/image" Target="media/image269.png"/><Relationship Id="rId310" Type="http://schemas.openxmlformats.org/officeDocument/2006/relationships/image" Target="media/image270.png"/><Relationship Id="rId311" Type="http://schemas.openxmlformats.org/officeDocument/2006/relationships/image" Target="media/image271.png"/><Relationship Id="rId312" Type="http://schemas.openxmlformats.org/officeDocument/2006/relationships/image" Target="media/image272.png"/><Relationship Id="rId313" Type="http://schemas.openxmlformats.org/officeDocument/2006/relationships/image" Target="media/image273.png"/><Relationship Id="rId314" Type="http://schemas.openxmlformats.org/officeDocument/2006/relationships/image" Target="media/image274.png"/><Relationship Id="rId315" Type="http://schemas.openxmlformats.org/officeDocument/2006/relationships/image" Target="media/image275.png"/><Relationship Id="rId316" Type="http://schemas.openxmlformats.org/officeDocument/2006/relationships/image" Target="media/image276.png"/><Relationship Id="rId317" Type="http://schemas.openxmlformats.org/officeDocument/2006/relationships/image" Target="media/image277.png"/><Relationship Id="rId318" Type="http://schemas.openxmlformats.org/officeDocument/2006/relationships/image" Target="media/image278.png"/><Relationship Id="rId319" Type="http://schemas.openxmlformats.org/officeDocument/2006/relationships/image" Target="media/image279.png"/><Relationship Id="rId320" Type="http://schemas.openxmlformats.org/officeDocument/2006/relationships/image" Target="media/image280.png"/><Relationship Id="rId321" Type="http://schemas.openxmlformats.org/officeDocument/2006/relationships/image" Target="media/image281.png"/><Relationship Id="rId322" Type="http://schemas.openxmlformats.org/officeDocument/2006/relationships/image" Target="media/image282.png"/><Relationship Id="rId323" Type="http://schemas.openxmlformats.org/officeDocument/2006/relationships/image" Target="media/image283.png"/><Relationship Id="rId324" Type="http://schemas.openxmlformats.org/officeDocument/2006/relationships/image" Target="media/image284.png"/><Relationship Id="rId325" Type="http://schemas.openxmlformats.org/officeDocument/2006/relationships/image" Target="media/image285.png"/><Relationship Id="rId326" Type="http://schemas.openxmlformats.org/officeDocument/2006/relationships/image" Target="media/image286.png"/><Relationship Id="rId327" Type="http://schemas.openxmlformats.org/officeDocument/2006/relationships/image" Target="media/image287.png"/><Relationship Id="rId328" Type="http://schemas.openxmlformats.org/officeDocument/2006/relationships/image" Target="media/image288.png"/><Relationship Id="rId329" Type="http://schemas.openxmlformats.org/officeDocument/2006/relationships/image" Target="media/image289.png"/><Relationship Id="rId330" Type="http://schemas.openxmlformats.org/officeDocument/2006/relationships/image" Target="media/image290.png"/><Relationship Id="rId331" Type="http://schemas.openxmlformats.org/officeDocument/2006/relationships/image" Target="media/image291.png"/><Relationship Id="rId332" Type="http://schemas.openxmlformats.org/officeDocument/2006/relationships/image" Target="media/image292.png"/><Relationship Id="rId333" Type="http://schemas.openxmlformats.org/officeDocument/2006/relationships/image" Target="media/image293.png"/><Relationship Id="rId334" Type="http://schemas.openxmlformats.org/officeDocument/2006/relationships/image" Target="media/image294.png"/><Relationship Id="rId335" Type="http://schemas.openxmlformats.org/officeDocument/2006/relationships/image" Target="media/image295.png"/><Relationship Id="rId336" Type="http://schemas.openxmlformats.org/officeDocument/2006/relationships/image" Target="media/image296.png"/><Relationship Id="rId337" Type="http://schemas.openxmlformats.org/officeDocument/2006/relationships/image" Target="media/image297.png"/><Relationship Id="rId338" Type="http://schemas.openxmlformats.org/officeDocument/2006/relationships/image" Target="media/image298.png"/><Relationship Id="rId339" Type="http://schemas.openxmlformats.org/officeDocument/2006/relationships/image" Target="media/image299.png"/><Relationship Id="rId340" Type="http://schemas.openxmlformats.org/officeDocument/2006/relationships/image" Target="media/image300.png"/><Relationship Id="rId341" Type="http://schemas.openxmlformats.org/officeDocument/2006/relationships/image" Target="media/image301.png"/><Relationship Id="rId342" Type="http://schemas.openxmlformats.org/officeDocument/2006/relationships/image" Target="media/image302.png"/><Relationship Id="rId343" Type="http://schemas.openxmlformats.org/officeDocument/2006/relationships/image" Target="media/image303.png"/><Relationship Id="rId344" Type="http://schemas.openxmlformats.org/officeDocument/2006/relationships/image" Target="media/image304.png"/><Relationship Id="rId345" Type="http://schemas.openxmlformats.org/officeDocument/2006/relationships/image" Target="media/image305.png"/><Relationship Id="rId346" Type="http://schemas.openxmlformats.org/officeDocument/2006/relationships/image" Target="media/image306.jpeg"/><Relationship Id="rId347" Type="http://schemas.openxmlformats.org/officeDocument/2006/relationships/image" Target="media/image307.jpeg"/><Relationship Id="rId348" Type="http://schemas.openxmlformats.org/officeDocument/2006/relationships/image" Target="media/image308.jpeg"/><Relationship Id="rId349" Type="http://schemas.openxmlformats.org/officeDocument/2006/relationships/image" Target="media/image309.jpeg"/><Relationship Id="rId350" Type="http://schemas.openxmlformats.org/officeDocument/2006/relationships/image" Target="media/image310.jpeg"/><Relationship Id="rId351" Type="http://schemas.openxmlformats.org/officeDocument/2006/relationships/image" Target="media/image311.jpeg"/><Relationship Id="rId352" Type="http://schemas.openxmlformats.org/officeDocument/2006/relationships/image" Target="media/image312.jpeg"/><Relationship Id="rId353" Type="http://schemas.openxmlformats.org/officeDocument/2006/relationships/image" Target="media/image313.jpeg"/><Relationship Id="rId354" Type="http://schemas.openxmlformats.org/officeDocument/2006/relationships/image" Target="media/image314.jpeg"/><Relationship Id="rId355" Type="http://schemas.openxmlformats.org/officeDocument/2006/relationships/image" Target="media/image315.jpeg"/><Relationship Id="rId356" Type="http://schemas.openxmlformats.org/officeDocument/2006/relationships/image" Target="media/image316.jpeg"/><Relationship Id="rId357" Type="http://schemas.openxmlformats.org/officeDocument/2006/relationships/image" Target="media/image317.jpeg"/><Relationship Id="rId358" Type="http://schemas.openxmlformats.org/officeDocument/2006/relationships/image" Target="media/image318.jpeg"/><Relationship Id="rId359" Type="http://schemas.openxmlformats.org/officeDocument/2006/relationships/image" Target="media/image319.jpeg"/><Relationship Id="rId360" Type="http://schemas.openxmlformats.org/officeDocument/2006/relationships/image" Target="media/image320.jpeg"/><Relationship Id="rId361" Type="http://schemas.openxmlformats.org/officeDocument/2006/relationships/image" Target="media/image321.jpeg"/><Relationship Id="rId362" Type="http://schemas.openxmlformats.org/officeDocument/2006/relationships/image" Target="media/image322.jpeg"/><Relationship Id="rId363" Type="http://schemas.openxmlformats.org/officeDocument/2006/relationships/image" Target="media/image323.jpeg"/><Relationship Id="rId364" Type="http://schemas.openxmlformats.org/officeDocument/2006/relationships/image" Target="media/image324.jpeg"/><Relationship Id="rId365" Type="http://schemas.openxmlformats.org/officeDocument/2006/relationships/image" Target="media/image325.jpeg"/><Relationship Id="rId366" Type="http://schemas.openxmlformats.org/officeDocument/2006/relationships/image" Target="media/image326.jpeg"/><Relationship Id="rId367" Type="http://schemas.openxmlformats.org/officeDocument/2006/relationships/image" Target="media/image327.jpeg"/><Relationship Id="rId368" Type="http://schemas.openxmlformats.org/officeDocument/2006/relationships/image" Target="media/image328.jpeg"/><Relationship Id="rId369" Type="http://schemas.openxmlformats.org/officeDocument/2006/relationships/image" Target="media/image329.jpeg"/><Relationship Id="rId370" Type="http://schemas.openxmlformats.org/officeDocument/2006/relationships/image" Target="media/image330.jpeg"/><Relationship Id="rId371" Type="http://schemas.openxmlformats.org/officeDocument/2006/relationships/image" Target="media/image331.jpeg"/><Relationship Id="rId372" Type="http://schemas.openxmlformats.org/officeDocument/2006/relationships/image" Target="media/image332.jpeg"/><Relationship Id="rId373" Type="http://schemas.openxmlformats.org/officeDocument/2006/relationships/image" Target="media/image333.jpeg"/><Relationship Id="rId374" Type="http://schemas.openxmlformats.org/officeDocument/2006/relationships/image" Target="media/image334.jpeg"/><Relationship Id="rId375" Type="http://schemas.openxmlformats.org/officeDocument/2006/relationships/image" Target="media/image335.jpeg"/><Relationship Id="rId376" Type="http://schemas.openxmlformats.org/officeDocument/2006/relationships/image" Target="media/image336.jpeg"/><Relationship Id="rId377" Type="http://schemas.openxmlformats.org/officeDocument/2006/relationships/image" Target="media/image337.jpeg"/><Relationship Id="rId378" Type="http://schemas.openxmlformats.org/officeDocument/2006/relationships/image" Target="media/image338.jpeg"/><Relationship Id="rId379" Type="http://schemas.openxmlformats.org/officeDocument/2006/relationships/image" Target="media/image339.jpeg"/><Relationship Id="rId380" Type="http://schemas.openxmlformats.org/officeDocument/2006/relationships/image" Target="media/image340.png"/><Relationship Id="rId381" Type="http://schemas.openxmlformats.org/officeDocument/2006/relationships/image" Target="media/image341.png"/><Relationship Id="rId382" Type="http://schemas.openxmlformats.org/officeDocument/2006/relationships/image" Target="media/image342.png"/><Relationship Id="rId383" Type="http://schemas.openxmlformats.org/officeDocument/2006/relationships/image" Target="media/image343.png"/><Relationship Id="rId384" Type="http://schemas.openxmlformats.org/officeDocument/2006/relationships/image" Target="media/image344.png"/><Relationship Id="rId385" Type="http://schemas.openxmlformats.org/officeDocument/2006/relationships/image" Target="media/image345.png"/><Relationship Id="rId386" Type="http://schemas.openxmlformats.org/officeDocument/2006/relationships/image" Target="media/image346.png"/><Relationship Id="rId387" Type="http://schemas.openxmlformats.org/officeDocument/2006/relationships/image" Target="media/image347.png"/><Relationship Id="rId388" Type="http://schemas.openxmlformats.org/officeDocument/2006/relationships/image" Target="media/image348.png"/><Relationship Id="rId389" Type="http://schemas.openxmlformats.org/officeDocument/2006/relationships/image" Target="media/image349.png"/><Relationship Id="rId390" Type="http://schemas.openxmlformats.org/officeDocument/2006/relationships/image" Target="media/image350.png"/><Relationship Id="rId391" Type="http://schemas.openxmlformats.org/officeDocument/2006/relationships/image" Target="media/image351.png"/><Relationship Id="rId392" Type="http://schemas.openxmlformats.org/officeDocument/2006/relationships/image" Target="media/image352.png"/><Relationship Id="rId393" Type="http://schemas.openxmlformats.org/officeDocument/2006/relationships/image" Target="media/image353.png"/><Relationship Id="rId394" Type="http://schemas.openxmlformats.org/officeDocument/2006/relationships/image" Target="media/image354.png"/><Relationship Id="rId395" Type="http://schemas.openxmlformats.org/officeDocument/2006/relationships/image" Target="media/image355.png"/><Relationship Id="rId396" Type="http://schemas.openxmlformats.org/officeDocument/2006/relationships/image" Target="media/image356.png"/><Relationship Id="rId397" Type="http://schemas.openxmlformats.org/officeDocument/2006/relationships/image" Target="media/image357.png"/><Relationship Id="rId398" Type="http://schemas.openxmlformats.org/officeDocument/2006/relationships/image" Target="media/image358.png"/><Relationship Id="rId399" Type="http://schemas.openxmlformats.org/officeDocument/2006/relationships/image" Target="media/image359.png"/><Relationship Id="rId400" Type="http://schemas.openxmlformats.org/officeDocument/2006/relationships/image" Target="media/image360.png"/><Relationship Id="rId401" Type="http://schemas.openxmlformats.org/officeDocument/2006/relationships/image" Target="media/image361.png"/><Relationship Id="rId402" Type="http://schemas.openxmlformats.org/officeDocument/2006/relationships/image" Target="media/image362.png"/><Relationship Id="rId403" Type="http://schemas.openxmlformats.org/officeDocument/2006/relationships/image" Target="media/image363.png"/><Relationship Id="rId404" Type="http://schemas.openxmlformats.org/officeDocument/2006/relationships/image" Target="media/image364.png"/><Relationship Id="rId405" Type="http://schemas.openxmlformats.org/officeDocument/2006/relationships/image" Target="media/image365.png"/><Relationship Id="rId406" Type="http://schemas.openxmlformats.org/officeDocument/2006/relationships/image" Target="media/image366.png"/><Relationship Id="rId407" Type="http://schemas.openxmlformats.org/officeDocument/2006/relationships/image" Target="media/image367.png"/><Relationship Id="rId408" Type="http://schemas.openxmlformats.org/officeDocument/2006/relationships/image" Target="media/image368.png"/><Relationship Id="rId409" Type="http://schemas.openxmlformats.org/officeDocument/2006/relationships/image" Target="media/image369.png"/><Relationship Id="rId410" Type="http://schemas.openxmlformats.org/officeDocument/2006/relationships/image" Target="media/image370.png"/><Relationship Id="rId411" Type="http://schemas.openxmlformats.org/officeDocument/2006/relationships/image" Target="media/image371.png"/><Relationship Id="rId412" Type="http://schemas.openxmlformats.org/officeDocument/2006/relationships/image" Target="media/image372.png"/><Relationship Id="rId413" Type="http://schemas.openxmlformats.org/officeDocument/2006/relationships/image" Target="media/image373.png"/><Relationship Id="rId414" Type="http://schemas.openxmlformats.org/officeDocument/2006/relationships/image" Target="media/image374.png"/><Relationship Id="rId415" Type="http://schemas.openxmlformats.org/officeDocument/2006/relationships/image" Target="media/image375.png"/><Relationship Id="rId416" Type="http://schemas.openxmlformats.org/officeDocument/2006/relationships/image" Target="media/image376.png"/><Relationship Id="rId417" Type="http://schemas.openxmlformats.org/officeDocument/2006/relationships/image" Target="media/image377.png"/><Relationship Id="rId418" Type="http://schemas.openxmlformats.org/officeDocument/2006/relationships/image" Target="media/image378.png"/><Relationship Id="rId419" Type="http://schemas.openxmlformats.org/officeDocument/2006/relationships/image" Target="media/image379.png"/><Relationship Id="rId420" Type="http://schemas.openxmlformats.org/officeDocument/2006/relationships/image" Target="media/image380.png"/><Relationship Id="rId421" Type="http://schemas.openxmlformats.org/officeDocument/2006/relationships/image" Target="media/image381.png"/><Relationship Id="rId422" Type="http://schemas.openxmlformats.org/officeDocument/2006/relationships/image" Target="media/image382.png"/><Relationship Id="rId423" Type="http://schemas.openxmlformats.org/officeDocument/2006/relationships/image" Target="media/image383.png"/><Relationship Id="rId424" Type="http://schemas.openxmlformats.org/officeDocument/2006/relationships/image" Target="media/image384.png"/><Relationship Id="rId425" Type="http://schemas.openxmlformats.org/officeDocument/2006/relationships/image" Target="media/image385.png"/><Relationship Id="rId426" Type="http://schemas.openxmlformats.org/officeDocument/2006/relationships/image" Target="media/image386.png"/><Relationship Id="rId427" Type="http://schemas.openxmlformats.org/officeDocument/2006/relationships/image" Target="media/image387.png"/><Relationship Id="rId428" Type="http://schemas.openxmlformats.org/officeDocument/2006/relationships/image" Target="media/image388.png"/><Relationship Id="rId429" Type="http://schemas.openxmlformats.org/officeDocument/2006/relationships/image" Target="media/image389.png"/><Relationship Id="rId430" Type="http://schemas.openxmlformats.org/officeDocument/2006/relationships/image" Target="media/image390.png"/><Relationship Id="rId431" Type="http://schemas.openxmlformats.org/officeDocument/2006/relationships/image" Target="media/image391.png"/><Relationship Id="rId432" Type="http://schemas.openxmlformats.org/officeDocument/2006/relationships/image" Target="media/image392.png"/><Relationship Id="rId433" Type="http://schemas.openxmlformats.org/officeDocument/2006/relationships/image" Target="media/image393.png"/><Relationship Id="rId434" Type="http://schemas.openxmlformats.org/officeDocument/2006/relationships/image" Target="media/image394.png"/><Relationship Id="rId435" Type="http://schemas.openxmlformats.org/officeDocument/2006/relationships/image" Target="media/image395.png"/><Relationship Id="rId436" Type="http://schemas.openxmlformats.org/officeDocument/2006/relationships/image" Target="media/image396.png"/><Relationship Id="rId437" Type="http://schemas.openxmlformats.org/officeDocument/2006/relationships/image" Target="media/image397.png"/><Relationship Id="rId438" Type="http://schemas.openxmlformats.org/officeDocument/2006/relationships/image" Target="media/image398.png"/><Relationship Id="rId439" Type="http://schemas.openxmlformats.org/officeDocument/2006/relationships/image" Target="media/image399.png"/><Relationship Id="rId440" Type="http://schemas.openxmlformats.org/officeDocument/2006/relationships/image" Target="media/image400.png"/><Relationship Id="rId441" Type="http://schemas.openxmlformats.org/officeDocument/2006/relationships/image" Target="media/image401.png"/><Relationship Id="rId442" Type="http://schemas.openxmlformats.org/officeDocument/2006/relationships/image" Target="media/image402.png"/><Relationship Id="rId443" Type="http://schemas.openxmlformats.org/officeDocument/2006/relationships/image" Target="media/image403.png"/><Relationship Id="rId444" Type="http://schemas.openxmlformats.org/officeDocument/2006/relationships/image" Target="media/image404.png"/><Relationship Id="rId445" Type="http://schemas.openxmlformats.org/officeDocument/2006/relationships/image" Target="media/image405.png"/><Relationship Id="rId446" Type="http://schemas.openxmlformats.org/officeDocument/2006/relationships/image" Target="media/image406.png"/><Relationship Id="rId447" Type="http://schemas.openxmlformats.org/officeDocument/2006/relationships/image" Target="media/image407.png"/><Relationship Id="rId448" Type="http://schemas.openxmlformats.org/officeDocument/2006/relationships/image" Target="media/image408.png"/><Relationship Id="rId449" Type="http://schemas.openxmlformats.org/officeDocument/2006/relationships/image" Target="media/image409.png"/><Relationship Id="rId450" Type="http://schemas.openxmlformats.org/officeDocument/2006/relationships/image" Target="media/image410.png"/><Relationship Id="rId451" Type="http://schemas.openxmlformats.org/officeDocument/2006/relationships/image" Target="media/image411.png"/><Relationship Id="rId452" Type="http://schemas.openxmlformats.org/officeDocument/2006/relationships/image" Target="media/image412.png"/><Relationship Id="rId453" Type="http://schemas.openxmlformats.org/officeDocument/2006/relationships/image" Target="media/image413.png"/><Relationship Id="rId454" Type="http://schemas.openxmlformats.org/officeDocument/2006/relationships/image" Target="media/image414.png"/><Relationship Id="rId455" Type="http://schemas.openxmlformats.org/officeDocument/2006/relationships/image" Target="media/image415.png"/><Relationship Id="rId456" Type="http://schemas.openxmlformats.org/officeDocument/2006/relationships/image" Target="media/image416.png"/><Relationship Id="rId457" Type="http://schemas.openxmlformats.org/officeDocument/2006/relationships/image" Target="media/image417.png"/><Relationship Id="rId458" Type="http://schemas.openxmlformats.org/officeDocument/2006/relationships/image" Target="media/image418.png"/><Relationship Id="rId459" Type="http://schemas.openxmlformats.org/officeDocument/2006/relationships/image" Target="media/image419.png"/><Relationship Id="rId460" Type="http://schemas.openxmlformats.org/officeDocument/2006/relationships/image" Target="media/image420.png"/><Relationship Id="rId461" Type="http://schemas.openxmlformats.org/officeDocument/2006/relationships/image" Target="media/image421.png"/><Relationship Id="rId462" Type="http://schemas.openxmlformats.org/officeDocument/2006/relationships/image" Target="media/image422.png"/><Relationship Id="rId463" Type="http://schemas.openxmlformats.org/officeDocument/2006/relationships/image" Target="media/image423.png"/><Relationship Id="rId464" Type="http://schemas.openxmlformats.org/officeDocument/2006/relationships/image" Target="media/image424.png"/><Relationship Id="rId465" Type="http://schemas.openxmlformats.org/officeDocument/2006/relationships/image" Target="media/image425.png"/><Relationship Id="rId466" Type="http://schemas.openxmlformats.org/officeDocument/2006/relationships/image" Target="media/image426.png"/><Relationship Id="rId467" Type="http://schemas.openxmlformats.org/officeDocument/2006/relationships/image" Target="media/image427.png"/><Relationship Id="rId468" Type="http://schemas.openxmlformats.org/officeDocument/2006/relationships/image" Target="media/image428.png"/><Relationship Id="rId469" Type="http://schemas.openxmlformats.org/officeDocument/2006/relationships/image" Target="media/image429.png"/><Relationship Id="rId470" Type="http://schemas.openxmlformats.org/officeDocument/2006/relationships/image" Target="media/image430.png"/><Relationship Id="rId471" Type="http://schemas.openxmlformats.org/officeDocument/2006/relationships/image" Target="media/image431.png"/><Relationship Id="rId472" Type="http://schemas.openxmlformats.org/officeDocument/2006/relationships/image" Target="media/image432.png"/><Relationship Id="rId473" Type="http://schemas.openxmlformats.org/officeDocument/2006/relationships/image" Target="media/image433.png"/><Relationship Id="rId474" Type="http://schemas.openxmlformats.org/officeDocument/2006/relationships/image" Target="media/image434.png"/><Relationship Id="rId475" Type="http://schemas.openxmlformats.org/officeDocument/2006/relationships/image" Target="media/image435.png"/><Relationship Id="rId476" Type="http://schemas.openxmlformats.org/officeDocument/2006/relationships/image" Target="media/image436.png"/><Relationship Id="rId477" Type="http://schemas.openxmlformats.org/officeDocument/2006/relationships/image" Target="media/image437.png"/><Relationship Id="rId478" Type="http://schemas.openxmlformats.org/officeDocument/2006/relationships/image" Target="media/image438.png"/><Relationship Id="rId479" Type="http://schemas.openxmlformats.org/officeDocument/2006/relationships/image" Target="media/image439.png"/><Relationship Id="rId480" Type="http://schemas.openxmlformats.org/officeDocument/2006/relationships/image" Target="media/image440.png"/><Relationship Id="rId481" Type="http://schemas.openxmlformats.org/officeDocument/2006/relationships/image" Target="media/image441.png"/><Relationship Id="rId482" Type="http://schemas.openxmlformats.org/officeDocument/2006/relationships/image" Target="media/image442.png"/><Relationship Id="rId483" Type="http://schemas.openxmlformats.org/officeDocument/2006/relationships/image" Target="media/image443.png"/><Relationship Id="rId484" Type="http://schemas.openxmlformats.org/officeDocument/2006/relationships/image" Target="media/image444.png"/><Relationship Id="rId485" Type="http://schemas.openxmlformats.org/officeDocument/2006/relationships/image" Target="media/image445.png"/><Relationship Id="rId486" Type="http://schemas.openxmlformats.org/officeDocument/2006/relationships/image" Target="media/image446.png"/><Relationship Id="rId487" Type="http://schemas.openxmlformats.org/officeDocument/2006/relationships/image" Target="media/image447.png"/><Relationship Id="rId488" Type="http://schemas.openxmlformats.org/officeDocument/2006/relationships/image" Target="media/image448.png"/><Relationship Id="rId489" Type="http://schemas.openxmlformats.org/officeDocument/2006/relationships/image" Target="media/image449.png"/><Relationship Id="rId490" Type="http://schemas.openxmlformats.org/officeDocument/2006/relationships/image" Target="media/image450.png"/><Relationship Id="rId491" Type="http://schemas.openxmlformats.org/officeDocument/2006/relationships/image" Target="media/image451.png"/><Relationship Id="rId492" Type="http://schemas.openxmlformats.org/officeDocument/2006/relationships/image" Target="media/image452.png"/><Relationship Id="rId493" Type="http://schemas.openxmlformats.org/officeDocument/2006/relationships/image" Target="media/image453.png"/><Relationship Id="rId494" Type="http://schemas.openxmlformats.org/officeDocument/2006/relationships/image" Target="media/image454.png"/><Relationship Id="rId495" Type="http://schemas.openxmlformats.org/officeDocument/2006/relationships/image" Target="media/image455.png"/><Relationship Id="rId496" Type="http://schemas.openxmlformats.org/officeDocument/2006/relationships/image" Target="media/image456.png"/><Relationship Id="rId497" Type="http://schemas.openxmlformats.org/officeDocument/2006/relationships/image" Target="media/image457.png"/><Relationship Id="rId498" Type="http://schemas.openxmlformats.org/officeDocument/2006/relationships/image" Target="media/image458.png"/><Relationship Id="rId499" Type="http://schemas.openxmlformats.org/officeDocument/2006/relationships/image" Target="media/image459.png"/><Relationship Id="rId500" Type="http://schemas.openxmlformats.org/officeDocument/2006/relationships/image" Target="media/image460.png"/><Relationship Id="rId501" Type="http://schemas.openxmlformats.org/officeDocument/2006/relationships/image" Target="media/image461.png"/><Relationship Id="rId502" Type="http://schemas.openxmlformats.org/officeDocument/2006/relationships/image" Target="media/image462.png"/><Relationship Id="rId503" Type="http://schemas.openxmlformats.org/officeDocument/2006/relationships/image" Target="media/image463.png"/><Relationship Id="rId504" Type="http://schemas.openxmlformats.org/officeDocument/2006/relationships/image" Target="media/image464.png"/><Relationship Id="rId505" Type="http://schemas.openxmlformats.org/officeDocument/2006/relationships/image" Target="media/image465.png"/><Relationship Id="rId506" Type="http://schemas.openxmlformats.org/officeDocument/2006/relationships/image" Target="media/image466.png"/><Relationship Id="rId507" Type="http://schemas.openxmlformats.org/officeDocument/2006/relationships/image" Target="media/image467.png"/><Relationship Id="rId508" Type="http://schemas.openxmlformats.org/officeDocument/2006/relationships/image" Target="media/image468.png"/><Relationship Id="rId509" Type="http://schemas.openxmlformats.org/officeDocument/2006/relationships/image" Target="media/image469.png"/><Relationship Id="rId510" Type="http://schemas.openxmlformats.org/officeDocument/2006/relationships/image" Target="media/image470.png"/><Relationship Id="rId511" Type="http://schemas.openxmlformats.org/officeDocument/2006/relationships/image" Target="media/image471.png"/><Relationship Id="rId512" Type="http://schemas.openxmlformats.org/officeDocument/2006/relationships/image" Target="media/image472.png"/><Relationship Id="rId513" Type="http://schemas.openxmlformats.org/officeDocument/2006/relationships/image" Target="media/image473.png"/><Relationship Id="rId514" Type="http://schemas.openxmlformats.org/officeDocument/2006/relationships/image" Target="media/image474.png"/><Relationship Id="rId515" Type="http://schemas.openxmlformats.org/officeDocument/2006/relationships/image" Target="media/image475.png"/><Relationship Id="rId516" Type="http://schemas.openxmlformats.org/officeDocument/2006/relationships/image" Target="media/image476.png"/><Relationship Id="rId517" Type="http://schemas.openxmlformats.org/officeDocument/2006/relationships/image" Target="media/image477.png"/><Relationship Id="rId518" Type="http://schemas.openxmlformats.org/officeDocument/2006/relationships/image" Target="media/image478.png"/><Relationship Id="rId519" Type="http://schemas.openxmlformats.org/officeDocument/2006/relationships/image" Target="media/image479.png"/><Relationship Id="rId520" Type="http://schemas.openxmlformats.org/officeDocument/2006/relationships/image" Target="media/image480.png"/><Relationship Id="rId521" Type="http://schemas.openxmlformats.org/officeDocument/2006/relationships/image" Target="media/image481.png"/><Relationship Id="rId522" Type="http://schemas.openxmlformats.org/officeDocument/2006/relationships/image" Target="media/image482.png"/><Relationship Id="rId523" Type="http://schemas.openxmlformats.org/officeDocument/2006/relationships/image" Target="media/image483.png"/><Relationship Id="rId524" Type="http://schemas.openxmlformats.org/officeDocument/2006/relationships/image" Target="media/image484.png"/><Relationship Id="rId525" Type="http://schemas.openxmlformats.org/officeDocument/2006/relationships/image" Target="media/image485.png"/><Relationship Id="rId526" Type="http://schemas.openxmlformats.org/officeDocument/2006/relationships/image" Target="media/image486.png"/><Relationship Id="rId527" Type="http://schemas.openxmlformats.org/officeDocument/2006/relationships/image" Target="media/image487.png"/><Relationship Id="rId528" Type="http://schemas.openxmlformats.org/officeDocument/2006/relationships/image" Target="media/image488.png"/><Relationship Id="rId529" Type="http://schemas.openxmlformats.org/officeDocument/2006/relationships/image" Target="media/image489.png"/><Relationship Id="rId530" Type="http://schemas.openxmlformats.org/officeDocument/2006/relationships/image" Target="media/image490.png"/><Relationship Id="rId531" Type="http://schemas.openxmlformats.org/officeDocument/2006/relationships/image" Target="media/image491.png"/><Relationship Id="rId532" Type="http://schemas.openxmlformats.org/officeDocument/2006/relationships/image" Target="media/image492.png"/><Relationship Id="rId533" Type="http://schemas.openxmlformats.org/officeDocument/2006/relationships/image" Target="media/image493.png"/><Relationship Id="rId534" Type="http://schemas.openxmlformats.org/officeDocument/2006/relationships/image" Target="media/image494.png"/><Relationship Id="rId535" Type="http://schemas.openxmlformats.org/officeDocument/2006/relationships/image" Target="media/image495.png"/><Relationship Id="rId536" Type="http://schemas.openxmlformats.org/officeDocument/2006/relationships/image" Target="media/image496.png"/><Relationship Id="rId537" Type="http://schemas.openxmlformats.org/officeDocument/2006/relationships/image" Target="media/image497.png"/><Relationship Id="rId538" Type="http://schemas.openxmlformats.org/officeDocument/2006/relationships/image" Target="media/image498.png"/><Relationship Id="rId539" Type="http://schemas.openxmlformats.org/officeDocument/2006/relationships/image" Target="media/image499.png"/><Relationship Id="rId540" Type="http://schemas.openxmlformats.org/officeDocument/2006/relationships/image" Target="media/image500.jpeg"/><Relationship Id="rId541" Type="http://schemas.openxmlformats.org/officeDocument/2006/relationships/image" Target="media/image501.png"/><Relationship Id="rId542" Type="http://schemas.openxmlformats.org/officeDocument/2006/relationships/image" Target="media/image502.jpeg"/><Relationship Id="rId543" Type="http://schemas.openxmlformats.org/officeDocument/2006/relationships/image" Target="media/image503.png"/><Relationship Id="rId544" Type="http://schemas.openxmlformats.org/officeDocument/2006/relationships/image" Target="media/image504.jpeg"/><Relationship Id="rId545" Type="http://schemas.openxmlformats.org/officeDocument/2006/relationships/image" Target="media/image505.png"/><Relationship Id="rId546" Type="http://schemas.openxmlformats.org/officeDocument/2006/relationships/image" Target="media/image506.png"/><Relationship Id="rId547" Type="http://schemas.openxmlformats.org/officeDocument/2006/relationships/image" Target="media/image507.png"/><Relationship Id="rId548" Type="http://schemas.openxmlformats.org/officeDocument/2006/relationships/image" Target="media/image508.png"/><Relationship Id="rId549" Type="http://schemas.openxmlformats.org/officeDocument/2006/relationships/image" Target="media/image509.png"/><Relationship Id="rId210" Type="http://schemas.openxmlformats.org/officeDocument/2006/relationships/hyperlink" Target="https://www.sec.gov/Archives/edgar/data/1962746/000110465923109358/tm236957d17_ex4-6.htm" TargetMode="External"/><Relationship Id="rId211" Type="http://schemas.openxmlformats.org/officeDocument/2006/relationships/hyperlink" Target="https://www.sec.gov/Archives/edgar/data/1962746/000110465923109358/tm236957d17_ex4-7.htm" TargetMode="External"/><Relationship Id="rId212" Type="http://schemas.openxmlformats.org/officeDocument/2006/relationships/hyperlink" Target="https://www.sec.gov/Archives/edgar/data/1962746/000110465923109358/tm236957d17_ex4-8.htm" TargetMode="External"/><Relationship Id="rId213" Type="http://schemas.openxmlformats.org/officeDocument/2006/relationships/hyperlink" Target="https://www.sec.gov/Archives/edgar/data/1962746/000110465923109358/tm236957d17_ex4-10.htm" TargetMode="External"/><Relationship Id="rId214" Type="http://schemas.openxmlformats.org/officeDocument/2006/relationships/hyperlink" Target="https://www.sec.gov/Archives/edgar/data/1962746/000110465923109358/tm236957d17_ex10-1.htm" TargetMode="External"/><Relationship Id="rId215" Type="http://schemas.openxmlformats.org/officeDocument/2006/relationships/hyperlink" Target="https://www.sec.gov/Archives/edgar/data/1962746/000110465923109358/tm236957d17_ex10-2.htm" TargetMode="External"/><Relationship Id="rId216" Type="http://schemas.openxmlformats.org/officeDocument/2006/relationships/hyperlink" Target="https://www.sec.gov/Archives/edgar/data/1962746/000110465923109358/tm236957d17_ex10-3.htm" TargetMode="External"/><Relationship Id="rId217" Type="http://schemas.openxmlformats.org/officeDocument/2006/relationships/hyperlink" Target="https://www.sec.gov/Archives/edgar/data/1962746/000110465923109358/tm236957d17_ex10-4.htm" TargetMode="External"/><Relationship Id="rId218" Type="http://schemas.openxmlformats.org/officeDocument/2006/relationships/hyperlink" Target="https://www.sec.gov/Archives/edgar/data/1962746/000110465923118665/tm236957d22_ex10-5.htm" TargetMode="External"/><Relationship Id="rId219" Type="http://schemas.openxmlformats.org/officeDocument/2006/relationships/hyperlink" Target="https://www.sec.gov/Archives/edgar/data/1962746/000110465923109358/tm236957d17_ex10-5.htm" TargetMode="External"/><Relationship Id="rId220" Type="http://schemas.openxmlformats.org/officeDocument/2006/relationships/hyperlink" Target="https://www.sec.gov/Archives/edgar/data/1962746/000110465923118665/tm236957d22_ex10-7.htm" TargetMode="External"/><Relationship Id="rId221" Type="http://schemas.openxmlformats.org/officeDocument/2006/relationships/hyperlink" Target="https://www.sec.gov/Archives/edgar/data/1962746/000110465923109358/tm236957d17_ex10-7.htm" TargetMode="External"/><Relationship Id="rId222" Type="http://schemas.openxmlformats.org/officeDocument/2006/relationships/hyperlink" Target="https://www.sec.gov/Archives/edgar/data/1962746/000110465923109358/tm236957d17_ex10-8.htm" TargetMode="External"/><Relationship Id="rId223" Type="http://schemas.openxmlformats.org/officeDocument/2006/relationships/hyperlink" Target="https://www.sec.gov/Archives/edgar/data/1962746/000110465923109358/tm236957d17_ex10-9.htm" TargetMode="External"/><Relationship Id="rId224" Type="http://schemas.openxmlformats.org/officeDocument/2006/relationships/hyperlink" Target="https://www.sec.gov/Archives/edgar/data/1962746/000110465923109358/tm236957d17_ex10-10.htm" TargetMode="External"/><Relationship Id="rId225" Type="http://schemas.openxmlformats.org/officeDocument/2006/relationships/hyperlink" Target="https://www.sec.gov/Archives/edgar/data/1962746/000110465923109358/tm236957d17_ex10-11.htm" TargetMode="External"/><Relationship Id="rId226" Type="http://schemas.openxmlformats.org/officeDocument/2006/relationships/hyperlink" Target="https://www.sec.gov/Archives/edgar/data/1962746/000110465923109358/tm236957d17_ex10-12.htm" TargetMode="External"/><Relationship Id="rId228" Type="http://schemas.openxmlformats.org/officeDocument/2006/relationships/hyperlink" Target="https://www.sec.gov/Archives/edgar/data/1962746/000110465923109358/tm236957d17_ex10-13.htm" TargetMode="External"/><Relationship Id="rId229" Type="http://schemas.openxmlformats.org/officeDocument/2006/relationships/hyperlink" Target="https://www.sec.gov/Archives/edgar/data/1962746/000110465923109358/tm236957d17_ex10-14.htm" TargetMode="External"/><Relationship Id="rId230" Type="http://schemas.openxmlformats.org/officeDocument/2006/relationships/hyperlink" Target="https://www.sec.gov/Archives/edgar/data/1962746/000110465923109358/tm236957d17_ex10-15.htm" TargetMode="External"/><Relationship Id="rId231" Type="http://schemas.openxmlformats.org/officeDocument/2006/relationships/hyperlink" Target="https://www.sec.gov/Archives/edgar/data/1962746/000110465923109358/tm236957d17_ex10-16.htm" TargetMode="External"/><Relationship Id="rId232" Type="http://schemas.openxmlformats.org/officeDocument/2006/relationships/hyperlink" Target="https://www.sec.gov/Archives/edgar/data/1962746/000110465923109358/tm236957d17_ex10-17.htm" TargetMode="External"/><Relationship Id="rId233" Type="http://schemas.openxmlformats.org/officeDocument/2006/relationships/hyperlink" Target="https://www.sec.gov/Archives/edgar/data/1962746/000110465923109358/tm236957d17_ex10-18.htm" TargetMode="External"/><Relationship Id="rId234" Type="http://schemas.openxmlformats.org/officeDocument/2006/relationships/hyperlink" Target="https://www.sec.gov/Archives/edgar/data/1962746/000110465923109358/tm236957d17_ex10-19.htm" TargetMode="External"/><Relationship Id="rId235" Type="http://schemas.openxmlformats.org/officeDocument/2006/relationships/hyperlink" Target="https://www.sec.gov/Archives/edgar/data/1962746/000110465923109358/tm236957d17_ex10-26.htm" TargetMode="External"/><Relationship Id="rId236" Type="http://schemas.openxmlformats.org/officeDocument/2006/relationships/hyperlink" Target="https://www.sec.gov/Archives/edgar/data/1962746/000110465923109358/tm236957d17_ex10-27.htm" TargetMode="External"/><Relationship Id="rId237" Type="http://schemas.openxmlformats.org/officeDocument/2006/relationships/hyperlink" Target="https://www.sec.gov/Archives/edgar/data/1962746/000110465923109358/tm236957d17_ex10-28.htm" TargetMode="External"/><Relationship Id="rId238" Type="http://schemas.openxmlformats.org/officeDocument/2006/relationships/hyperlink" Target="https://www.sec.gov/Archives/edgar/data/1962746/000110465923109358/tm236957d17_ex10-29.htm" TargetMode="External"/><Relationship Id="rId239" Type="http://schemas.openxmlformats.org/officeDocument/2006/relationships/hyperlink" Target="https://www.sec.gov/Archives/edgar/data/1962746/000110465923109358/tm236957d17_ex10-30.htm" TargetMode="External"/><Relationship Id="rId240" Type="http://schemas.openxmlformats.org/officeDocument/2006/relationships/hyperlink" Target="https://www.sec.gov/Archives/edgar/data/1962746/000110465923109358/tm236957d17_ex10-31.htm" TargetMode="External"/><Relationship Id="rId241" Type="http://schemas.openxmlformats.org/officeDocument/2006/relationships/hyperlink" Target="https://www.sec.gov/Archives/edgar/data/1962746/000110465923109358/tm236957d17_ex10-32.htm" TargetMode="External"/><Relationship Id="rId242" Type="http://schemas.openxmlformats.org/officeDocument/2006/relationships/hyperlink" Target="https://www.sec.gov/Archives/edgar/data/1962746/000110465923109358/tm236957d17_ex10-33.htm" TargetMode="External"/><Relationship Id="rId243" Type="http://schemas.openxmlformats.org/officeDocument/2006/relationships/hyperlink" Target="https://www.sec.gov/Archives/edgar/data/1962746/000110465923123610/tm236957d27_ex10-3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2024-04-22T15:54:14Z</dcterms:created>
  <dcterms:modified xsi:type="dcterms:W3CDTF">2024-04-22T15:54:14Z</dcterms:modified>
</cp:coreProperties>
</file>