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Lotus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par value US$0.00001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Zhejiang Geely Holding Group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No. 1760 Jiangling Road, Binjiang District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Hangzhou, F4, 310051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86-571-2809-8282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Eric Li (Li Shufu)</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 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338,624,525.00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338,624,525.00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338,624,525.00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52.3 %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(7) and (9) - Includes (i) 186,648,945 Ordinary Shares held by Lotus Advanced Technology Limited</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Partnership ("LATLP"); (ii) 108,740,886 Ordinary Shares held by Lotus Technology International Investment Limited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("LTIIL"); (iii) 1,968,697 Ordinary Shares held by Geely Investment Holding Ltd; (iv) 16,788,321 Ordinary Shares</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held by ECARX Holdings Inc; and (v) 24,477,676 Ordinary Shares held by Geely International (Hong Kong) Limited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("Geely HK"). LATLP is a limited liability partnership incorporated under the laws of British Virgin Islands and its</w:t>
      </w: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general partner is Yin Qing Holdings Limited. Yin Qing Holdings Limited is wholly owned by Mr. Qingfeng Feng, the CEO and director of the Company. On July 30, 2021, the partners of LATLP, namely Ming Jun Holdings Limited, Yin Qing Holdings Limited, Xing Rong Holdings Limited and Jing Can Holdings Limited signed an agreement, later joined by State Rainbow Investments Limited and Radiant Field Investments Limited, under which these partners agreed to act in concert with Ming Jun Holdings Limited. Ming Jun Holdings Limited is wholly owned by Mr. Shufu Li. Therefore, Mr. Shufu Li may be deemed to beneficially own all of the shares held of record by LATLP. The registered address of Lotus Advanced Technology Limited Partnership is Sertus Chambers, P.O. Box 905, Quastisky Building, Road Town, Tortola, British Virgin Islands. LTIIL is wholly owned by Geely HK. Geely HK is wholly owned by Hainan Geely Investment Holdings Co., Ltd, which is wholly owned by Zhejiang Geely Holding Group Co., Ltd. ("Geely Holding"). Geely Holding is 82.233% owned by Mr. Shufu Li, 8.0583% owned by Mr. Xingxing Li, and 9.7087% owned by Ningbo Yima Enterprise Management Partnership (Limited Partnership). The registered address of LTIIL is Craigmuir Chambers, Road Town, Tortola, VG 1110, British Virgin Islands. Geely Investment Holding Ltd. is wholly owned by Geely HK. The registered address of Geely Investment Holding Ltd. is Craigmuir Chambers, Road Town, Tortola, VG 1110, British Virgin Islands. Mr. Eric Li (Li Shufu) controls ECARX Holdings Inc. and therefore may be deemed to beneficially own all of the 16,788,321 Ordinary Shares directly held by ECARX Holdings Inc. Note to Row (13) - The percentage of class of securities beneficially owned by the reporting person and the voting power represented thereby are based on a total of 647,687,049 issued and outstanding Ordinary Shares as of May 20, 2026 (excluding Ordinary Shares issued to Deutsche Bank Trust Company Americas, the depositary of our ADS program, for bulk issuance of ADSs reserved for future issuances upon the exercise or vesting of awards granted under our stock incentive plan).</w:t>
      </w:r>
    </w:p>
    <w:p>
      <w:pPr>
        <w:sectPr>
          <w:pgSz w:w="11900" w:h="16838" w:orient="portrait"/>
          <w:cols w:equalWidth="0" w:num="1">
            <w:col w:w="11240"/>
          </w:cols>
          <w:pgMar w:left="320" w:top="126" w:right="339" w:bottom="346"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Lotus Advanced Technology Limited Partnership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 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186,648,945.00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186,648,945.00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186,648,945.00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28.8 %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(7) and (9) - Represents 186,648,945 Ordinary Shares held by LATLP. LATLP is a limited liability</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partnership incorporated under the laws of British Virgin Islands and its general partner is Yin Qing Holdings Limited.</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Yin Qing Holdings Limited is wholly owned by Mr. Qingfeng Feng, the CEO and director of the Company. On July</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30, 2021, the partners of LATLP, namely Ming Jun Holdings Limited, Yin Qing Holdings Limited, Xing Rong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Holdings Limited and Jing Can Holdings Limited signed an agreement, later joined by State Rainbow Investments</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Limited and Radiant Field Investments Limited, under which these partners agreed to act in concert with Ming Jun Holdings Limited. Ming Jun Holdings Limited is wholly owned by Mr. Shufu Li. Therefore, Mr. Shufu Li may be deemed to beneficially own all of the shares held of record by LATLP. The registered address of Lotus Advanced Technology Limited Partnership is Sertus Chambers, P.O. Box 905, Quastisky Building, Road Town, Tortola, British Virgin Islands. Note to Row (13) - The percentage of class of securities beneficially owned by the reporting person and the voting power represented thereby are based on a total of 647,687,049 issued and outstanding Ordinary Shares as of May 20, 2026 (excluding Ordinary Shares issued to Deutsche Bank Trust Company Americas, the depositary of our ADS program, for bulk issuance of ADSs reserved for future issuances upon the exercise or vesting of awards granted under our stock incentive plan).</w:t>
      </w:r>
    </w:p>
    <w:p>
      <w:pPr>
        <w:sectPr>
          <w:pgSz w:w="11900" w:h="16838" w:orient="portrait"/>
          <w:cols w:equalWidth="0" w:num="1">
            <w:col w:w="11240"/>
          </w:cols>
          <w:pgMar w:left="320" w:top="110" w:right="339" w:bottom="342"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Lotus Technology International Investment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 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108,740,886.00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108,740,886.00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108,740,886.00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16.8 %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(7) and (9) - Represents 108,740,886 Ordinary Shares held by LTIIL. LTIIL is wholly owned by Geely</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HK, which is ultimately wholly owned by Geely Holding. Geely Holding is 82.233% owned by Mr. Shufu Li,</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8.0583% owned by Mr. Xingxing Li, and 9.7087% owned by Ningbo Yima Enterprise Management Partnership</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(Limited Partnership). The registered address of LTIIL is Craigmuir Chambers, Road Town, Tortola, VG 1110, British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Virgin Islands. Note to Row (13) - The percentage of class of securities beneficially owned by the reporting person and</w:t>
      </w: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the voting power represented thereby are based on a total of 647,687,049 issued and outstanding Ordinary Shares as of May 20, 2026 (excluding Ordinary Shares issued to Deutsche Bank Trust Company Americas, the depositary of our ADS program, for bulk issuance of ADSs reserved for future issuances upon the exercise or vesting of awards granted under our stock incentive plan).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110" w:right="339" w:bottom="21" w:gutter="0" w:footer="0" w:header="0"/>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110" w:right="339" w:bottom="21"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Lotus Group International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60" w:top="639" w:right="37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20"/>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810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40"/>
          </w:cols>
          <w:pgMar w:left="360" w:top="639" w:right="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Ordinary Shares, par value US$0.00001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Lotus Technology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 800 Century Avenue, Pudong District, Shanghai, CHINA , 200120.</w:t>
      </w:r>
    </w:p>
    <w:p>
      <w:pPr>
        <w:spacing w:after="0" w:line="20" w:lineRule="exact"/>
        <w:rPr>
          <w:sz w:val="20"/>
          <w:szCs w:val="20"/>
          <w:color w:val="auto"/>
        </w:rPr>
      </w:pPr>
    </w:p>
    <w:p>
      <w:pPr>
        <w:jc w:val="right"/>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Explanatory Note This CUSIP number applies to the American Depositary Shares, evidenced by American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Depositary Receipts, each representing one ordinary share of the Issuer. This Amendment No. 1 to Schedule 13D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(this "Amendment No. 1") is filed on behalf of each of Mr. Eric Li (Li Shufu), Lotus Advanced Technology Limited Partnership  ("LATLP"),  Lotus  Technology  International  Investment  Limited  ("LTIIL"),  and  Lotus  Group</w:t>
      </w:r>
    </w:p>
    <w:p>
      <w:pPr>
        <w:sectPr>
          <w:pgSz w:w="11900" w:h="16838" w:orient="portrait"/>
          <w:cols w:equalWidth="0" w:num="1">
            <w:col w:w="11160"/>
          </w:cols>
          <w:pgMar w:left="360" w:top="639" w:right="379" w:bottom="0" w:gutter="0" w:footer="0" w:header="0"/>
          <w:type w:val="continuous"/>
        </w:sectPr>
      </w:pPr>
    </w:p>
    <w:bookmarkStart w:id="5" w:name="page6"/>
    <w:bookmarkEnd w:id="5"/>
    <w:p>
      <w:pPr>
        <w:jc w:val="both"/>
        <w:ind w:left="960"/>
        <w:spacing w:after="0"/>
        <w:rPr>
          <w:sz w:val="20"/>
          <w:szCs w:val="20"/>
          <w:color w:val="auto"/>
        </w:rPr>
      </w:pPr>
      <w:r>
        <w:rPr>
          <w:rFonts w:ascii="Times New Roman" w:cs="Times New Roman" w:eastAsia="Times New Roman" w:hAnsi="Times New Roman"/>
          <w:sz w:val="22"/>
          <w:szCs w:val="22"/>
          <w:color w:val="auto"/>
        </w:rPr>
        <w:t>International Limited ("LGIL") to amend the statement on Schedule 13D, filed on February 13, 2026 (the "Original Filing"). Except as provided herein, this statement does not modify any of the information previously reported on the Original Filing. Capitalized terms used but not defined in this statement have the meanings ascribed to them in the Original Filing.</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120"/>
        <w:spacing w:after="0" w:line="241" w:lineRule="auto"/>
        <w:rPr>
          <w:sz w:val="20"/>
          <w:szCs w:val="20"/>
          <w:color w:val="auto"/>
        </w:rPr>
      </w:pPr>
      <w:r>
        <w:rPr>
          <w:rFonts w:ascii="Times New Roman" w:cs="Times New Roman" w:eastAsia="Times New Roman" w:hAnsi="Times New Roman"/>
          <w:sz w:val="22"/>
          <w:szCs w:val="22"/>
          <w:color w:val="auto"/>
        </w:rPr>
        <w:t>Item 2(a) is hereby amended to add the following: LGIL is wholly owned by Lotus Advance Technologies Sdn. Bhd, which is in turn 51% owned by Geely HK and 49% owned by Etika. On June 10, 2026, Geely HK received</w:t>
      </w:r>
    </w:p>
    <w:p>
      <w:pPr>
        <w:spacing w:after="0" w:line="2" w:lineRule="exact"/>
        <w:rPr>
          <w:sz w:val="20"/>
          <w:szCs w:val="20"/>
          <w:color w:val="auto"/>
        </w:rPr>
      </w:pPr>
    </w:p>
    <w:p>
      <w:pPr>
        <w:ind w:left="920" w:right="80" w:hanging="912"/>
        <w:spacing w:after="0" w:line="189"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24,477,676 Ordinary Shares and Etika received 23,517,767 Ordinary Shares, in each case from LGIL, following which, LGIL ceases to beneficially own more than 5% of the outstanding shares of the Issuer as of June 10, 2026 and is not a member of any group reporting beneficial ownership of securities of the Issuer. Accordingly, LGIL shall cease to be Reporting Person immediately after the filing of this Amendment No. 1.</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name, business address, present principal occupation or employment and citizenship of each of the executive</w:t>
      </w:r>
    </w:p>
    <w:p>
      <w:pPr>
        <w:spacing w:after="0" w:line="14" w:lineRule="exact"/>
        <w:rPr>
          <w:rFonts w:ascii="Times New Roman" w:cs="Times New Roman" w:eastAsia="Times New Roman" w:hAnsi="Times New Roman"/>
          <w:sz w:val="43"/>
          <w:szCs w:val="43"/>
          <w:color w:val="auto"/>
          <w:vertAlign w:val="subscript"/>
        </w:rPr>
      </w:pPr>
    </w:p>
    <w:p>
      <w:pPr>
        <w:ind w:left="920" w:right="40" w:hanging="912"/>
        <w:spacing w:after="0" w:line="237"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officers and directors of each of the Reporting Persons are set forth on Annex A hereto and are incorporated herein by reference.</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business address, present principal occupation or employment and citizenship of each of the executive</w:t>
      </w:r>
    </w:p>
    <w:p>
      <w:pPr>
        <w:spacing w:after="0" w:line="14" w:lineRule="exact"/>
        <w:rPr>
          <w:rFonts w:ascii="Times New Roman" w:cs="Times New Roman" w:eastAsia="Times New Roman" w:hAnsi="Times New Roman"/>
          <w:sz w:val="22"/>
          <w:szCs w:val="22"/>
          <w:color w:val="auto"/>
        </w:rPr>
      </w:pPr>
    </w:p>
    <w:p>
      <w:pPr>
        <w:ind w:left="920" w:right="40" w:hanging="912"/>
        <w:spacing w:after="0" w:line="237"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officers and directors of each of the Reporting Persons are set forth on Annex A hereto and are incorporated herein by reference.</w:t>
      </w:r>
    </w:p>
    <w:p>
      <w:pPr>
        <w:spacing w:after="0" w:line="16" w:lineRule="exact"/>
        <w:rPr>
          <w:rFonts w:ascii="Times New Roman" w:cs="Times New Roman" w:eastAsia="Times New Roman" w:hAnsi="Times New Roman"/>
          <w:sz w:val="22"/>
          <w:szCs w:val="22"/>
          <w:color w:val="auto"/>
        </w:rPr>
      </w:pPr>
    </w:p>
    <w:p>
      <w:pPr>
        <w:ind w:left="920" w:right="220" w:hanging="912"/>
        <w:spacing w:after="0" w:line="208"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During the last five years, none of the Reporting Persons and, to the best of their knowledge, none of the Covered Persons has been convicted in any criminal proceedings (excluding traffic violations or similar misdemeanors). During the last five years, none of the Reporting Persons and, to the best of their knowledge, none of the Covered Persons has been a party to a civil proceeding of a judicial or administrative body of competent jurisdiction and as a</w:t>
      </w:r>
    </w:p>
    <w:p>
      <w:pPr>
        <w:spacing w:after="0" w:line="3" w:lineRule="exact"/>
        <w:rPr>
          <w:rFonts w:ascii="Times New Roman" w:cs="Times New Roman" w:eastAsia="Times New Roman" w:hAnsi="Times New Roman"/>
          <w:sz w:val="42"/>
          <w:szCs w:val="42"/>
          <w:color w:val="auto"/>
          <w:vertAlign w:val="subscript"/>
        </w:rPr>
      </w:pPr>
    </w:p>
    <w:p>
      <w:pPr>
        <w:ind w:left="920" w:right="220" w:hanging="912"/>
        <w:spacing w:after="0" w:line="235"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business address, present principal occupation or employment and citizenship of each of the executive</w:t>
      </w:r>
    </w:p>
    <w:p>
      <w:pPr>
        <w:spacing w:after="0" w:line="14" w:lineRule="exact"/>
        <w:rPr>
          <w:rFonts w:ascii="Times New Roman" w:cs="Times New Roman" w:eastAsia="Times New Roman" w:hAnsi="Times New Roman"/>
          <w:sz w:val="22"/>
          <w:szCs w:val="22"/>
          <w:color w:val="auto"/>
        </w:rPr>
      </w:pPr>
    </w:p>
    <w:p>
      <w:pPr>
        <w:ind w:left="920" w:right="40" w:hanging="912"/>
        <w:spacing w:after="0" w:line="237"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officers and directors of each of the Reporting Persons are set forth on Annex A hereto and are incorporated herein by reference.</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0"/>
        <w:spacing w:after="0" w:line="246" w:lineRule="auto"/>
        <w:rPr>
          <w:sz w:val="20"/>
          <w:szCs w:val="20"/>
          <w:color w:val="auto"/>
        </w:rPr>
      </w:pPr>
      <w:r>
        <w:rPr>
          <w:rFonts w:ascii="Times New Roman" w:cs="Times New Roman" w:eastAsia="Times New Roman" w:hAnsi="Times New Roman"/>
          <w:sz w:val="21"/>
          <w:szCs w:val="21"/>
          <w:color w:val="auto"/>
        </w:rPr>
        <w:t>Item 3 is hereby amended and supplemented by adding the following at the end: On January 31, 2023, the Issuer entered into a put option agreement with each of Geely HK and Etika (the "Put Option Agreements"), pursuant to which each of Geely HK and Etika is granted the right to require the Issuer to purchase all of the equity interests held by each of Geely HK and Etika in Lotus Advance Technologies Sdn. Bhd. On April 14, 2025, Geely HK exercised its put option, requiring the Issuer to purchase 51% of the equity interests in Lotus Advance Technologies Sdn. Bhd. On June 30, 2025, Etika also exercised its put option, requiring the Issuer to purchase 49% of the equity interests in Lotus Advance Technologies Sdn. Bhd. In connection with the closing of the transactions contemplated by the Put Option Agreements and upon the final settlement of such put options, Geely HK received 24,477,676 Ordinary Shares of the Issuer and Etika received 23,517,767 Ordinary Shares of the Issuer on June 10, 2026, in each case from LGIL.</w:t>
      </w:r>
    </w:p>
    <w:p>
      <w:pPr>
        <w:spacing w:after="0" w:line="1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60"/>
        <w:spacing w:after="0" w:line="244" w:lineRule="auto"/>
        <w:rPr>
          <w:sz w:val="20"/>
          <w:szCs w:val="20"/>
          <w:color w:val="auto"/>
        </w:rPr>
      </w:pPr>
      <w:r>
        <w:rPr>
          <w:rFonts w:ascii="Times New Roman" w:cs="Times New Roman" w:eastAsia="Times New Roman" w:hAnsi="Times New Roman"/>
          <w:sz w:val="22"/>
          <w:szCs w:val="22"/>
          <w:color w:val="auto"/>
        </w:rPr>
        <w:t>The information set forth in Item 3 is hereby incorporated by reference in its entirety. Except as set forth herein, the Reporting Persons do not have any present plans or proposals which relate to or would result in any of the transactions of this Item 4.</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responses to Rows (11) and (13) of the cover pages of this Schedule 13D.</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responses to Rows (7) through (10) of the cover pages of this Schedule 13D.</w:t>
      </w:r>
    </w:p>
    <w:p>
      <w:pPr>
        <w:spacing w:after="0" w:line="44" w:lineRule="exact"/>
        <w:rPr>
          <w:rFonts w:ascii="Times New Roman" w:cs="Times New Roman" w:eastAsia="Times New Roman" w:hAnsi="Times New Roman"/>
          <w:sz w:val="22"/>
          <w:szCs w:val="22"/>
          <w:color w:val="auto"/>
        </w:rPr>
      </w:pPr>
    </w:p>
    <w:p>
      <w:pPr>
        <w:ind w:left="920" w:right="4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as described in this Schedule 13D, none of the Reporting Persons and, to the best of their knowledge, none of the Covered Persons, has effected any transactions in the Ordinary Shares of the Issuer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80"/>
        <w:spacing w:after="0" w:line="238" w:lineRule="auto"/>
        <w:rPr>
          <w:sz w:val="20"/>
          <w:szCs w:val="20"/>
          <w:color w:val="auto"/>
        </w:rPr>
      </w:pPr>
      <w:r>
        <w:rPr>
          <w:rFonts w:ascii="Times New Roman" w:cs="Times New Roman" w:eastAsia="Times New Roman" w:hAnsi="Times New Roman"/>
          <w:sz w:val="22"/>
          <w:szCs w:val="22"/>
          <w:color w:val="auto"/>
        </w:rPr>
        <w:t>The information set forth in Item 3 is hereby incorporated by reference in its entirety. The Reporting Persons are parties to an agreement with respect to the joint filing of this Schedule 13D and any amendments thereto. A copy of such agreement is filed as Exhibit 1 to this Schedule 13D. Other than as described in this Schedule 13D, no contracts, arrangements, understandings or relationships exist with respect to the securities of the Issuer among or between the Reporting Persons or any other person or entity.</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Annex A *1 - Joint Filing Agreement dated February 13, 2026 by and among the Reporting Persons *2 - Subscription Agreement dated December 23, 2025 by and between the Issuer and ECARX Holdings Inc. (incorporated by reference to Exhibit 99.2 to the Issuer's Form 6-K filed with the Securities and Exchange Commission on December 29, 2025) * Previously filed.</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60"/>
          </w:cols>
          <w:pgMar w:left="360" w:top="111" w:right="379" w:bottom="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Eric Li (Li Shufu)</w:t>
      </w:r>
    </w:p>
    <w:p>
      <w:pPr>
        <w:spacing w:after="0" w:line="152"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Li (Li Shufu)</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Eric Li (Li Shufu)</w:t>
      </w:r>
    </w:p>
    <w:p>
      <w:pPr>
        <w:spacing w:after="0" w:line="44"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Lotus Advanced Technology Limited Partnership</w:t>
      </w:r>
    </w:p>
    <w:p>
      <w:pPr>
        <w:spacing w:after="0" w:line="152" w:lineRule="exact"/>
        <w:rPr>
          <w:sz w:val="20"/>
          <w:szCs w:val="20"/>
          <w:color w:val="auto"/>
        </w:rPr>
      </w:pPr>
    </w:p>
    <w:p>
      <w:pPr>
        <w:ind w:left="1760"/>
        <w:spacing w:after="0"/>
        <w:tabs>
          <w:tab w:leader="none" w:pos="2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Qingfeng Feng</w:t>
      </w:r>
    </w:p>
    <w:p>
      <w:pPr>
        <w:spacing w:after="0" w:line="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Name/Title: Qingfeng Feng</w:t>
      </w:r>
    </w:p>
    <w:p>
      <w:pPr>
        <w:spacing w:after="0" w:line="44" w:lineRule="exact"/>
        <w:rPr>
          <w:sz w:val="20"/>
          <w:szCs w:val="20"/>
          <w:color w:val="auto"/>
        </w:rPr>
      </w:pPr>
    </w:p>
    <w:p>
      <w:pPr>
        <w:ind w:left="1760"/>
        <w:spacing w:after="0"/>
        <w:tabs>
          <w:tab w:leader="none" w:pos="2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52"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22"/>
          <w:szCs w:val="22"/>
          <w:color w:val="auto"/>
        </w:rPr>
        <w:t>Lotus Technology International Investment Limited</w:t>
      </w:r>
    </w:p>
    <w:p>
      <w:pPr>
        <w:spacing w:after="0" w:line="152" w:lineRule="exact"/>
        <w:rPr>
          <w:sz w:val="20"/>
          <w:szCs w:val="20"/>
          <w:color w:val="auto"/>
        </w:rPr>
      </w:pPr>
    </w:p>
    <w:p>
      <w:pPr>
        <w:ind w:left="1460"/>
        <w:spacing w:after="0"/>
        <w:tabs>
          <w:tab w:leader="none" w:pos="2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Donghui Li</w:t>
      </w:r>
    </w:p>
    <w:p>
      <w:pPr>
        <w:spacing w:after="0" w:line="4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Name/Title: Donghui Li</w:t>
      </w:r>
    </w:p>
    <w:p>
      <w:pPr>
        <w:spacing w:after="0" w:line="44" w:lineRule="exact"/>
        <w:rPr>
          <w:sz w:val="20"/>
          <w:szCs w:val="20"/>
          <w:color w:val="auto"/>
        </w:rPr>
      </w:pPr>
    </w:p>
    <w:p>
      <w:pPr>
        <w:ind w:left="1460"/>
        <w:spacing w:after="0"/>
        <w:tabs>
          <w:tab w:leader="none" w:pos="2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5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Lotus Group International Limited</w:t>
      </w:r>
    </w:p>
    <w:p>
      <w:pPr>
        <w:spacing w:after="0" w:line="152" w:lineRule="exact"/>
        <w:rPr>
          <w:sz w:val="20"/>
          <w:szCs w:val="20"/>
          <w:color w:val="auto"/>
        </w:rPr>
      </w:pPr>
    </w:p>
    <w:p>
      <w:pPr>
        <w:ind w:left="1760"/>
        <w:spacing w:after="0"/>
        <w:tabs>
          <w:tab w:leader="none" w:pos="2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Qingfeng Feng</w:t>
      </w:r>
    </w:p>
    <w:p>
      <w:pPr>
        <w:spacing w:after="0" w:line="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Name/Title: Qingfeng Feng</w:t>
      </w:r>
    </w:p>
    <w:p>
      <w:pPr>
        <w:spacing w:after="0" w:line="44" w:lineRule="exact"/>
        <w:rPr>
          <w:sz w:val="20"/>
          <w:szCs w:val="20"/>
          <w:color w:val="auto"/>
        </w:rPr>
      </w:pPr>
    </w:p>
    <w:p>
      <w:pPr>
        <w:ind w:left="1760"/>
        <w:spacing w:after="0"/>
        <w:tabs>
          <w:tab w:leader="none" w:pos="2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ectPr>
          <w:pgSz w:w="11900" w:h="16838" w:orient="portrait"/>
          <w:cols w:equalWidth="0" w:num="1">
            <w:col w:w="9019"/>
          </w:cols>
          <w:pgMar w:left="1440" w:top="111"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Lotus Advanced Technology Limited Partnership</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names of the directors and the names and titles of the executive officers of Lotus Advanced Technology Limited Partnership and their principal occupations are set forth below. Except as stated otherwise below, the business address of the directors and executive officers is Sertus Chambers, P.O. Box 905, Quastisky Building, Road Town, Tortola, British Virgin Islands.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Position with Lotus</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Advanced Technology</w:t>
      </w:r>
    </w:p>
    <w:p>
      <w:pPr>
        <w:spacing w:after="0" w:line="2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14605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Present Principal</w:t>
      </w:r>
    </w:p>
    <w:p>
      <w:pPr>
        <w:spacing w:after="0" w:line="4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Occupation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Citizenship</w:t>
      </w:r>
    </w:p>
    <w:p>
      <w:pPr>
        <w:spacing w:after="0" w:line="43" w:lineRule="exact"/>
        <w:rPr>
          <w:sz w:val="20"/>
          <w:szCs w:val="20"/>
          <w:color w:val="auto"/>
        </w:rPr>
      </w:pPr>
    </w:p>
    <w:p>
      <w:pPr>
        <w:sectPr>
          <w:pgSz w:w="11900" w:h="16838" w:orient="portrait"/>
          <w:cols w:equalWidth="0" w:num="4">
            <w:col w:w="2720" w:space="720"/>
            <w:col w:w="2340" w:space="720"/>
            <w:col w:w="2300" w:space="720"/>
            <w:col w:w="1720"/>
          </w:cols>
          <w:pgMar w:left="320" w:top="11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Lotus Technology International Investment Limited</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names of the directors and the names and titles of the executive officers of Lotus Technology International Investment Limited and their principal occupations are set forth below. Except as stated otherwise below, the business address of the directors and executive officers is Craigmuir Chambers, Road Town, Tortola, VG 1110, British Virgin Islands.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Position with Lotus</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Present Principal</w:t>
            </w:r>
          </w:p>
        </w:tc>
        <w:tc>
          <w:tcPr>
            <w:tcW w:w="2580" w:type="dxa"/>
            <w:vAlign w:val="bottom"/>
          </w:tcPr>
          <w:p>
            <w:pPr>
              <w:spacing w:after="0"/>
              <w:rPr>
                <w:sz w:val="19"/>
                <w:szCs w:val="19"/>
                <w:color w:val="auto"/>
              </w:rPr>
            </w:pPr>
          </w:p>
        </w:tc>
      </w:t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Investment Limited</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Occupation</w:t>
            </w:r>
          </w:p>
        </w:tc>
        <w:tc>
          <w:tcPr>
            <w:tcW w:w="25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09"/>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18"/>
                <w:szCs w:val="18"/>
                <w:color w:val="auto"/>
              </w:rPr>
            </w:pPr>
          </w:p>
        </w:tc>
      </w:tr>
      <w:tr>
        <w:trPr>
          <w:trHeight w:val="257"/>
        </w:trPr>
        <w:tc>
          <w:tcPr>
            <w:tcW w:w="294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Donghui Li</w:t>
            </w:r>
            <w:r>
              <w:rPr>
                <w:rFonts w:ascii="Times New Roman" w:cs="Times New Roman" w:eastAsia="Times New Roman" w:hAnsi="Times New Roman"/>
                <w:sz w:val="29"/>
                <w:szCs w:val="29"/>
                <w:color w:val="auto"/>
                <w:vertAlign w:val="superscript"/>
              </w:rPr>
              <w:t>(1)</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Vice Chairman of Geely</w:t>
            </w:r>
          </w:p>
        </w:tc>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Chinese</w:t>
            </w:r>
          </w:p>
        </w:tc>
      </w:tr>
      <w:tr>
        <w:trPr>
          <w:trHeight w:val="216"/>
        </w:trPr>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Holding Group</w:t>
            </w:r>
          </w:p>
        </w:tc>
        <w:tc>
          <w:tcPr>
            <w:tcW w:w="2580" w:type="dxa"/>
            <w:vAlign w:val="bottom"/>
            <w:shd w:val="clear" w:color="auto" w:fill="CCEEFF"/>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2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business address of Donghui Li is No. 1760 Jiangling Road, Binjiang District, Hangzhou, Zhejiang,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Lotus Group International Limited</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names of the directors and the names and titles of the executive officers of Lotus Group International Limited and their principal occupations are set forth below. Except as stated otherwise below, the business address of the directors and executive officers is Potash Lane, Hethel, Norwich, Norfolk, NR14 8EZ, England.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 with Lotus</w:t>
            </w:r>
          </w:p>
        </w:tc>
        <w:tc>
          <w:tcPr>
            <w:tcW w:w="2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Group International</w:t>
            </w:r>
          </w:p>
        </w:tc>
        <w:tc>
          <w:tcPr>
            <w:tcW w:w="220" w:type="dxa"/>
            <w:vAlign w:val="bottom"/>
          </w:tcPr>
          <w:p>
            <w:pPr>
              <w:spacing w:after="0"/>
              <w:rPr>
                <w:sz w:val="18"/>
                <w:szCs w:val="18"/>
                <w:color w:val="auto"/>
              </w:rPr>
            </w:pPr>
          </w:p>
        </w:tc>
        <w:tc>
          <w:tcPr>
            <w:tcW w:w="4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Present Principal</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Limited</w:t>
            </w:r>
          </w:p>
        </w:tc>
        <w:tc>
          <w:tcPr>
            <w:tcW w:w="220" w:type="dxa"/>
            <w:vAlign w:val="bottom"/>
          </w:tcPr>
          <w:p>
            <w:pPr>
              <w:spacing w:after="0"/>
              <w:rPr>
                <w:sz w:val="20"/>
                <w:szCs w:val="20"/>
                <w:color w:val="auto"/>
              </w:rPr>
            </w:pPr>
          </w:p>
        </w:tc>
        <w:tc>
          <w:tcPr>
            <w:tcW w:w="4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Occupation</w:t>
            </w: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0" w:type="dxa"/>
            <w:vAlign w:val="bottom"/>
          </w:tcPr>
          <w:p>
            <w:pPr>
              <w:spacing w:after="0"/>
              <w:rPr>
                <w:sz w:val="1"/>
                <w:szCs w:val="1"/>
                <w:color w:val="auto"/>
              </w:rPr>
            </w:pPr>
          </w:p>
        </w:tc>
      </w:tr>
      <w:tr>
        <w:trPr>
          <w:trHeight w:val="195"/>
        </w:trPr>
        <w:tc>
          <w:tcPr>
            <w:tcW w:w="238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Director(s):</w:t>
            </w:r>
          </w:p>
        </w:tc>
        <w:tc>
          <w:tcPr>
            <w:tcW w:w="220" w:type="dxa"/>
            <w:vAlign w:val="bottom"/>
          </w:tcPr>
          <w:p>
            <w:pPr>
              <w:spacing w:after="0"/>
              <w:rPr>
                <w:sz w:val="16"/>
                <w:szCs w:val="16"/>
                <w:color w:val="auto"/>
              </w:rPr>
            </w:pPr>
          </w:p>
        </w:tc>
        <w:tc>
          <w:tcPr>
            <w:tcW w:w="2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600" w:type="dxa"/>
            <w:vAlign w:val="bottom"/>
            <w:gridSpan w:val="2"/>
          </w:tcPr>
          <w:p>
            <w:pPr>
              <w:spacing w:after="0" w:line="252" w:lineRule="exact"/>
              <w:rPr>
                <w:sz w:val="20"/>
                <w:szCs w:val="20"/>
                <w:color w:val="auto"/>
              </w:rPr>
            </w:pPr>
            <w:r>
              <w:rPr>
                <w:rFonts w:ascii="Times New Roman" w:cs="Times New Roman" w:eastAsia="Times New Roman" w:hAnsi="Times New Roman"/>
                <w:sz w:val="18"/>
                <w:szCs w:val="18"/>
                <w:color w:val="auto"/>
              </w:rPr>
              <w:t>Qingfeng Feng</w:t>
            </w:r>
            <w:r>
              <w:rPr>
                <w:rFonts w:ascii="Times New Roman" w:cs="Times New Roman" w:eastAsia="Times New Roman" w:hAnsi="Times New Roman"/>
                <w:sz w:val="29"/>
                <w:szCs w:val="29"/>
                <w:color w:val="auto"/>
                <w:vertAlign w:val="superscript"/>
              </w:rPr>
              <w:t>(1)</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Chinese</w:t>
            </w:r>
          </w:p>
        </w:tc>
        <w:tc>
          <w:tcPr>
            <w:tcW w:w="0" w:type="dxa"/>
            <w:vAlign w:val="bottom"/>
          </w:tcPr>
          <w:p>
            <w:pPr>
              <w:spacing w:after="0"/>
              <w:rPr>
                <w:sz w:val="1"/>
                <w:szCs w:val="1"/>
                <w:color w:val="auto"/>
              </w:rPr>
            </w:pPr>
          </w:p>
        </w:tc>
      </w:tr>
      <w:tr>
        <w:trPr>
          <w:trHeight w:val="234"/>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Quan Zhang</w:t>
            </w:r>
            <w:r>
              <w:rPr>
                <w:rFonts w:ascii="Times New Roman" w:cs="Times New Roman" w:eastAsia="Times New Roman" w:hAnsi="Times New Roman"/>
                <w:sz w:val="29"/>
                <w:szCs w:val="29"/>
                <w:color w:val="auto"/>
                <w:vertAlign w:val="superscript"/>
              </w:rPr>
              <w:t>(2)</w:t>
            </w:r>
          </w:p>
        </w:tc>
        <w:tc>
          <w:tcPr>
            <w:tcW w:w="2600" w:type="dxa"/>
            <w:vAlign w:val="bottom"/>
          </w:tcPr>
          <w:p>
            <w:pPr>
              <w:spacing w:after="0"/>
              <w:rPr>
                <w:sz w:val="20"/>
                <w:szCs w:val="20"/>
                <w:color w:val="auto"/>
              </w:rPr>
            </w:pP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 of Lotus Technology Inc.</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600" w:type="dxa"/>
            <w:vAlign w:val="bottom"/>
            <w:gridSpan w:val="2"/>
            <w:vMerge w:val="continue"/>
          </w:tcPr>
          <w:p>
            <w:pPr>
              <w:spacing w:after="0"/>
              <w:rPr>
                <w:sz w:val="20"/>
                <w:szCs w:val="20"/>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Financial Officer of Geely</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Chinese</w:t>
            </w:r>
          </w:p>
        </w:tc>
        <w:tc>
          <w:tcPr>
            <w:tcW w:w="0" w:type="dxa"/>
            <w:vAlign w:val="bottom"/>
          </w:tcPr>
          <w:p>
            <w:pPr>
              <w:spacing w:after="0"/>
              <w:rPr>
                <w:sz w:val="1"/>
                <w:szCs w:val="1"/>
                <w:color w:val="auto"/>
              </w:rPr>
            </w:pPr>
          </w:p>
        </w:tc>
      </w:tr>
      <w:tr>
        <w:trPr>
          <w:trHeight w:val="216"/>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Yuan Shen</w:t>
            </w:r>
            <w:r>
              <w:rPr>
                <w:rFonts w:ascii="Times New Roman" w:cs="Times New Roman" w:eastAsia="Times New Roman" w:hAnsi="Times New Roman"/>
                <w:sz w:val="29"/>
                <w:szCs w:val="29"/>
                <w:color w:val="auto"/>
                <w:vertAlign w:val="superscript"/>
              </w:rPr>
              <w:t>(3)</w:t>
            </w:r>
          </w:p>
        </w:tc>
        <w:tc>
          <w:tcPr>
            <w:tcW w:w="2600" w:type="dxa"/>
            <w:vAlign w:val="bottom"/>
          </w:tcPr>
          <w:p>
            <w:pPr>
              <w:spacing w:after="0"/>
              <w:rPr>
                <w:sz w:val="18"/>
                <w:szCs w:val="18"/>
                <w:color w:val="auto"/>
              </w:rPr>
            </w:pP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Holding Group</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vMerge w:val="continue"/>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Technology Officer of</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Chinese</w:t>
            </w:r>
          </w:p>
        </w:tc>
        <w:tc>
          <w:tcPr>
            <w:tcW w:w="0" w:type="dxa"/>
            <w:vAlign w:val="bottom"/>
          </w:tcPr>
          <w:p>
            <w:pPr>
              <w:spacing w:after="0"/>
              <w:rPr>
                <w:sz w:val="1"/>
                <w:szCs w:val="1"/>
                <w:color w:val="auto"/>
              </w:rPr>
            </w:pPr>
          </w:p>
        </w:tc>
      </w:tr>
      <w:tr>
        <w:trPr>
          <w:trHeight w:val="216"/>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Amrin Bin Awaluddin</w:t>
            </w:r>
            <w:r>
              <w:rPr>
                <w:rFonts w:ascii="Times New Roman" w:cs="Times New Roman" w:eastAsia="Times New Roman" w:hAnsi="Times New Roman"/>
                <w:sz w:val="29"/>
                <w:szCs w:val="29"/>
                <w:color w:val="auto"/>
                <w:vertAlign w:val="superscript"/>
              </w:rPr>
              <w:t>(4)</w:t>
            </w:r>
          </w:p>
        </w:tc>
        <w:tc>
          <w:tcPr>
            <w:tcW w:w="2600" w:type="dxa"/>
            <w:vAlign w:val="bottom"/>
          </w:tcPr>
          <w:p>
            <w:pPr>
              <w:spacing w:after="0"/>
              <w:rPr>
                <w:sz w:val="18"/>
                <w:szCs w:val="18"/>
                <w:color w:val="auto"/>
              </w:rPr>
            </w:pP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Geely Holding Group</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vMerge w:val="continue"/>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Group Managing Director and</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Malaysian</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Executive Officer of</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Tradewinds Group (M) Sdn Bhd</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1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2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Matthew Nice</w:t>
            </w:r>
          </w:p>
        </w:tc>
        <w:tc>
          <w:tcPr>
            <w:tcW w:w="2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Director of</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spacing w:after="0"/>
              <w:rPr>
                <w:sz w:val="18"/>
                <w:szCs w:val="18"/>
                <w:color w:val="auto"/>
              </w:rPr>
            </w:pPr>
          </w:p>
        </w:tc>
        <w:tc>
          <w:tcPr>
            <w:tcW w:w="16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British</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Corporate Office</w:t>
            </w:r>
          </w:p>
        </w:tc>
        <w:tc>
          <w:tcPr>
            <w:tcW w:w="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David Careless</w:t>
            </w:r>
          </w:p>
        </w:tc>
        <w:tc>
          <w:tcPr>
            <w:tcW w:w="2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Director of</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spacing w:after="0"/>
              <w:rPr>
                <w:sz w:val="18"/>
                <w:szCs w:val="18"/>
                <w:color w:val="auto"/>
              </w:rPr>
            </w:pPr>
          </w:p>
        </w:tc>
        <w:tc>
          <w:tcPr>
            <w:tcW w:w="16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British</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Finance</w:t>
            </w:r>
          </w:p>
        </w:tc>
        <w:tc>
          <w:tcPr>
            <w:tcW w:w="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Carl Elston</w:t>
            </w:r>
          </w:p>
        </w:tc>
        <w:tc>
          <w:tcPr>
            <w:tcW w:w="2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Director of</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spacing w:after="0"/>
              <w:rPr>
                <w:sz w:val="18"/>
                <w:szCs w:val="18"/>
                <w:color w:val="auto"/>
              </w:rPr>
            </w:pPr>
          </w:p>
        </w:tc>
        <w:tc>
          <w:tcPr>
            <w:tcW w:w="16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British</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Quality</w:t>
            </w:r>
          </w:p>
        </w:tc>
        <w:tc>
          <w:tcPr>
            <w:tcW w:w="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Paul Tedstone</w:t>
            </w:r>
          </w:p>
        </w:tc>
        <w:tc>
          <w:tcPr>
            <w:tcW w:w="2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Director of</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spacing w:after="0"/>
              <w:rPr>
                <w:sz w:val="18"/>
                <w:szCs w:val="18"/>
                <w:color w:val="auto"/>
              </w:rPr>
            </w:pPr>
          </w:p>
        </w:tc>
        <w:tc>
          <w:tcPr>
            <w:tcW w:w="16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British</w:t>
            </w:r>
          </w:p>
        </w:tc>
        <w:tc>
          <w:tcPr>
            <w:tcW w:w="0" w:type="dxa"/>
            <w:vAlign w:val="bottom"/>
          </w:tcPr>
          <w:p>
            <w:pPr>
              <w:spacing w:after="0"/>
              <w:rPr>
                <w:sz w:val="1"/>
                <w:szCs w:val="1"/>
                <w:color w:val="auto"/>
              </w:rPr>
            </w:pPr>
          </w:p>
        </w:tc>
      </w:tr>
      <w:tr>
        <w:trPr>
          <w:trHeight w:val="216"/>
        </w:trPr>
        <w:tc>
          <w:tcPr>
            <w:tcW w:w="2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Jun Chen</w:t>
            </w:r>
            <w:r>
              <w:rPr>
                <w:rFonts w:ascii="Times New Roman" w:cs="Times New Roman" w:eastAsia="Times New Roman" w:hAnsi="Times New Roman"/>
                <w:sz w:val="29"/>
                <w:szCs w:val="29"/>
                <w:color w:val="auto"/>
                <w:vertAlign w:val="superscript"/>
              </w:rPr>
              <w:t>(5)</w:t>
            </w:r>
          </w:p>
        </w:tc>
        <w:tc>
          <w:tcPr>
            <w:tcW w:w="2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Supply</w:t>
            </w:r>
          </w:p>
        </w:tc>
        <w:tc>
          <w:tcPr>
            <w:tcW w:w="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vMerge w:val="continue"/>
          </w:tcPr>
          <w:p>
            <w:pPr>
              <w:spacing w:after="0"/>
              <w:rPr>
                <w:sz w:val="18"/>
                <w:szCs w:val="18"/>
                <w:color w:val="auto"/>
              </w:rPr>
            </w:pPr>
          </w:p>
        </w:tc>
        <w:tc>
          <w:tcPr>
            <w:tcW w:w="2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Chief Financial</w:t>
            </w:r>
          </w:p>
        </w:tc>
        <w:tc>
          <w:tcPr>
            <w:tcW w:w="680" w:type="dxa"/>
            <w:vAlign w:val="bottom"/>
          </w:tcPr>
          <w:p>
            <w:pPr>
              <w:spacing w:after="0"/>
              <w:rPr>
                <w:sz w:val="18"/>
                <w:szCs w:val="18"/>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Controller of Lotus</w:t>
            </w:r>
          </w:p>
        </w:tc>
        <w:tc>
          <w:tcPr>
            <w:tcW w:w="16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6"/>
              </w:rPr>
              <w:t>Chinese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Officer</w:t>
            </w:r>
          </w:p>
        </w:tc>
        <w:tc>
          <w:tcPr>
            <w:tcW w:w="680" w:type="dxa"/>
            <w:vAlign w:val="bottom"/>
          </w:tcPr>
          <w:p>
            <w:pPr>
              <w:spacing w:after="0"/>
              <w:rPr>
                <w:sz w:val="18"/>
                <w:szCs w:val="18"/>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Technology Inc.</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William Xing</w:t>
            </w:r>
          </w:p>
        </w:tc>
        <w:tc>
          <w:tcPr>
            <w:tcW w:w="2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Group Vice President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spacing w:after="0"/>
              <w:rPr>
                <w:sz w:val="18"/>
                <w:szCs w:val="18"/>
                <w:color w:val="auto"/>
              </w:rPr>
            </w:pPr>
          </w:p>
        </w:tc>
        <w:tc>
          <w:tcPr>
            <w:tcW w:w="16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6"/>
              </w:rPr>
              <w:t>Chinese</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2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of Human Resources</w:t>
            </w:r>
          </w:p>
        </w:tc>
        <w:tc>
          <w:tcPr>
            <w:tcW w:w="6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is the same as his/her position with Lotus Group International Limited.</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Qingfeng Feng is No. 800 Century Avenue, Pudong District, Shanghai, People’s Republic of China.</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Quan Zhang is No. 1760 Jiangling Road, Binjiang District, Hangzhou, Zhejiang, China.</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Yuan Shen is No. 1760 Jiangling Road, Binjiang District, Hangzhou, Zhejiang, China.</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Amrin Bin Awaluddin is Level 4C, No 88 Jalan Perdana, Taman Tasik Perdana, 50480 Kuala Lumpur, Malaysia.</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Jun Chen is No. 800 Century Avenue, Pudong District, Shanghai, People’s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2"/>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2026-06-12T16:12:53Z</dcterms:created>
  <dcterms:modified xsi:type="dcterms:W3CDTF">2026-06-12T16:12:53Z</dcterms:modified>
</cp:coreProperties>
</file>