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lot-20251231x20f.htm"/>
        <w:bookmarkStart w:id="1" w:name="kslot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307" w:before="0" w:after="160"/>
        <w:ind w:left="0" w:right="0" w:hanging="288"/>
        <w:jc w:val="center"/>
        <w:rPr/>
      </w:pPr>
      <w:r>
        <w:rPr/>
        <w:t>​</w:t>
      </w:r>
    </w:p>
    <w:p>
      <w:pPr>
        <w:pStyle w:val="TextBody"/>
        <w:pBdr>
          <w:top w:val="single" w:sz="24" w:space="1" w:color="000000"/>
          <w:bottom w:val="single" w:sz="8" w:space="1" w:color="000000"/>
        </w:pBdr>
        <w:bidi w:val="0"/>
        <w:spacing w:lineRule="auto" w:line="307" w:before="0" w:after="160"/>
        <w:ind w:left="0" w:right="0" w:hanging="0"/>
        <w:jc w:val="left"/>
        <w:rPr/>
      </w:pPr>
      <w:r>
        <w:rPr/>
        <w:t>​</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bookmarkStart w:id="2" w:name="_6d91dfa5_7dab_402f_a98d_e5683abf9a68"/>
      <w:bookmarkEnd w:id="2"/>
      <w:r>
        <w:rPr>
          <w:rFonts w:ascii="Times New Roman;Times;serif" w:hAnsi="Times New Roman;Times;serif"/>
          <w:b/>
          <w:sz w:val="18"/>
        </w:rPr>
        <w:t>UNITED STATES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FORM 20-F</w:t>
      </w:r>
    </w:p>
    <w:p>
      <w:pPr>
        <w:pStyle w:val="TextBody"/>
        <w:bidi w:val="0"/>
        <w:spacing w:lineRule="auto" w:line="285" w:before="0" w:after="100"/>
        <w:ind w:left="0" w:right="0" w:hanging="0"/>
        <w:jc w:val="left"/>
        <w:rPr>
          <w:rFonts w:ascii="Times New Roman;Times;serif" w:hAnsi="Times New Roman;Times;serif"/>
          <w:b/>
          <w:sz w:val="18"/>
        </w:rPr>
      </w:pPr>
      <w:r>
        <w:rPr>
          <w:rFonts w:ascii="Times New Roman;Times;serif" w:hAnsi="Times New Roman;Times;serif"/>
          <w:b/>
          <w:sz w:val="18"/>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100"/>
              <w:jc w:val="left"/>
              <w:rPr/>
            </w:pPr>
            <w:r>
              <w:rPr/>
              <w:t>☐</w:t>
            </w:r>
          </w:p>
        </w:tc>
        <w:tc>
          <w:tcPr>
            <w:tcW w:w="9874" w:type="dxa"/>
            <w:tcBorders/>
            <w:vAlign w:val="center"/>
          </w:tcPr>
          <w:p>
            <w:pPr>
              <w:pStyle w:val="TableContents"/>
              <w:bidi w:val="0"/>
              <w:spacing w:lineRule="auto" w:line="285" w:before="0" w:after="100"/>
              <w:jc w:val="left"/>
              <w:rPr>
                <w:rFonts w:ascii="Times New Roman;Times;serif" w:hAnsi="Times New Roman;Times;serif"/>
                <w:b/>
                <w:sz w:val="18"/>
              </w:rPr>
            </w:pPr>
            <w:r>
              <w:rPr>
                <w:rFonts w:ascii="Times New Roman;Times;serif" w:hAnsi="Times New Roman;Times;serif"/>
                <w:b/>
                <w:sz w:val="18"/>
              </w:rPr>
              <w:t>REGISTRATION STATEMENT PURSUANT TO SECTION 12(b) OR 12(g) OF THE SECURITIES EXCHANGE ACT OF 1934</w:t>
            </w:r>
          </w:p>
        </w:tc>
      </w:tr>
    </w:tbl>
    <w:p>
      <w:pPr>
        <w:pStyle w:val="TextBody"/>
        <w:bidi w:val="0"/>
        <w:spacing w:lineRule="auto" w:line="285" w:before="0" w:after="10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422" w:type="dxa"/>
        <w:jc w:val="left"/>
        <w:tblInd w:w="0" w:type="dxa"/>
        <w:tblLayout w:type="fixed"/>
        <w:tblCellMar>
          <w:top w:w="0" w:type="dxa"/>
          <w:left w:w="0" w:type="dxa"/>
          <w:bottom w:w="0" w:type="dxa"/>
          <w:right w:w="0" w:type="dxa"/>
        </w:tblCellMar>
      </w:tblPr>
      <w:tblGrid>
        <w:gridCol w:w="331"/>
        <w:gridCol w:w="9091"/>
      </w:tblGrid>
      <w:tr>
        <w:trPr/>
        <w:tc>
          <w:tcPr>
            <w:tcW w:w="331" w:type="dxa"/>
            <w:tcBorders/>
            <w:vAlign w:val="center"/>
          </w:tcPr>
          <w:p>
            <w:pPr>
              <w:pStyle w:val="TableContents"/>
              <w:bidi w:val="0"/>
              <w:spacing w:lineRule="auto" w:line="285" w:before="0" w:after="0"/>
              <w:jc w:val="left"/>
              <w:rPr/>
            </w:pPr>
            <w:r>
              <w:rPr/>
              <w:t>☒</w:t>
            </w:r>
          </w:p>
        </w:tc>
        <w:tc>
          <w:tcPr>
            <w:tcW w:w="9091" w:type="dxa"/>
            <w:tcBorders/>
            <w:vAlign w:val="center"/>
          </w:tcPr>
          <w:p>
            <w:pPr>
              <w:pStyle w:val="TableContents"/>
              <w:bidi w:val="0"/>
              <w:spacing w:lineRule="auto" w:line="285" w:before="0" w:after="0"/>
              <w:jc w:val="left"/>
              <w:rPr>
                <w:rFonts w:ascii="Times New Roman;Times;serif" w:hAnsi="Times New Roman;Times;serif"/>
                <w:b/>
                <w:sz w:val="18"/>
              </w:rPr>
            </w:pPr>
            <w:r>
              <w:rPr>
                <w:rFonts w:ascii="Times New Roman;Times;serif" w:hAnsi="Times New Roman;Times;serif"/>
                <w:b/>
                <w:sz w:val="18"/>
              </w:rPr>
              <w:t>ANNUAL REPORT PURSUANT TO SECTION 13 OR 15 (d) OF THE SECURITIES EXCHANGE ACT OF 1934</w:t>
            </w:r>
          </w:p>
        </w:tc>
      </w:tr>
    </w:tbl>
    <w:p>
      <w:pPr>
        <w:pStyle w:val="TextBody"/>
        <w:pBdr/>
        <w:bidi w:val="0"/>
        <w:spacing w:lineRule="auto" w:line="285" w:before="0" w:after="100"/>
        <w:ind w:left="360" w:right="0" w:hanging="360"/>
        <w:jc w:val="left"/>
        <w:rPr>
          <w:rFonts w:ascii="Times New Roman;Times;serif" w:hAnsi="Times New Roman;Times;serif"/>
          <w:b/>
          <w:sz w:val="18"/>
        </w:rPr>
      </w:pPr>
      <w:r>
        <w:rPr>
          <w:rFonts w:ascii="Times New Roman;Times;serif" w:hAnsi="Times New Roman;Times;serif"/>
          <w:b/>
          <w:sz w:val="18"/>
        </w:rPr>
        <w:t>For the fiscal year ended December 31, 2025</w:t>
      </w:r>
    </w:p>
    <w:p>
      <w:pPr>
        <w:pStyle w:val="TextBody"/>
        <w:bidi w:val="0"/>
        <w:spacing w:lineRule="auto" w:line="285" w:before="0" w:after="10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lineRule="auto" w:line="285" w:before="0" w:after="0"/>
              <w:jc w:val="left"/>
              <w:rPr/>
            </w:pPr>
            <w:r>
              <w:rPr/>
              <w:t>☐</w:t>
            </w:r>
          </w:p>
        </w:tc>
        <w:tc>
          <w:tcPr>
            <w:tcW w:w="9466" w:type="dxa"/>
            <w:tcBorders/>
            <w:vAlign w:val="center"/>
          </w:tcPr>
          <w:p>
            <w:pPr>
              <w:pStyle w:val="TableContents"/>
              <w:bidi w:val="0"/>
              <w:spacing w:lineRule="auto" w:line="285" w:before="0" w:after="0"/>
              <w:jc w:val="left"/>
              <w:rPr>
                <w:rFonts w:ascii="Times New Roman;Times;serif" w:hAnsi="Times New Roman;Times;serif"/>
                <w:b/>
                <w:sz w:val="18"/>
              </w:rPr>
            </w:pPr>
            <w:r>
              <w:rPr>
                <w:rFonts w:ascii="Times New Roman;Times;serif" w:hAnsi="Times New Roman;Times;serif"/>
                <w:b/>
                <w:sz w:val="18"/>
              </w:rPr>
              <w:t>TRANSITION REPORT PURSUANT TO SECTION 13 OR 15 (d) OF THE SECURITIES EXCHANGE ACT OF 1934</w:t>
            </w:r>
          </w:p>
        </w:tc>
      </w:tr>
    </w:tbl>
    <w:p>
      <w:pPr>
        <w:pStyle w:val="TextBody"/>
        <w:pBdr/>
        <w:bidi w:val="0"/>
        <w:spacing w:lineRule="auto" w:line="285" w:before="0" w:after="100"/>
        <w:ind w:left="360" w:right="0" w:hanging="360"/>
        <w:jc w:val="left"/>
        <w:rPr>
          <w:rFonts w:ascii="Times New Roman;Times;serif" w:hAnsi="Times New Roman;Times;serif"/>
          <w:sz w:val="18"/>
        </w:rPr>
      </w:pPr>
      <w:r>
        <w:rPr>
          <w:rFonts w:ascii="Times New Roman;Times;serif" w:hAnsi="Times New Roman;Times;serif"/>
          <w:b/>
          <w:sz w:val="18"/>
        </w:rPr>
        <w:t>For the transition period from </w:t>
      </w:r>
      <w:r>
        <w:rPr>
          <w:rFonts w:ascii="Times New Roman;Times;serif" w:hAnsi="Times New Roman;Times;serif"/>
          <w:sz w:val="18"/>
        </w:rPr>
        <w:t>               </w:t>
      </w:r>
      <w:r>
        <w:rPr>
          <w:rFonts w:ascii="Times New Roman;Times;serif" w:hAnsi="Times New Roman;Times;serif"/>
          <w:b/>
          <w:sz w:val="18"/>
        </w:rPr>
        <w:t>to</w:t>
      </w:r>
    </w:p>
    <w:p>
      <w:pPr>
        <w:pStyle w:val="TextBody"/>
        <w:bidi w:val="0"/>
        <w:spacing w:lineRule="auto" w:line="285" w:before="0" w:after="10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172" w:type="dxa"/>
        <w:jc w:val="left"/>
        <w:tblInd w:w="0" w:type="dxa"/>
        <w:tblLayout w:type="fixed"/>
        <w:tblCellMar>
          <w:top w:w="0" w:type="dxa"/>
          <w:left w:w="0" w:type="dxa"/>
          <w:bottom w:w="0" w:type="dxa"/>
          <w:right w:w="0" w:type="dxa"/>
        </w:tblCellMar>
      </w:tblPr>
      <w:tblGrid>
        <w:gridCol w:w="331"/>
        <w:gridCol w:w="9841"/>
      </w:tblGrid>
      <w:tr>
        <w:trPr/>
        <w:tc>
          <w:tcPr>
            <w:tcW w:w="331" w:type="dxa"/>
            <w:tcBorders/>
            <w:vAlign w:val="center"/>
          </w:tcPr>
          <w:p>
            <w:pPr>
              <w:pStyle w:val="TableContents"/>
              <w:bidi w:val="0"/>
              <w:spacing w:lineRule="auto" w:line="285" w:before="0" w:after="0"/>
              <w:jc w:val="left"/>
              <w:rPr/>
            </w:pPr>
            <w:r>
              <w:rPr/>
              <w:t>☐</w:t>
            </w:r>
          </w:p>
        </w:tc>
        <w:tc>
          <w:tcPr>
            <w:tcW w:w="9841" w:type="dxa"/>
            <w:tcBorders/>
            <w:vAlign w:val="center"/>
          </w:tcPr>
          <w:p>
            <w:pPr>
              <w:pStyle w:val="TableContents"/>
              <w:bidi w:val="0"/>
              <w:spacing w:lineRule="auto" w:line="285" w:before="0" w:after="0"/>
              <w:jc w:val="left"/>
              <w:rPr>
                <w:rFonts w:ascii="Times New Roman;Times;serif" w:hAnsi="Times New Roman;Times;serif"/>
                <w:b/>
                <w:sz w:val="18"/>
              </w:rPr>
            </w:pPr>
            <w:r>
              <w:rPr>
                <w:rFonts w:ascii="Times New Roman;Times;serif" w:hAnsi="Times New Roman;Times;serif"/>
                <w:b/>
                <w:sz w:val="18"/>
              </w:rPr>
              <w:t>SHELL COMPANY REPORT PURSUANT TO SECTION 13 OR 15(d) OF THE SECURITIES EXCHANGE ACT OF 1934</w:t>
            </w:r>
          </w:p>
        </w:tc>
      </w:tr>
    </w:tbl>
    <w:p>
      <w:pPr>
        <w:pStyle w:val="TextBody"/>
        <w:bidi w:val="0"/>
        <w:spacing w:lineRule="auto" w:line="285" w:before="0" w:after="100"/>
        <w:ind w:left="360" w:right="0" w:hanging="0"/>
        <w:jc w:val="left"/>
        <w:rPr>
          <w:rFonts w:ascii="Times New Roman;Times;serif" w:hAnsi="Times New Roman;Times;serif"/>
          <w:b/>
          <w:sz w:val="18"/>
        </w:rPr>
      </w:pPr>
      <w:r>
        <w:rPr>
          <w:rFonts w:ascii="Times New Roman;Times;serif" w:hAnsi="Times New Roman;Times;serif"/>
          <w:b/>
          <w:sz w:val="18"/>
        </w:rPr>
        <w:t>Date of event requiring this shell company report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001-41970</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Lotus Technology Inc.</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(Translation of Registrant’s Name into English)</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(Jurisdiction of Incorporation or Organization)</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No. 800 Century Avenue</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Pudong District, Shanghai, People’s Republic of China</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Daxue Wang, Chief Financial Officer</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Email: ir@group-lotus.com</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No. 800 Century Avenue</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Pudong District, Shanghai, People’s Republic of China</w:t>
      </w:r>
    </w:p>
    <w:p>
      <w:pPr>
        <w:pStyle w:val="TextBody"/>
        <w:bidi w:val="0"/>
        <w:spacing w:lineRule="auto" w:line="285" w:before="0" w:after="240"/>
        <w:ind w:left="0" w:right="0" w:hanging="0"/>
        <w:jc w:val="center"/>
        <w:rPr>
          <w:rFonts w:ascii="Times New Roman;Times;serif" w:hAnsi="Times New Roman;Times;serif"/>
          <w:sz w:val="18"/>
        </w:rPr>
      </w:pPr>
      <w:r>
        <w:rPr>
          <w:rFonts w:ascii="Times New Roman;Times;serif" w:hAnsi="Times New Roman;Times;serif"/>
          <w:sz w:val="18"/>
        </w:rPr>
        <w:t>(Name, Telephone, Email and/or Facsimile Number and Address of Company Contact Person)</w:t>
      </w:r>
    </w:p>
    <w:p>
      <w:pPr>
        <w:pStyle w:val="TextBody"/>
        <w:bidi w:val="0"/>
        <w:spacing w:lineRule="auto" w:line="285" w:before="0" w:after="100"/>
        <w:ind w:left="0" w:right="0" w:hanging="0"/>
        <w:jc w:val="both"/>
        <w:rPr>
          <w:rFonts w:ascii="Times New Roman;Times;serif" w:hAnsi="Times New Roman;Times;serif"/>
          <w:sz w:val="18"/>
        </w:rPr>
      </w:pPr>
      <w:r>
        <w:rPr>
          <w:rFonts w:ascii="Times New Roman;Times;serif" w:hAnsi="Times New Roman;Times;serif"/>
          <w:sz w:val="18"/>
        </w:rPr>
        <w:t>Securities registered or to be registered pursuant to Section 12 (b) of the Act:</w:t>
      </w:r>
    </w:p>
    <w:p>
      <w:pPr>
        <w:pStyle w:val="Normal"/>
        <w:bidi w:val="0"/>
        <w:spacing w:before="0" w:after="0"/>
        <w:jc w:val="left"/>
        <w:rPr>
          <w:sz w:val="4"/>
          <w:szCs w:val="4"/>
        </w:rPr>
      </w:pPr>
      <w:r>
        <w:rPr>
          <w:sz w:val="4"/>
          <w:szCs w:val="4"/>
        </w:rPr>
      </w:r>
      <w:bookmarkStart w:id="3" w:name="Tc_k73Ce0x9qU-FnKzia_pN3A_3_4"/>
      <w:bookmarkStart w:id="4" w:name="Tc_JnzacxxoHkWLe3xZNNcMsw_2_4"/>
      <w:bookmarkStart w:id="5" w:name="Tc_MlTpXeEgVECwUXfYdr2M-A_1_4"/>
      <w:bookmarkStart w:id="6" w:name="Tc_MTetS-rAL0CWOIYA9UmMlg_1_2"/>
      <w:bookmarkStart w:id="7" w:name="Tc_nvpSkD5SYUCBJAeL68rTkg_1_0"/>
      <w:bookmarkStart w:id="8" w:name="_db9acb5b_60e4_478d_a94b_145f78b1acff"/>
      <w:bookmarkStart w:id="9" w:name="Tc_k73Ce0x9qU-FnKzia_pN3A_3_4"/>
      <w:bookmarkStart w:id="10" w:name="Tc_JnzacxxoHkWLe3xZNNcMsw_2_4"/>
      <w:bookmarkStart w:id="11" w:name="Tc_MlTpXeEgVECwUXfYdr2M-A_1_4"/>
      <w:bookmarkStart w:id="12" w:name="Tc_MTetS-rAL0CWOIYA9UmMlg_1_2"/>
      <w:bookmarkStart w:id="13" w:name="Tc_nvpSkD5SYUCBJAeL68rTkg_1_0"/>
      <w:bookmarkStart w:id="14" w:name="_db9acb5b_60e4_478d_a94b_145f78b1acff"/>
      <w:bookmarkEnd w:id="9"/>
      <w:bookmarkEnd w:id="10"/>
      <w:bookmarkEnd w:id="11"/>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5671"/>
        <w:gridCol w:w="346"/>
        <w:gridCol w:w="1066"/>
        <w:gridCol w:w="346"/>
        <w:gridCol w:w="2776"/>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76" w:type="dxa"/>
            <w:tcBorders/>
            <w:vAlign w:val="center"/>
          </w:tcPr>
          <w:p>
            <w:pPr>
              <w:pStyle w:val="TableContents"/>
              <w:bidi w:val="0"/>
              <w:spacing w:before="0" w:after="283"/>
              <w:ind w:left="0" w:right="0" w:hanging="0"/>
              <w:jc w:val="left"/>
              <w:rPr>
                <w:sz w:val="4"/>
                <w:szCs w:val="4"/>
              </w:rPr>
            </w:pPr>
            <w:r>
              <w:rPr>
                <w:sz w:val="4"/>
                <w:szCs w:val="4"/>
              </w:rPr>
            </w:r>
          </w:p>
        </w:tc>
      </w:tr>
      <w:tr>
        <w:trPr/>
        <w:tc>
          <w:tcPr>
            <w:tcW w:w="5671"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lineRule="auto" w:line="285" w:before="0" w:after="0"/>
              <w:ind w:left="0" w:right="0" w:hanging="0"/>
              <w:jc w:val="left"/>
              <w:rPr/>
            </w:pPr>
            <w:r>
              <w:rPr/>
              <w:t>  ​ ​ ​</w:t>
            </w:r>
          </w:p>
        </w:tc>
        <w:tc>
          <w:tcPr>
            <w:tcW w:w="106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46" w:type="dxa"/>
            <w:tcBorders/>
            <w:vAlign w:val="center"/>
          </w:tcPr>
          <w:p>
            <w:pPr>
              <w:pStyle w:val="TableContents"/>
              <w:bidi w:val="0"/>
              <w:spacing w:lineRule="auto" w:line="285" w:before="0" w:after="0"/>
              <w:ind w:left="0" w:right="0" w:hanging="0"/>
              <w:jc w:val="left"/>
              <w:rPr/>
            </w:pPr>
            <w:r>
              <w:rPr/>
              <w:t>  ​ ​ ​</w:t>
            </w:r>
          </w:p>
        </w:tc>
        <w:tc>
          <w:tcPr>
            <w:tcW w:w="277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5671"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14"/>
              </w:rPr>
              <w:t>American depositary shares (each representing one</w:t>
            </w:r>
            <w:r>
              <w:rPr>
                <w:rFonts w:ascii="Times New Roman;Times;serif" w:hAnsi="Times New Roman;Times;serif"/>
                <w:sz w:val="22"/>
              </w:rPr>
              <w:t xml:space="preserve"> </w:t>
            </w:r>
            <w:r>
              <w:rPr>
                <w:rFonts w:ascii="Times New Roman;Times;serif" w:hAnsi="Times New Roman;Times;serif"/>
                <w:sz w:val="14"/>
              </w:rPr>
              <w:t>ordinary share, par value US$0.00001 per share)</w:t>
            </w:r>
          </w:p>
        </w:tc>
        <w:tc>
          <w:tcPr>
            <w:tcW w:w="346" w:type="dxa"/>
            <w:tcBorders/>
            <w:vAlign w:val="center"/>
          </w:tcPr>
          <w:p>
            <w:pPr>
              <w:pStyle w:val="TableContents"/>
              <w:bidi w:val="0"/>
              <w:spacing w:lineRule="auto" w:line="307" w:before="0" w:after="160"/>
              <w:ind w:left="0" w:right="0" w:hanging="0"/>
              <w:jc w:val="left"/>
              <w:rPr/>
            </w:pPr>
            <w:r>
              <w:rPr/>
              <w:t>​</w:t>
            </w:r>
          </w:p>
        </w:tc>
        <w:tc>
          <w:tcPr>
            <w:tcW w:w="1066"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LOT</w:t>
            </w:r>
          </w:p>
        </w:tc>
        <w:tc>
          <w:tcPr>
            <w:tcW w:w="346" w:type="dxa"/>
            <w:tcBorders/>
            <w:vAlign w:val="center"/>
          </w:tcPr>
          <w:p>
            <w:pPr>
              <w:pStyle w:val="TableContents"/>
              <w:bidi w:val="0"/>
              <w:spacing w:lineRule="auto" w:line="307" w:before="0" w:after="160"/>
              <w:ind w:left="0" w:right="0" w:hanging="0"/>
              <w:jc w:val="left"/>
              <w:rPr/>
            </w:pPr>
            <w:r>
              <w:rPr/>
              <w:t>​</w:t>
            </w:r>
          </w:p>
        </w:tc>
        <w:tc>
          <w:tcPr>
            <w:tcW w:w="2776"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14"/>
              </w:rPr>
              <w:t>The Nasdaq</w:t>
            </w:r>
            <w:r>
              <w:rPr>
                <w:rFonts w:ascii="Times New Roman;Times;serif" w:hAnsi="Times New Roman;Times;serif"/>
                <w:sz w:val="22"/>
              </w:rPr>
              <w:t xml:space="preserve"> </w:t>
            </w:r>
            <w:r>
              <w:rPr>
                <w:rFonts w:ascii="Times New Roman;Times;serif" w:hAnsi="Times New Roman;Times;serif"/>
                <w:sz w:val="14"/>
              </w:rPr>
              <w:t>Stock Market LLC</w:t>
            </w:r>
          </w:p>
        </w:tc>
      </w:tr>
      <w:tr>
        <w:trPr/>
        <w:tc>
          <w:tcPr>
            <w:tcW w:w="5671" w:type="dxa"/>
            <w:tcBorders/>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Warrants</w:t>
            </w:r>
          </w:p>
        </w:tc>
        <w:tc>
          <w:tcPr>
            <w:tcW w:w="346" w:type="dxa"/>
            <w:tcBorders/>
            <w:vAlign w:val="center"/>
          </w:tcPr>
          <w:p>
            <w:pPr>
              <w:pStyle w:val="TableContents"/>
              <w:bidi w:val="0"/>
              <w:spacing w:lineRule="auto" w:line="307" w:before="0" w:after="160"/>
              <w:ind w:left="0" w:right="0" w:hanging="0"/>
              <w:jc w:val="left"/>
              <w:rPr/>
            </w:pPr>
            <w:r>
              <w:rPr/>
              <w:t>​</w:t>
            </w:r>
          </w:p>
        </w:tc>
        <w:tc>
          <w:tcPr>
            <w:tcW w:w="1066" w:type="dxa"/>
            <w:tcBorders/>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LOTWW</w:t>
            </w:r>
          </w:p>
        </w:tc>
        <w:tc>
          <w:tcPr>
            <w:tcW w:w="346" w:type="dxa"/>
            <w:tcBorders/>
            <w:vAlign w:val="center"/>
          </w:tcPr>
          <w:p>
            <w:pPr>
              <w:pStyle w:val="TableContents"/>
              <w:bidi w:val="0"/>
              <w:spacing w:lineRule="auto" w:line="307" w:before="0" w:after="160"/>
              <w:ind w:left="0" w:right="0" w:hanging="0"/>
              <w:jc w:val="left"/>
              <w:rPr/>
            </w:pPr>
            <w:r>
              <w:rPr/>
              <w:t>​</w:t>
            </w:r>
          </w:p>
        </w:tc>
        <w:tc>
          <w:tcPr>
            <w:tcW w:w="2776" w:type="dxa"/>
            <w:tcBorders/>
            <w:vAlign w:val="center"/>
          </w:tcPr>
          <w:p>
            <w:pPr>
              <w:pStyle w:val="TableContents"/>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14"/>
              </w:rPr>
              <w:t>The Nasdaq</w:t>
            </w:r>
            <w:r>
              <w:rPr>
                <w:rFonts w:ascii="Times New Roman;Times;serif" w:hAnsi="Times New Roman;Times;serif"/>
                <w:sz w:val="22"/>
              </w:rPr>
              <w:t xml:space="preserve"> </w:t>
            </w:r>
            <w:r>
              <w:rPr>
                <w:rFonts w:ascii="Times New Roman;Times;serif" w:hAnsi="Times New Roman;Times;serif"/>
                <w:sz w:val="14"/>
              </w:rPr>
              <w:t>Stock Market LLC</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18"/>
        </w:rPr>
      </w:pPr>
      <w:r>
        <w:rPr>
          <w:rFonts w:ascii="Times New Roman;Times;serif" w:hAnsi="Times New Roman;Times;serif"/>
          <w:sz w:val="18"/>
        </w:rPr>
        <w:t>Securities registered or to be registered pursuant to Section 12 (g) of the Act: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(Title of Class)</w:t>
      </w:r>
    </w:p>
    <w:p>
      <w:pPr>
        <w:pStyle w:val="TextBody"/>
        <w:bidi w:val="0"/>
        <w:spacing w:lineRule="auto" w:line="285" w:before="0" w:after="0"/>
        <w:ind w:left="0" w:right="0" w:hanging="0"/>
        <w:jc w:val="both"/>
        <w:rPr>
          <w:rFonts w:ascii="Times New Roman;Times;serif" w:hAnsi="Times New Roman;Times;serif"/>
          <w:sz w:val="18"/>
        </w:rPr>
      </w:pPr>
      <w:r>
        <w:rPr>
          <w:rFonts w:ascii="Times New Roman;Times;serif" w:hAnsi="Times New Roman;Times;serif"/>
          <w:sz w:val="18"/>
        </w:rPr>
        <w:t>Securities for which there is a reporting obligation pursuant to Section 15 (d) of the Act: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bidi w:val="0"/>
        <w:spacing w:lineRule="auto" w:line="285" w:before="0" w:after="240"/>
        <w:ind w:left="0" w:right="0" w:hanging="0"/>
        <w:jc w:val="center"/>
        <w:rPr>
          <w:rFonts w:ascii="Times New Roman;Times;serif" w:hAnsi="Times New Roman;Times;serif"/>
          <w:sz w:val="18"/>
        </w:rPr>
      </w:pPr>
      <w:r>
        <w:rPr>
          <w:rFonts w:ascii="Times New Roman;Times;serif" w:hAnsi="Times New Roman;Times;serif"/>
          <w:sz w:val="18"/>
        </w:rPr>
        <w:t>(Title of Class)</w:t>
      </w:r>
    </w:p>
    <w:p>
      <w:pPr>
        <w:pStyle w:val="TextBody"/>
        <w:bidi w:val="0"/>
        <w:spacing w:lineRule="auto" w:line="285" w:before="0" w:after="100"/>
        <w:ind w:left="0" w:right="0" w:hanging="0"/>
        <w:jc w:val="both"/>
        <w:rPr>
          <w:rFonts w:ascii="Times New Roman;Times;serif" w:hAnsi="Times New Roman;Times;serif"/>
          <w:sz w:val="18"/>
        </w:rPr>
      </w:pPr>
      <w:r>
        <w:rPr>
          <w:rFonts w:ascii="Times New Roman;Times;serif" w:hAnsi="Times New Roman;Times;serif"/>
          <w:sz w:val="18"/>
        </w:rPr>
        <w:t>Indicate the number of outstanding shares of each of the issuer’s classes of capital or common stock as of the close of the period covered by the annual report: 642,089,875 ordinary shares, par value US$0.00001 per share, as of December 31, 2025.</w:t>
      </w:r>
    </w:p>
    <w:p>
      <w:pPr>
        <w:pStyle w:val="TextBody"/>
        <w:bidi w:val="0"/>
        <w:spacing w:lineRule="auto" w:line="285"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if the registrant is a well-known seasoned issuer, as defined in Rule 405 of the Securities Act.</w:t>
      </w:r>
    </w:p>
    <w:p>
      <w:pPr>
        <w:pStyle w:val="TextBody"/>
        <w:bidi w:val="0"/>
        <w:spacing w:lineRule="auto" w:line="285" w:before="0" w:after="100"/>
        <w:ind w:left="0" w:right="0" w:hanging="0"/>
        <w:jc w:val="right"/>
        <w:rPr/>
      </w:pPr>
      <w:r>
        <w:rPr/>
        <w:t xml:space="preserve">☐ </w:t>
      </w:r>
      <w:r>
        <w:rPr>
          <w:rFonts w:ascii="Times New Roman;Times;serif" w:hAnsi="Times New Roman;Times;serif"/>
          <w:sz w:val="18"/>
        </w:rPr>
        <w:t>Yes    </w:t>
      </w:r>
      <w:r>
        <w:rPr>
          <w:rFonts w:ascii="Times New Roman;Times;serif" w:hAnsi="Times New Roman;Times;serif"/>
          <w:sz w:val="22"/>
        </w:rPr>
        <w:t xml:space="preserve">☒ </w:t>
      </w:r>
      <w:r>
        <w:rPr>
          <w:rFonts w:ascii="Times New Roman;Times;serif" w:hAnsi="Times New Roman;Times;serif"/>
          <w:sz w:val="18"/>
        </w:rPr>
        <w:t>No</w:t>
      </w:r>
    </w:p>
    <w:p>
      <w:pPr>
        <w:pStyle w:val="TextBody"/>
        <w:bidi w:val="0"/>
        <w:spacing w:lineRule="auto" w:line="285" w:before="0" w:after="60"/>
        <w:ind w:left="0" w:right="0" w:hanging="0"/>
        <w:jc w:val="both"/>
        <w:rPr>
          <w:rFonts w:ascii="Times New Roman;Times;serif" w:hAnsi="Times New Roman;Times;serif"/>
          <w:sz w:val="18"/>
        </w:rPr>
      </w:pPr>
      <w:r>
        <w:rPr>
          <w:rFonts w:ascii="Times New Roman;Times;serif" w:hAnsi="Times New Roman;Times;serif"/>
          <w:sz w:val="18"/>
        </w:rPr>
        <w:t>If this report is an annual or transition report, indicate by check mark if the registrant is not required to file reports pursuant to Section 13 or 15(d) of the Securities Exchange Act of 1934.</w:t>
      </w:r>
    </w:p>
    <w:p>
      <w:pPr>
        <w:pStyle w:val="TextBody"/>
        <w:bidi w:val="0"/>
        <w:spacing w:lineRule="auto" w:line="285" w:before="0" w:after="100"/>
        <w:ind w:left="0" w:right="0" w:hanging="0"/>
        <w:jc w:val="right"/>
        <w:rPr/>
      </w:pPr>
      <w:r>
        <w:rPr/>
        <w:t xml:space="preserve">☐ </w:t>
      </w:r>
      <w:r>
        <w:rPr>
          <w:rFonts w:ascii="Times New Roman;Times;serif" w:hAnsi="Times New Roman;Times;serif"/>
          <w:sz w:val="18"/>
        </w:rPr>
        <w:t>Yes    </w:t>
      </w:r>
      <w:r>
        <w:rPr>
          <w:rFonts w:ascii="Times New Roman;Times;serif" w:hAnsi="Times New Roman;Times;serif"/>
          <w:sz w:val="22"/>
        </w:rPr>
        <w:t xml:space="preserve">☒ </w:t>
      </w:r>
      <w:r>
        <w:rPr>
          <w:rFonts w:ascii="Times New Roman;Times;serif" w:hAnsi="Times New Roman;Times;serif"/>
          <w:sz w:val="18"/>
        </w:rPr>
        <w:t>No</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00"/>
        <w:ind w:left="0" w:right="0" w:hanging="0"/>
        <w:jc w:val="both"/>
        <w:rPr>
          <w:rFonts w:ascii="Times New Roman;Times;serif" w:hAnsi="Times New Roman;Times;serif"/>
          <w:sz w:val="18"/>
        </w:rPr>
      </w:pPr>
      <w:r>
        <w:rPr>
          <w:rFonts w:ascii="Times New Roman;Times;serif" w:hAnsi="Times New Roman;Times;serif"/>
          <w:sz w:val="18"/>
        </w:rPr>
        <w:t>Note—Checking the box above will not relieve any registrant required to file reports pursuant to Section 13 or 15(d) of the Securities Exchange Act of 1934 from their obligations under those Sections.</w:t>
      </w:r>
    </w:p>
    <w:p>
      <w:pPr>
        <w:pStyle w:val="TextBody"/>
        <w:bidi w:val="0"/>
        <w:spacing w:lineRule="auto" w:line="285"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5" w:before="0" w:after="100"/>
        <w:ind w:left="0" w:right="0" w:hanging="0"/>
        <w:jc w:val="right"/>
        <w:rPr/>
      </w:pPr>
      <w:r>
        <w:rPr/>
        <w:t xml:space="preserve">☒ </w:t>
      </w:r>
      <w:r>
        <w:rPr>
          <w:rFonts w:ascii="Times New Roman;Times;serif" w:hAnsi="Times New Roman;Times;serif"/>
          <w:sz w:val="18"/>
        </w:rPr>
        <w:t>Yes</w:t>
      </w:r>
      <w:r>
        <w:rPr>
          <w:rFonts w:ascii="Times New Roman;Times;serif" w:hAnsi="Times New Roman;Times;serif"/>
          <w:sz w:val="22"/>
        </w:rPr>
        <w:t xml:space="preserve">    ☐ </w:t>
      </w:r>
      <w:r>
        <w:rPr>
          <w:rFonts w:ascii="Times New Roman;Times;serif" w:hAnsi="Times New Roman;Times;serif"/>
          <w:sz w:val="18"/>
        </w:rPr>
        <w:t>No</w:t>
      </w:r>
    </w:p>
    <w:p>
      <w:pPr>
        <w:pStyle w:val="TextBody"/>
        <w:bidi w:val="0"/>
        <w:spacing w:lineRule="auto" w:line="285"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5" w:before="0" w:after="100"/>
        <w:ind w:left="0" w:right="0" w:hanging="0"/>
        <w:jc w:val="right"/>
        <w:rPr/>
      </w:pPr>
      <w:r>
        <w:rPr/>
        <w:t xml:space="preserve">☒ </w:t>
      </w:r>
      <w:r>
        <w:rPr>
          <w:rFonts w:ascii="Times New Roman;Times;serif" w:hAnsi="Times New Roman;Times;serif"/>
          <w:sz w:val="18"/>
        </w:rPr>
        <w:t>Yes</w:t>
      </w:r>
      <w:r>
        <w:rPr>
          <w:rFonts w:ascii="Times New Roman;Times;serif" w:hAnsi="Times New Roman;Times;serif"/>
          <w:sz w:val="22"/>
        </w:rPr>
        <w:t xml:space="preserve">    ☐ </w:t>
      </w:r>
      <w:r>
        <w:rPr>
          <w:rFonts w:ascii="Times New Roman;Times;serif" w:hAnsi="Times New Roman;Times;serif"/>
          <w:sz w:val="18"/>
        </w:rPr>
        <w:t>No</w:t>
      </w:r>
    </w:p>
    <w:p>
      <w:pPr>
        <w:pStyle w:val="TextBody"/>
        <w:bidi w:val="0"/>
        <w:spacing w:lineRule="auto" w:line="285" w:before="0" w:after="10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Normal"/>
        <w:bidi w:val="0"/>
        <w:spacing w:before="0" w:after="0"/>
        <w:jc w:val="left"/>
        <w:rPr>
          <w:sz w:val="4"/>
          <w:szCs w:val="4"/>
        </w:rPr>
      </w:pPr>
      <w:r>
        <w:rPr>
          <w:sz w:val="4"/>
          <w:szCs w:val="4"/>
        </w:rPr>
      </w:r>
      <w:bookmarkStart w:id="15" w:name="Tc_dN_TT-gjJkuxPEEm7Ps4xw_3_6"/>
      <w:bookmarkStart w:id="16" w:name="Tc_uWdio5zmukqfY_QDSwsoqw_1_7"/>
      <w:bookmarkStart w:id="17" w:name="Tc_moL4bOkuUkCxRPLdv9BdHg_1_4"/>
      <w:bookmarkStart w:id="18" w:name="Tc_zrk7LAwIs0C0aD1nX2hjUw_1_3"/>
      <w:bookmarkStart w:id="19" w:name="Tc_eOZSpveWE0yxSk1SARXlAQ_1_1"/>
      <w:bookmarkStart w:id="20" w:name="Tc_zFxrdkK2qEWeyRzZNTP9mw_1_0"/>
      <w:bookmarkStart w:id="21" w:name="_a720c5e9_9282_4fae_9134_8386d225c472"/>
      <w:bookmarkStart w:id="22" w:name="Tc_dN_TT-gjJkuxPEEm7Ps4xw_3_6"/>
      <w:bookmarkStart w:id="23" w:name="Tc_uWdio5zmukqfY_QDSwsoqw_1_7"/>
      <w:bookmarkStart w:id="24" w:name="Tc_moL4bOkuUkCxRPLdv9BdHg_1_4"/>
      <w:bookmarkStart w:id="25" w:name="Tc_zrk7LAwIs0C0aD1nX2hjUw_1_3"/>
      <w:bookmarkStart w:id="26" w:name="Tc_eOZSpveWE0yxSk1SARXlAQ_1_1"/>
      <w:bookmarkStart w:id="27" w:name="Tc_zFxrdkK2qEWeyRzZNTP9mw_1_0"/>
      <w:bookmarkStart w:id="28" w:name="_a720c5e9_9282_4fae_9134_8386d225c472"/>
      <w:bookmarkEnd w:id="22"/>
      <w:bookmarkEnd w:id="23"/>
      <w:bookmarkEnd w:id="24"/>
      <w:bookmarkEnd w:id="25"/>
      <w:bookmarkEnd w:id="26"/>
      <w:bookmarkEnd w:id="27"/>
      <w:bookmarkEnd w:id="28"/>
    </w:p>
    <w:tbl>
      <w:tblPr>
        <w:tblW w:w="5369" w:type="dxa"/>
        <w:jc w:val="left"/>
        <w:tblInd w:w="0" w:type="dxa"/>
        <w:tblLayout w:type="fixed"/>
        <w:tblCellMar>
          <w:top w:w="0" w:type="dxa"/>
          <w:left w:w="0" w:type="dxa"/>
          <w:bottom w:w="0" w:type="dxa"/>
          <w:right w:w="0" w:type="dxa"/>
        </w:tblCellMar>
      </w:tblPr>
      <w:tblGrid>
        <w:gridCol w:w="1396"/>
        <w:gridCol w:w="316"/>
        <w:gridCol w:w="109"/>
        <w:gridCol w:w="1066"/>
        <w:gridCol w:w="316"/>
        <w:gridCol w:w="109"/>
        <w:gridCol w:w="1696"/>
        <w:gridCol w:w="361"/>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307" w:before="0" w:after="160"/>
              <w:ind w:left="0" w:right="0" w:hanging="0"/>
              <w:jc w:val="left"/>
              <w:rPr/>
            </w:pPr>
            <w:r>
              <w:rPr/>
              <w:t>​</w: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307" w:before="0" w:after="160"/>
              <w:ind w:left="0" w:right="0" w:hanging="0"/>
              <w:jc w:val="left"/>
              <w:rPr/>
            </w:pPr>
            <w:r>
              <w:rPr/>
              <w:t>​</w:t>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307" w:before="0" w:after="160"/>
              <w:ind w:left="0" w:right="0" w:hanging="0"/>
              <w:jc w:val="both"/>
              <w:rPr/>
            </w:pPr>
            <w:r>
              <w:rPr/>
              <w:t>​</w:t>
            </w:r>
          </w:p>
        </w:tc>
        <w:tc>
          <w:tcPr>
            <w:tcW w:w="1066" w:type="dxa"/>
            <w:tcBorders/>
            <w:vAlign w:val="center"/>
          </w:tcPr>
          <w:p>
            <w:pPr>
              <w:pStyle w:val="TableContents"/>
              <w:bidi w:val="0"/>
              <w:spacing w:lineRule="auto" w:line="285" w:before="0" w:after="0"/>
              <w:ind w:left="0" w:right="0" w:hanging="0"/>
              <w:jc w:val="both"/>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lineRule="auto" w:line="285" w:before="0" w:after="0"/>
              <w:ind w:left="0" w:right="0" w:hanging="0"/>
              <w:jc w:val="both"/>
              <w:rPr/>
            </w:pPr>
            <w:r>
              <w:rPr/>
              <w:t>☐</w:t>
            </w:r>
          </w:p>
        </w:tc>
        <w:tc>
          <w:tcPr>
            <w:tcW w:w="109" w:type="dxa"/>
            <w:tcBorders/>
            <w:vAlign w:val="center"/>
          </w:tcPr>
          <w:p>
            <w:pPr>
              <w:pStyle w:val="TableContents"/>
              <w:bidi w:val="0"/>
              <w:spacing w:lineRule="auto" w:line="307" w:before="0" w:after="160"/>
              <w:ind w:left="0" w:right="0" w:hanging="0"/>
              <w:jc w:val="both"/>
              <w:rPr/>
            </w:pPr>
            <w:r>
              <w:rPr/>
              <w:t>​</w:t>
            </w:r>
          </w:p>
        </w:tc>
        <w:tc>
          <w:tcPr>
            <w:tcW w:w="1696" w:type="dxa"/>
            <w:tcBorders/>
            <w:vAlign w:val="center"/>
          </w:tcPr>
          <w:p>
            <w:pPr>
              <w:pStyle w:val="TableContents"/>
              <w:bidi w:val="0"/>
              <w:spacing w:lineRule="auto" w:line="285" w:before="0" w:after="0"/>
              <w:ind w:left="0" w:right="0" w:hanging="0"/>
              <w:jc w:val="both"/>
              <w:rPr>
                <w:rFonts w:ascii="Times New Roman;Times;serif" w:hAnsi="Times New Roman;Times;serif"/>
                <w:sz w:val="14"/>
              </w:rPr>
            </w:pPr>
            <w:r>
              <w:rPr>
                <w:rFonts w:ascii="Times New Roman;Times;serif" w:hAnsi="Times New Roman;Times;serif"/>
                <w:sz w:val="14"/>
              </w:rPr>
              <w:t>Non-Accelerated Filer</w:t>
            </w:r>
          </w:p>
        </w:tc>
        <w:tc>
          <w:tcPr>
            <w:tcW w:w="361" w:type="dxa"/>
            <w:tcBorders/>
            <w:vAlign w:val="center"/>
          </w:tcPr>
          <w:p>
            <w:pPr>
              <w:pStyle w:val="TableContents"/>
              <w:bidi w:val="0"/>
              <w:spacing w:lineRule="auto" w:line="285" w:before="0" w:after="0"/>
              <w:ind w:left="0" w:right="0" w:hanging="0"/>
              <w:jc w:val="both"/>
              <w:rPr/>
            </w:pPr>
            <w:r>
              <w:rPr/>
              <w:t>☒</w:t>
            </w:r>
          </w:p>
        </w:tc>
      </w:tr>
      <w:tr>
        <w:trPr/>
        <w:tc>
          <w:tcPr>
            <w:tcW w:w="1396" w:type="dxa"/>
            <w:tcBorders/>
            <w:vAlign w:val="center"/>
          </w:tcPr>
          <w:p>
            <w:pPr>
              <w:pStyle w:val="TableContents"/>
              <w:bidi w:val="0"/>
              <w:spacing w:lineRule="auto" w:line="285" w:before="0" w:after="0"/>
              <w:ind w:left="0" w:right="0" w:hanging="0"/>
              <w:jc w:val="both"/>
              <w:rPr/>
            </w:pPr>
            <w:r>
              <w:rPr/>
              <w:t> </w:t>
            </w:r>
          </w:p>
        </w:tc>
        <w:tc>
          <w:tcPr>
            <w:tcW w:w="316" w:type="dxa"/>
            <w:tcBorders/>
            <w:vAlign w:val="center"/>
          </w:tcPr>
          <w:p>
            <w:pPr>
              <w:pStyle w:val="TableContents"/>
              <w:bidi w:val="0"/>
              <w:spacing w:lineRule="auto" w:line="285" w:before="0" w:after="0"/>
              <w:ind w:left="0" w:right="0" w:hanging="0"/>
              <w:jc w:val="both"/>
              <w:rPr/>
            </w:pPr>
            <w:r>
              <w:rPr/>
              <w:t> </w:t>
            </w:r>
          </w:p>
        </w:tc>
        <w:tc>
          <w:tcPr>
            <w:tcW w:w="109" w:type="dxa"/>
            <w:tcBorders/>
            <w:vAlign w:val="center"/>
          </w:tcPr>
          <w:p>
            <w:pPr>
              <w:pStyle w:val="TableContents"/>
              <w:bidi w:val="0"/>
              <w:spacing w:lineRule="auto" w:line="307" w:before="0" w:after="160"/>
              <w:ind w:left="0" w:right="0" w:hanging="0"/>
              <w:jc w:val="both"/>
              <w:rPr/>
            </w:pPr>
            <w:r>
              <w:rPr/>
              <w:t>​</w:t>
            </w:r>
          </w:p>
        </w:tc>
        <w:tc>
          <w:tcPr>
            <w:tcW w:w="1066" w:type="dxa"/>
            <w:tcBorders/>
            <w:vAlign w:val="center"/>
          </w:tcPr>
          <w:p>
            <w:pPr>
              <w:pStyle w:val="TableContents"/>
              <w:bidi w:val="0"/>
              <w:spacing w:lineRule="auto" w:line="285" w:before="0" w:after="0"/>
              <w:ind w:left="0" w:right="0" w:hanging="0"/>
              <w:jc w:val="both"/>
              <w:rPr/>
            </w:pPr>
            <w:r>
              <w:rPr/>
              <w:t> </w:t>
            </w:r>
          </w:p>
        </w:tc>
        <w:tc>
          <w:tcPr>
            <w:tcW w:w="316" w:type="dxa"/>
            <w:tcBorders/>
            <w:vAlign w:val="center"/>
          </w:tcPr>
          <w:p>
            <w:pPr>
              <w:pStyle w:val="TableContents"/>
              <w:bidi w:val="0"/>
              <w:spacing w:lineRule="auto" w:line="307" w:before="0" w:after="160"/>
              <w:ind w:left="0" w:right="0" w:hanging="0"/>
              <w:jc w:val="both"/>
              <w:rPr/>
            </w:pPr>
            <w:r>
              <w:rPr/>
              <w:t>​</w:t>
            </w:r>
          </w:p>
        </w:tc>
        <w:tc>
          <w:tcPr>
            <w:tcW w:w="109" w:type="dxa"/>
            <w:tcBorders/>
            <w:vAlign w:val="center"/>
          </w:tcPr>
          <w:p>
            <w:pPr>
              <w:pStyle w:val="TableContents"/>
              <w:bidi w:val="0"/>
              <w:spacing w:lineRule="auto" w:line="307" w:before="0" w:after="160"/>
              <w:ind w:left="0" w:right="0" w:hanging="0"/>
              <w:jc w:val="both"/>
              <w:rPr/>
            </w:pPr>
            <w:r>
              <w:rPr/>
              <w:t>​</w:t>
            </w:r>
          </w:p>
        </w:tc>
        <w:tc>
          <w:tcPr>
            <w:tcW w:w="1696" w:type="dxa"/>
            <w:tcBorders/>
            <w:vAlign w:val="center"/>
          </w:tcPr>
          <w:p>
            <w:pPr>
              <w:pStyle w:val="TableContents"/>
              <w:bidi w:val="0"/>
              <w:spacing w:lineRule="auto" w:line="307" w:before="0" w:after="160"/>
              <w:ind w:left="0" w:right="0" w:hanging="0"/>
              <w:jc w:val="both"/>
              <w:rPr/>
            </w:pPr>
            <w:r>
              <w:rPr/>
              <w:t>​</w:t>
            </w:r>
          </w:p>
        </w:tc>
        <w:tc>
          <w:tcPr>
            <w:tcW w:w="361" w:type="dxa"/>
            <w:tcBorders/>
            <w:vAlign w:val="center"/>
          </w:tcPr>
          <w:p>
            <w:pPr>
              <w:pStyle w:val="TableContents"/>
              <w:bidi w:val="0"/>
              <w:spacing w:lineRule="auto" w:line="307" w:before="0" w:after="160"/>
              <w:ind w:left="0" w:right="0" w:hanging="0"/>
              <w:jc w:val="both"/>
              <w:rPr/>
            </w:pPr>
            <w:r>
              <w:rPr/>
              <w:t>​</w:t>
            </w:r>
          </w:p>
        </w:tc>
      </w:tr>
      <w:tr>
        <w:trPr/>
        <w:tc>
          <w:tcPr>
            <w:tcW w:w="1396" w:type="dxa"/>
            <w:tcBorders/>
            <w:vAlign w:val="center"/>
          </w:tcPr>
          <w:p>
            <w:pPr>
              <w:pStyle w:val="TableContents"/>
              <w:bidi w:val="0"/>
              <w:spacing w:lineRule="auto" w:line="285" w:before="0" w:after="0"/>
              <w:ind w:left="0" w:right="0" w:hanging="0"/>
              <w:jc w:val="both"/>
              <w:rPr/>
            </w:pPr>
            <w:r>
              <w:rPr/>
              <w:t> </w:t>
            </w:r>
          </w:p>
        </w:tc>
        <w:tc>
          <w:tcPr>
            <w:tcW w:w="316" w:type="dxa"/>
            <w:tcBorders/>
            <w:vAlign w:val="center"/>
          </w:tcPr>
          <w:p>
            <w:pPr>
              <w:pStyle w:val="TableContents"/>
              <w:bidi w:val="0"/>
              <w:spacing w:lineRule="auto" w:line="285" w:before="0" w:after="0"/>
              <w:ind w:left="0" w:right="0" w:hanging="0"/>
              <w:jc w:val="both"/>
              <w:rPr/>
            </w:pPr>
            <w:r>
              <w:rPr/>
              <w:t> </w:t>
            </w:r>
          </w:p>
        </w:tc>
        <w:tc>
          <w:tcPr>
            <w:tcW w:w="109" w:type="dxa"/>
            <w:tcBorders/>
            <w:vAlign w:val="center"/>
          </w:tcPr>
          <w:p>
            <w:pPr>
              <w:pStyle w:val="TableContents"/>
              <w:bidi w:val="0"/>
              <w:spacing w:lineRule="auto" w:line="307" w:before="0" w:after="160"/>
              <w:ind w:left="0" w:right="0" w:hanging="0"/>
              <w:jc w:val="both"/>
              <w:rPr/>
            </w:pPr>
            <w:r>
              <w:rPr/>
              <w:t>​</w:t>
            </w:r>
          </w:p>
        </w:tc>
        <w:tc>
          <w:tcPr>
            <w:tcW w:w="1066" w:type="dxa"/>
            <w:tcBorders/>
            <w:vAlign w:val="center"/>
          </w:tcPr>
          <w:p>
            <w:pPr>
              <w:pStyle w:val="TableContents"/>
              <w:bidi w:val="0"/>
              <w:spacing w:lineRule="auto" w:line="285" w:before="0" w:after="0"/>
              <w:ind w:left="0" w:right="0" w:hanging="0"/>
              <w:jc w:val="both"/>
              <w:rPr/>
            </w:pPr>
            <w:r>
              <w:rPr/>
              <w:t> </w:t>
            </w:r>
          </w:p>
        </w:tc>
        <w:tc>
          <w:tcPr>
            <w:tcW w:w="316" w:type="dxa"/>
            <w:tcBorders/>
            <w:vAlign w:val="center"/>
          </w:tcPr>
          <w:p>
            <w:pPr>
              <w:pStyle w:val="TableContents"/>
              <w:bidi w:val="0"/>
              <w:spacing w:lineRule="auto" w:line="285" w:before="0" w:after="0"/>
              <w:ind w:left="0" w:right="0" w:hanging="0"/>
              <w:jc w:val="both"/>
              <w:rPr/>
            </w:pPr>
            <w:r>
              <w:rPr/>
              <w:t> </w:t>
            </w:r>
          </w:p>
        </w:tc>
        <w:tc>
          <w:tcPr>
            <w:tcW w:w="109" w:type="dxa"/>
            <w:tcBorders/>
            <w:vAlign w:val="center"/>
          </w:tcPr>
          <w:p>
            <w:pPr>
              <w:pStyle w:val="TableContents"/>
              <w:bidi w:val="0"/>
              <w:spacing w:lineRule="auto" w:line="307" w:before="0" w:after="160"/>
              <w:ind w:left="0" w:right="0" w:hanging="0"/>
              <w:jc w:val="both"/>
              <w:rPr/>
            </w:pPr>
            <w:r>
              <w:rPr/>
              <w:t>​</w:t>
            </w:r>
          </w:p>
        </w:tc>
        <w:tc>
          <w:tcPr>
            <w:tcW w:w="1696" w:type="dxa"/>
            <w:tcBorders/>
            <w:vAlign w:val="center"/>
          </w:tcPr>
          <w:p>
            <w:pPr>
              <w:pStyle w:val="TableContents"/>
              <w:bidi w:val="0"/>
              <w:spacing w:lineRule="auto" w:line="285" w:before="0" w:after="0"/>
              <w:ind w:left="0" w:right="0" w:hanging="0"/>
              <w:jc w:val="both"/>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lineRule="auto" w:line="285" w:before="0" w:after="0"/>
              <w:ind w:left="0" w:right="0" w:hanging="0"/>
              <w:jc w:val="both"/>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18"/>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2"/>
        </w:rPr>
        <w:t>☐</w:t>
      </w:r>
    </w:p>
    <w:p>
      <w:pPr>
        <w:pStyle w:val="TextBody"/>
        <w:bidi w:val="0"/>
        <w:spacing w:lineRule="auto" w:line="307" w:before="0" w:after="160"/>
        <w:ind w:left="0" w:right="0" w:hanging="0"/>
        <w:jc w:val="left"/>
        <w:rPr/>
      </w:pPr>
      <w:r>
        <w:rPr/>
        <w:t>​</w:t>
      </w:r>
    </w:p>
    <w:p>
      <w:pPr>
        <w:pStyle w:val="TextBody"/>
        <w:bidi w:val="0"/>
        <w:spacing w:lineRule="auto" w:line="240" w:before="0" w:after="100"/>
        <w:ind w:left="360" w:right="0" w:hanging="0"/>
        <w:jc w:val="both"/>
        <w:rPr/>
      </w:pPr>
      <w:r>
        <w:rPr/>
        <w:t>†</w:t>
      </w:r>
      <w:r>
        <w:rPr>
          <w:rFonts w:ascii="Times New Roman;Times;serif" w:hAnsi="Times New Roman;Times;serif"/>
          <w:sz w:val="18"/>
        </w:rPr>
        <w:t>The term “new or revised financial accounting standard” refers to any update issued by the Financial Accounting Standards Board to its Accounting Standards Codification after April 5, 2012.</w:t>
      </w:r>
    </w:p>
    <w:p>
      <w:pPr>
        <w:pStyle w:val="TextBody"/>
        <w:bidi w:val="0"/>
        <w:spacing w:lineRule="auto" w:line="285" w:before="0" w:after="100"/>
        <w:ind w:left="0" w:right="0" w:hanging="0"/>
        <w:jc w:val="both"/>
        <w:rPr>
          <w:rFonts w:ascii="Times New Roman;Times;serif" w:hAnsi="Times New Roman;Times;serif"/>
          <w:sz w:val="22"/>
        </w:rPr>
      </w:pPr>
      <w:r>
        <w:rPr>
          <w:rFonts w:ascii="Times New Roman;Times;serif" w:hAnsi="Times New Roman;Times;serif"/>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2"/>
        </w:rPr>
        <w:t>☐</w:t>
      </w:r>
    </w:p>
    <w:p>
      <w:pPr>
        <w:pStyle w:val="TextBody"/>
        <w:bidi w:val="0"/>
        <w:spacing w:lineRule="auto" w:line="285" w:before="0" w:after="100"/>
        <w:ind w:left="0" w:right="0" w:hanging="0"/>
        <w:jc w:val="both"/>
        <w:rPr>
          <w:rFonts w:ascii="Times New Roman;Times;serif" w:hAnsi="Times New Roman;Times;serif"/>
          <w:sz w:val="22"/>
        </w:rPr>
      </w:pPr>
      <w:r>
        <w:rPr>
          <w:rFonts w:ascii="Times New Roman;Times;serif" w:hAnsi="Times New Roman;Times;serif"/>
          <w:sz w:val="18"/>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2"/>
        </w:rPr>
        <w:t>☐</w:t>
      </w:r>
    </w:p>
    <w:p>
      <w:pPr>
        <w:pStyle w:val="TextBody"/>
        <w:bidi w:val="0"/>
        <w:spacing w:lineRule="auto" w:line="285" w:before="0" w:after="100"/>
        <w:ind w:left="0" w:right="0" w:hanging="0"/>
        <w:jc w:val="both"/>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lineRule="auto" w:line="285" w:before="0" w:after="100"/>
        <w:ind w:left="0" w:right="0" w:hanging="0"/>
        <w:jc w:val="both"/>
        <w:rPr>
          <w:rFonts w:ascii="Times New Roman;Times;serif" w:hAnsi="Times New Roman;Times;serif"/>
          <w:sz w:val="18"/>
        </w:rPr>
      </w:pPr>
      <w:r>
        <w:rPr>
          <w:rFonts w:ascii="Times New Roman;Times;serif" w:hAnsi="Times New Roman;Times;serif"/>
          <w:sz w:val="18"/>
        </w:rPr>
        <w:t>Indicate by check mark which basis of accounting the registrant has used to prepare the financial statements included in this filing:</w:t>
      </w:r>
    </w:p>
    <w:tbl>
      <w:tblPr>
        <w:tblW w:w="5915" w:type="dxa"/>
        <w:jc w:val="left"/>
        <w:tblInd w:w="0" w:type="dxa"/>
        <w:tblLayout w:type="fixed"/>
        <w:tblCellMar>
          <w:top w:w="0" w:type="dxa"/>
          <w:left w:w="0" w:type="dxa"/>
          <w:bottom w:w="0" w:type="dxa"/>
          <w:right w:w="0" w:type="dxa"/>
        </w:tblCellMar>
      </w:tblPr>
      <w:tblGrid>
        <w:gridCol w:w="976"/>
        <w:gridCol w:w="346"/>
        <w:gridCol w:w="3631"/>
        <w:gridCol w:w="346"/>
        <w:gridCol w:w="616"/>
      </w:tblGrid>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6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16" w:type="dxa"/>
            <w:tcBorders/>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vAlign w:val="center"/>
          </w:tcPr>
          <w:p>
            <w:pPr>
              <w:pStyle w:val="TableContents"/>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14"/>
              </w:rPr>
              <w:t>U.S. GAAP</w:t>
            </w:r>
            <w:r>
              <w:rPr>
                <w:rFonts w:ascii="Times New Roman;Times;serif" w:hAnsi="Times New Roman;Times;serif"/>
                <w:sz w:val="22"/>
              </w:rPr>
              <w:t> ☒</w:t>
            </w:r>
          </w:p>
        </w:tc>
        <w:tc>
          <w:tcPr>
            <w:tcW w:w="346" w:type="dxa"/>
            <w:tcBorders/>
            <w:vAlign w:val="center"/>
          </w:tcPr>
          <w:p>
            <w:pPr>
              <w:pStyle w:val="TableContents"/>
              <w:bidi w:val="0"/>
              <w:spacing w:lineRule="auto" w:line="285" w:before="0" w:after="0"/>
              <w:ind w:left="0" w:right="0" w:hanging="0"/>
              <w:jc w:val="both"/>
              <w:rPr/>
            </w:pPr>
            <w:r>
              <w:rPr/>
              <w:t>  ​ ​ ​</w:t>
            </w:r>
          </w:p>
        </w:tc>
        <w:tc>
          <w:tcPr>
            <w:tcW w:w="3631" w:type="dxa"/>
            <w:tcBorders/>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International Financial Reporting Standards</w:t>
              <w:br/>
              <w:t>as issued by the International Accounting Standards Board ☐</w:t>
            </w:r>
          </w:p>
        </w:tc>
        <w:tc>
          <w:tcPr>
            <w:tcW w:w="346" w:type="dxa"/>
            <w:tcBorders/>
            <w:vAlign w:val="center"/>
          </w:tcPr>
          <w:p>
            <w:pPr>
              <w:pStyle w:val="TableContents"/>
              <w:bidi w:val="0"/>
              <w:spacing w:lineRule="auto" w:line="285" w:before="0" w:after="0"/>
              <w:ind w:left="0" w:right="0" w:hanging="0"/>
              <w:jc w:val="both"/>
              <w:rPr/>
            </w:pPr>
            <w:r>
              <w:rPr/>
              <w:t>  ​ ​ ​</w:t>
            </w:r>
          </w:p>
        </w:tc>
        <w:tc>
          <w:tcPr>
            <w:tcW w:w="616" w:type="dxa"/>
            <w:tcBorders/>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Other ☐</w:t>
            </w:r>
          </w:p>
        </w:tc>
      </w:tr>
    </w:tbl>
    <w:p>
      <w:pPr>
        <w:pStyle w:val="TextBody"/>
        <w:bidi w:val="0"/>
        <w:spacing w:lineRule="auto" w:line="307" w:before="0" w:after="160"/>
        <w:ind w:left="0" w:right="0" w:hanging="0"/>
        <w:jc w:val="left"/>
        <w:rPr/>
      </w:pPr>
      <w:r>
        <w:rPr/>
        <w:t>​</w:t>
      </w:r>
    </w:p>
    <w:p>
      <w:pPr>
        <w:pStyle w:val="TextBody"/>
        <w:bidi w:val="0"/>
        <w:spacing w:lineRule="auto" w:line="285" w:before="0" w:after="60"/>
        <w:ind w:left="0" w:right="0" w:hanging="0"/>
        <w:jc w:val="both"/>
        <w:rPr>
          <w:rFonts w:ascii="Times New Roman;Times;serif" w:hAnsi="Times New Roman;Times;serif"/>
          <w:sz w:val="18"/>
        </w:rPr>
      </w:pPr>
      <w:r>
        <w:rPr>
          <w:rFonts w:ascii="Times New Roman;Times;serif" w:hAnsi="Times New Roman;Times;serif"/>
          <w:sz w:val="18"/>
        </w:rPr>
        <w:t>If “Other” has been checked in response to the previous question, indicate by check mark which financial statement item the registrant has elected to follow.</w:t>
      </w:r>
    </w:p>
    <w:p>
      <w:pPr>
        <w:pStyle w:val="TextBody"/>
        <w:bidi w:val="0"/>
        <w:spacing w:lineRule="auto" w:line="285" w:before="0" w:after="100"/>
        <w:ind w:left="0" w:right="0" w:hanging="0"/>
        <w:jc w:val="right"/>
        <w:rPr/>
      </w:pPr>
      <w:r>
        <w:rPr/>
        <w:t xml:space="preserve">☐ </w:t>
      </w:r>
      <w:r>
        <w:rPr>
          <w:rFonts w:ascii="Times New Roman;Times;serif" w:hAnsi="Times New Roman;Times;serif"/>
          <w:sz w:val="18"/>
        </w:rPr>
        <w:t>Item 17     ☐ Item 18</w:t>
      </w:r>
    </w:p>
    <w:p>
      <w:pPr>
        <w:pStyle w:val="TextBody"/>
        <w:bidi w:val="0"/>
        <w:spacing w:lineRule="auto" w:line="285" w:before="0" w:after="60"/>
        <w:ind w:left="0" w:right="0" w:hanging="0"/>
        <w:jc w:val="both"/>
        <w:rPr>
          <w:rFonts w:ascii="Times New Roman;Times;serif" w:hAnsi="Times New Roman;Times;serif"/>
          <w:sz w:val="18"/>
        </w:rPr>
      </w:pPr>
      <w:r>
        <w:rPr>
          <w:rFonts w:ascii="Times New Roman;Times;serif" w:hAnsi="Times New Roman;Times;serif"/>
          <w:sz w:val="18"/>
        </w:rPr>
        <w:t>If this is an annual report, indicate by check mark whether the registrant is a shell company (as defined in Rule 12b-2 of the Exchange Act).</w:t>
      </w:r>
    </w:p>
    <w:p>
      <w:pPr>
        <w:pStyle w:val="TextBody"/>
        <w:bidi w:val="0"/>
        <w:spacing w:lineRule="auto" w:line="285" w:before="0" w:after="100"/>
        <w:ind w:left="0" w:right="0" w:hanging="0"/>
        <w:jc w:val="right"/>
        <w:rPr/>
      </w:pPr>
      <w:r>
        <w:rPr/>
        <w:t xml:space="preserve">☐ </w:t>
      </w:r>
      <w:r>
        <w:rPr>
          <w:rFonts w:ascii="Times New Roman;Times;serif" w:hAnsi="Times New Roman;Times;serif"/>
          <w:sz w:val="18"/>
        </w:rPr>
        <w:t>Yes     </w:t>
      </w:r>
      <w:r>
        <w:rPr>
          <w:rFonts w:ascii="Times New Roman;Times;serif" w:hAnsi="Times New Roman;Times;serif"/>
          <w:sz w:val="22"/>
        </w:rPr>
        <w:t>☒  </w:t>
      </w:r>
      <w:r>
        <w:rPr>
          <w:rFonts w:ascii="Times New Roman;Times;serif" w:hAnsi="Times New Roman;Times;serif"/>
          <w:sz w:val="18"/>
        </w:rPr>
        <w:t>No</w:t>
      </w:r>
    </w:p>
    <w:p>
      <w:pPr>
        <w:pStyle w:val="TextBody"/>
        <w:bidi w:val="0"/>
        <w:spacing w:lineRule="auto" w:line="285" w:before="0" w:after="100"/>
        <w:ind w:left="0" w:right="0" w:hanging="0"/>
        <w:jc w:val="center"/>
        <w:rPr>
          <w:rFonts w:ascii="Times New Roman;Times;serif" w:hAnsi="Times New Roman;Times;serif"/>
          <w:sz w:val="18"/>
        </w:rPr>
      </w:pPr>
      <w:r>
        <w:rPr>
          <w:rFonts w:ascii="Times New Roman;Times;serif" w:hAnsi="Times New Roman;Times;serif"/>
          <w:sz w:val="18"/>
        </w:rPr>
        <w:t>(APPLICABLE ONLY TO ISSUERS INVOLVED IN BANKRUPTCY PROCEEDINGS DURING THE PAST FIVE YEARS)</w:t>
      </w:r>
    </w:p>
    <w:p>
      <w:pPr>
        <w:pStyle w:val="TextBody"/>
        <w:bidi w:val="0"/>
        <w:spacing w:lineRule="auto" w:line="285"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has filed all documents and reports required to be filed by Section 12, 13, or 15(d) of the Securities Exchange Act of 1934 subsequent to the distribution of securities under a plan confirmed by a court.</w:t>
      </w:r>
    </w:p>
    <w:p>
      <w:pPr>
        <w:pStyle w:val="TextBody"/>
        <w:bidi w:val="0"/>
        <w:spacing w:lineRule="auto" w:line="285" w:before="0" w:after="0"/>
        <w:ind w:left="0" w:right="0" w:hanging="0"/>
        <w:jc w:val="right"/>
        <w:rPr/>
      </w:pPr>
      <w:r>
        <w:rPr/>
        <w:t xml:space="preserve">☐ </w:t>
      </w:r>
      <w:r>
        <w:rPr>
          <w:rFonts w:ascii="Times New Roman;Times;serif" w:hAnsi="Times New Roman;Times;serif"/>
          <w:sz w:val="18"/>
        </w:rPr>
        <w:t>Yes     ☐  No</w:t>
      </w:r>
    </w:p>
    <w:p>
      <w:pPr>
        <w:pStyle w:val="TextBody"/>
        <w:pBdr>
          <w:top w:val="single" w:sz="8" w:space="1" w:color="000000"/>
          <w:bottom w:val="single" w:sz="24" w:space="1" w:color="000000"/>
        </w:pBdr>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29" w:name="_a78d8cab_d130_49f0_b670_296baee064ac"/>
      <w:bookmarkStart w:id="30" w:name="TOC"/>
      <w:bookmarkEnd w:id="29"/>
      <w:bookmarkEnd w:id="30"/>
      <w:r>
        <w:rPr>
          <w:rFonts w:ascii="Times New Roman;Times;serif" w:hAnsi="Times New Roman;Times;serif"/>
          <w:b/>
          <w:sz w:val="20"/>
        </w:rPr>
        <w:t>TABLE OF CONTENT</w:t>
      </w:r>
    </w:p>
    <w:tbl>
      <w:tblPr>
        <w:tblW w:w="8089" w:type="dxa"/>
        <w:jc w:val="left"/>
        <w:tblInd w:w="0" w:type="dxa"/>
        <w:tblLayout w:type="fixed"/>
        <w:tblCellMar>
          <w:top w:w="0" w:type="dxa"/>
          <w:left w:w="0" w:type="dxa"/>
          <w:bottom w:w="0" w:type="dxa"/>
          <w:right w:w="0" w:type="dxa"/>
        </w:tblCellMar>
      </w:tblPr>
      <w:tblGrid>
        <w:gridCol w:w="916"/>
        <w:gridCol w:w="6361"/>
        <w:gridCol w:w="346"/>
        <w:gridCol w:w="466"/>
      </w:tblGrid>
      <w:tr>
        <w:trPr/>
        <w:tc>
          <w:tcPr>
            <w:tcW w:w="916" w:type="dxa"/>
            <w:tcBorders/>
            <w:vAlign w:val="center"/>
          </w:tcPr>
          <w:p>
            <w:pPr>
              <w:pStyle w:val="TableContents"/>
              <w:bidi w:val="0"/>
              <w:spacing w:before="0" w:after="283"/>
              <w:ind w:left="0" w:right="0" w:hanging="0"/>
              <w:jc w:val="left"/>
              <w:rPr>
                <w:sz w:val="4"/>
                <w:szCs w:val="4"/>
              </w:rPr>
            </w:pPr>
            <w:r>
              <w:rPr>
                <w:sz w:val="4"/>
                <w:szCs w:val="4"/>
              </w:rPr>
            </w:r>
          </w:p>
        </w:tc>
        <w:tc>
          <w:tcPr>
            <w:tcW w:w="63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7277" w:type="dxa"/>
            <w:gridSpan w:val="2"/>
            <w:tcBorders/>
            <w:vAlign w:val="center"/>
          </w:tcPr>
          <w:p>
            <w:pPr>
              <w:pStyle w:val="TableContents"/>
              <w:bidi w:val="0"/>
              <w:spacing w:lineRule="auto" w:line="285" w:before="0" w:after="0"/>
              <w:ind w:left="0" w:right="0" w:hanging="0"/>
              <w:jc w:val="left"/>
              <w:rPr/>
            </w:pPr>
            <w:hyperlink w:anchor="INTRODUCTION_76351">
              <w:r>
                <w:rPr>
                  <w:rStyle w:val="InternetLink"/>
                  <w:rFonts w:ascii="Times New Roman;Times;serif" w:hAnsi="Times New Roman;Times;serif"/>
                  <w:b w:val="false"/>
                  <w:i w:val="false"/>
                  <w:caps w:val="false"/>
                  <w:smallCaps w:val="false"/>
                  <w:sz w:val="20"/>
                </w:rPr>
                <w:t>INTRODUCTION</w:t>
              </w:r>
            </w:hyperlink>
          </w:p>
        </w:tc>
        <w:tc>
          <w:tcPr>
            <w:tcW w:w="346" w:type="dxa"/>
            <w:tcBorders/>
            <w:vAlign w:val="center"/>
          </w:tcPr>
          <w:p>
            <w:pPr>
              <w:pStyle w:val="TableContents"/>
              <w:bidi w:val="0"/>
              <w:spacing w:lineRule="auto" w:line="285" w:before="0" w:after="0"/>
              <w:ind w:left="0" w:right="0" w:hanging="0"/>
              <w:jc w:val="left"/>
              <w:rPr/>
            </w:pPr>
            <w:r>
              <w:rPr/>
              <w:t>  ​ ​ ​</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277" w:type="dxa"/>
            <w:gridSpan w:val="2"/>
            <w:tcBorders/>
            <w:vAlign w:val="center"/>
          </w:tcPr>
          <w:p>
            <w:pPr>
              <w:pStyle w:val="TableContents"/>
              <w:bidi w:val="0"/>
              <w:spacing w:lineRule="auto" w:line="285" w:before="0" w:after="0"/>
              <w:ind w:left="0" w:right="0" w:hanging="0"/>
              <w:jc w:val="left"/>
              <w:rPr/>
            </w:pPr>
            <w:hyperlink w:anchor="FORWARDLOOKINGINFORMATION_611411">
              <w:r>
                <w:rPr>
                  <w:rStyle w:val="InternetLink"/>
                  <w:rFonts w:ascii="Times New Roman;Times;serif" w:hAnsi="Times New Roman;Times;serif"/>
                  <w:b w:val="false"/>
                  <w:i w:val="false"/>
                  <w:caps w:val="false"/>
                  <w:smallCaps w:val="false"/>
                  <w:sz w:val="20"/>
                </w:rPr>
                <w:t>FORWARD-LOOKING INFORMATION</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77" w:type="dxa"/>
            <w:gridSpan w:val="2"/>
            <w:tcBorders/>
            <w:vAlign w:val="center"/>
          </w:tcPr>
          <w:p>
            <w:pPr>
              <w:pStyle w:val="TableContents"/>
              <w:bidi w:val="0"/>
              <w:spacing w:lineRule="auto" w:line="285" w:before="0" w:after="0"/>
              <w:ind w:left="0" w:right="0" w:hanging="0"/>
              <w:jc w:val="left"/>
              <w:rPr/>
            </w:pPr>
            <w:hyperlink w:anchor="PARTI_472111">
              <w:r>
                <w:rPr>
                  <w:rStyle w:val="InternetLink"/>
                  <w:rFonts w:ascii="Times New Roman;Times;serif" w:hAnsi="Times New Roman;Times;serif"/>
                  <w:b w:val="false"/>
                  <w:i w:val="false"/>
                  <w:caps w:val="false"/>
                  <w:smallCaps w:val="false"/>
                  <w:sz w:val="20"/>
                </w:rPr>
                <w:t>PART I</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16" w:type="dxa"/>
            <w:tcBorders/>
            <w:vAlign w:val="center"/>
          </w:tcPr>
          <w:p>
            <w:pPr>
              <w:pStyle w:val="TableContents"/>
              <w:bidi w:val="0"/>
              <w:spacing w:lineRule="auto" w:line="285"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6361" w:type="dxa"/>
            <w:tcBorders/>
            <w:vAlign w:val="center"/>
          </w:tcPr>
          <w:p>
            <w:pPr>
              <w:pStyle w:val="TableContents"/>
              <w:bidi w:val="0"/>
              <w:spacing w:lineRule="auto" w:line="285"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16" w:type="dxa"/>
            <w:tcBorders/>
            <w:vAlign w:val="center"/>
          </w:tcPr>
          <w:p>
            <w:pPr>
              <w:pStyle w:val="TableContents"/>
              <w:bidi w:val="0"/>
              <w:spacing w:lineRule="auto" w:line="285"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6361" w:type="dxa"/>
            <w:tcBorders/>
            <w:vAlign w:val="center"/>
          </w:tcPr>
          <w:p>
            <w:pPr>
              <w:pStyle w:val="TableContents"/>
              <w:bidi w:val="0"/>
              <w:spacing w:lineRule="auto" w:line="285"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16" w:type="dxa"/>
            <w:tcBorders/>
            <w:vAlign w:val="center"/>
          </w:tcPr>
          <w:p>
            <w:pPr>
              <w:pStyle w:val="TableContents"/>
              <w:bidi w:val="0"/>
              <w:spacing w:lineRule="auto" w:line="285" w:before="0" w:after="0"/>
              <w:ind w:left="0" w:right="0" w:hanging="0"/>
              <w:jc w:val="left"/>
              <w:rPr/>
            </w:pPr>
            <w:hyperlink w:anchor="Item3KeyInformation_51046">
              <w:r>
                <w:rPr>
                  <w:rStyle w:val="InternetLink"/>
                  <w:rFonts w:ascii="Times New Roman;Times;serif" w:hAnsi="Times New Roman;Times;serif"/>
                  <w:b w:val="false"/>
                  <w:i w:val="false"/>
                  <w:caps w:val="false"/>
                  <w:smallCaps w:val="false"/>
                  <w:sz w:val="20"/>
                </w:rPr>
                <w:t>Item 3.</w:t>
              </w:r>
            </w:hyperlink>
          </w:p>
        </w:tc>
        <w:tc>
          <w:tcPr>
            <w:tcW w:w="6361" w:type="dxa"/>
            <w:tcBorders/>
            <w:vAlign w:val="center"/>
          </w:tcPr>
          <w:p>
            <w:pPr>
              <w:pStyle w:val="TableContents"/>
              <w:bidi w:val="0"/>
              <w:spacing w:lineRule="auto" w:line="285" w:before="0" w:after="0"/>
              <w:ind w:left="0" w:right="0" w:hanging="0"/>
              <w:jc w:val="left"/>
              <w:rPr/>
            </w:pPr>
            <w:hyperlink w:anchor="Item3KeyInformation_51046">
              <w:r>
                <w:rPr>
                  <w:rStyle w:val="InternetLink"/>
                  <w:rFonts w:ascii="Times New Roman;Times;serif" w:hAnsi="Times New Roman;Times;serif"/>
                  <w:b w:val="false"/>
                  <w:i w:val="false"/>
                  <w:caps w:val="false"/>
                  <w:smallCaps w:val="false"/>
                  <w:sz w:val="20"/>
                </w:rPr>
                <w:t>Key Information</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16" w:type="dxa"/>
            <w:tcBorders/>
            <w:vAlign w:val="center"/>
          </w:tcPr>
          <w:p>
            <w:pPr>
              <w:pStyle w:val="TableContents"/>
              <w:bidi w:val="0"/>
              <w:spacing w:lineRule="auto" w:line="285" w:before="0" w:after="0"/>
              <w:ind w:left="0" w:right="0" w:hanging="0"/>
              <w:jc w:val="left"/>
              <w:rPr/>
            </w:pPr>
            <w:hyperlink w:anchor="Item4InformationontheCompany_647516">
              <w:r>
                <w:rPr>
                  <w:rStyle w:val="InternetLink"/>
                  <w:rFonts w:ascii="Times New Roman;Times;serif" w:hAnsi="Times New Roman;Times;serif"/>
                  <w:b w:val="false"/>
                  <w:i w:val="false"/>
                  <w:caps w:val="false"/>
                  <w:smallCaps w:val="false"/>
                  <w:sz w:val="20"/>
                </w:rPr>
                <w:t>Item 4.</w:t>
              </w:r>
            </w:hyperlink>
          </w:p>
        </w:tc>
        <w:tc>
          <w:tcPr>
            <w:tcW w:w="6361" w:type="dxa"/>
            <w:tcBorders/>
            <w:vAlign w:val="center"/>
          </w:tcPr>
          <w:p>
            <w:pPr>
              <w:pStyle w:val="TableContents"/>
              <w:bidi w:val="0"/>
              <w:spacing w:lineRule="auto" w:line="285" w:before="0" w:after="0"/>
              <w:ind w:left="0" w:right="0" w:hanging="0"/>
              <w:jc w:val="left"/>
              <w:rPr/>
            </w:pPr>
            <w:hyperlink w:anchor="Item4InformationontheCompany_647516">
              <w:r>
                <w:rPr>
                  <w:rStyle w:val="InternetLink"/>
                  <w:rFonts w:ascii="Times New Roman;Times;serif" w:hAnsi="Times New Roman;Times;serif"/>
                  <w:b w:val="false"/>
                  <w:i w:val="false"/>
                  <w:caps w:val="false"/>
                  <w:smallCaps w:val="false"/>
                  <w:sz w:val="20"/>
                </w:rPr>
                <w:t>Information on the Company</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16" w:type="dxa"/>
            <w:tcBorders/>
            <w:vAlign w:val="center"/>
          </w:tcPr>
          <w:p>
            <w:pPr>
              <w:pStyle w:val="TableContents"/>
              <w:bidi w:val="0"/>
              <w:spacing w:lineRule="auto" w:line="285" w:before="0" w:after="0"/>
              <w:ind w:left="0" w:right="0" w:hanging="0"/>
              <w:jc w:val="left"/>
              <w:rPr/>
            </w:pPr>
            <w:hyperlink w:anchor="Item4AUnresolvedStaffComments_895031">
              <w:r>
                <w:rPr>
                  <w:rStyle w:val="InternetLink"/>
                  <w:rFonts w:ascii="Times New Roman;Times;serif" w:hAnsi="Times New Roman;Times;serif"/>
                  <w:b w:val="false"/>
                  <w:i w:val="false"/>
                  <w:caps w:val="false"/>
                  <w:smallCaps w:val="false"/>
                  <w:sz w:val="20"/>
                </w:rPr>
                <w:t>Item 4A.</w:t>
              </w:r>
            </w:hyperlink>
          </w:p>
        </w:tc>
        <w:tc>
          <w:tcPr>
            <w:tcW w:w="6361" w:type="dxa"/>
            <w:tcBorders/>
            <w:vAlign w:val="center"/>
          </w:tcPr>
          <w:p>
            <w:pPr>
              <w:pStyle w:val="TableContents"/>
              <w:bidi w:val="0"/>
              <w:spacing w:lineRule="auto" w:line="285" w:before="0" w:after="0"/>
              <w:ind w:left="0" w:right="0" w:hanging="0"/>
              <w:jc w:val="left"/>
              <w:rPr/>
            </w:pPr>
            <w:hyperlink w:anchor="Item4AUnresolvedStaffComments_895031">
              <w:r>
                <w:rPr>
                  <w:rStyle w:val="InternetLink"/>
                  <w:rFonts w:ascii="Times New Roman;Times;serif" w:hAnsi="Times New Roman;Times;serif"/>
                  <w:b w:val="false"/>
                  <w:i w:val="false"/>
                  <w:caps w:val="false"/>
                  <w:smallCaps w:val="false"/>
                  <w:sz w:val="20"/>
                </w:rPr>
                <w:t>Unresolved Staff Comments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916" w:type="dxa"/>
            <w:tcBorders/>
            <w:vAlign w:val="center"/>
          </w:tcPr>
          <w:p>
            <w:pPr>
              <w:pStyle w:val="TableContents"/>
              <w:bidi w:val="0"/>
              <w:spacing w:lineRule="auto" w:line="285"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6361" w:type="dxa"/>
            <w:tcBorders/>
            <w:vAlign w:val="center"/>
          </w:tcPr>
          <w:p>
            <w:pPr>
              <w:pStyle w:val="TableContents"/>
              <w:bidi w:val="0"/>
              <w:spacing w:lineRule="auto" w:line="285"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916" w:type="dxa"/>
            <w:tcBorders/>
            <w:vAlign w:val="center"/>
          </w:tcPr>
          <w:p>
            <w:pPr>
              <w:pStyle w:val="TableContents"/>
              <w:bidi w:val="0"/>
              <w:spacing w:lineRule="auto" w:line="285"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6361" w:type="dxa"/>
            <w:tcBorders/>
            <w:vAlign w:val="center"/>
          </w:tcPr>
          <w:p>
            <w:pPr>
              <w:pStyle w:val="TableContents"/>
              <w:bidi w:val="0"/>
              <w:spacing w:lineRule="auto" w:line="285"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916" w:type="dxa"/>
            <w:tcBorders/>
            <w:vAlign w:val="center"/>
          </w:tcPr>
          <w:p>
            <w:pPr>
              <w:pStyle w:val="TableContents"/>
              <w:bidi w:val="0"/>
              <w:spacing w:lineRule="auto" w:line="285"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6361" w:type="dxa"/>
            <w:tcBorders/>
            <w:vAlign w:val="center"/>
          </w:tcPr>
          <w:p>
            <w:pPr>
              <w:pStyle w:val="TableContents"/>
              <w:bidi w:val="0"/>
              <w:spacing w:lineRule="auto" w:line="285"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916" w:type="dxa"/>
            <w:tcBorders/>
            <w:vAlign w:val="center"/>
          </w:tcPr>
          <w:p>
            <w:pPr>
              <w:pStyle w:val="TableContents"/>
              <w:bidi w:val="0"/>
              <w:spacing w:lineRule="auto" w:line="285" w:before="0" w:after="0"/>
              <w:ind w:left="0" w:right="0" w:hanging="0"/>
              <w:jc w:val="left"/>
              <w:rPr/>
            </w:pPr>
            <w:hyperlink w:anchor="Item8FinancialInformation_170548">
              <w:r>
                <w:rPr>
                  <w:rStyle w:val="InternetLink"/>
                  <w:rFonts w:ascii="Times New Roman;Times;serif" w:hAnsi="Times New Roman;Times;serif"/>
                  <w:b w:val="false"/>
                  <w:i w:val="false"/>
                  <w:caps w:val="false"/>
                  <w:smallCaps w:val="false"/>
                  <w:sz w:val="20"/>
                </w:rPr>
                <w:t>Item 8.</w:t>
              </w:r>
            </w:hyperlink>
          </w:p>
        </w:tc>
        <w:tc>
          <w:tcPr>
            <w:tcW w:w="6361" w:type="dxa"/>
            <w:tcBorders/>
            <w:vAlign w:val="center"/>
          </w:tcPr>
          <w:p>
            <w:pPr>
              <w:pStyle w:val="TableContents"/>
              <w:bidi w:val="0"/>
              <w:spacing w:lineRule="auto" w:line="285" w:before="0" w:after="0"/>
              <w:ind w:left="0" w:right="0" w:hanging="0"/>
              <w:jc w:val="left"/>
              <w:rPr/>
            </w:pPr>
            <w:hyperlink w:anchor="Item8FinancialInformation_170548">
              <w:r>
                <w:rPr>
                  <w:rStyle w:val="InternetLink"/>
                  <w:rFonts w:ascii="Times New Roman;Times;serif" w:hAnsi="Times New Roman;Times;serif"/>
                  <w:b w:val="false"/>
                  <w:i w:val="false"/>
                  <w:caps w:val="false"/>
                  <w:smallCaps w:val="false"/>
                  <w:sz w:val="20"/>
                </w:rPr>
                <w:t>Financial Information</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16" w:type="dxa"/>
            <w:tcBorders/>
            <w:vAlign w:val="center"/>
          </w:tcPr>
          <w:p>
            <w:pPr>
              <w:pStyle w:val="TableContents"/>
              <w:bidi w:val="0"/>
              <w:spacing w:lineRule="auto" w:line="285" w:before="0" w:after="0"/>
              <w:ind w:left="0" w:right="0" w:hanging="0"/>
              <w:jc w:val="left"/>
              <w:rPr/>
            </w:pPr>
            <w:hyperlink w:anchor="Item9TheOfferandListing_958063">
              <w:r>
                <w:rPr>
                  <w:rStyle w:val="InternetLink"/>
                  <w:rFonts w:ascii="Times New Roman;Times;serif" w:hAnsi="Times New Roman;Times;serif"/>
                  <w:b w:val="false"/>
                  <w:i w:val="false"/>
                  <w:caps w:val="false"/>
                  <w:smallCaps w:val="false"/>
                  <w:sz w:val="20"/>
                </w:rPr>
                <w:t>Item 9.</w:t>
              </w:r>
            </w:hyperlink>
          </w:p>
        </w:tc>
        <w:tc>
          <w:tcPr>
            <w:tcW w:w="6361" w:type="dxa"/>
            <w:tcBorders/>
            <w:vAlign w:val="center"/>
          </w:tcPr>
          <w:p>
            <w:pPr>
              <w:pStyle w:val="TableContents"/>
              <w:bidi w:val="0"/>
              <w:spacing w:lineRule="auto" w:line="285" w:before="0" w:after="0"/>
              <w:ind w:left="0" w:right="0" w:hanging="0"/>
              <w:jc w:val="left"/>
              <w:rPr/>
            </w:pPr>
            <w:hyperlink w:anchor="Item9TheOfferandListing_958063">
              <w:r>
                <w:rPr>
                  <w:rStyle w:val="InternetLink"/>
                  <w:rFonts w:ascii="Times New Roman;Times;serif" w:hAnsi="Times New Roman;Times;serif"/>
                  <w:b w:val="false"/>
                  <w:i w:val="false"/>
                  <w:caps w:val="false"/>
                  <w:smallCaps w:val="false"/>
                  <w:sz w:val="20"/>
                </w:rPr>
                <w:t>The Offer and Listing</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916" w:type="dxa"/>
            <w:tcBorders/>
            <w:vAlign w:val="center"/>
          </w:tcPr>
          <w:p>
            <w:pPr>
              <w:pStyle w:val="TableContents"/>
              <w:bidi w:val="0"/>
              <w:spacing w:lineRule="auto" w:line="285" w:before="0" w:after="0"/>
              <w:ind w:left="0" w:right="0" w:hanging="0"/>
              <w:jc w:val="left"/>
              <w:rPr/>
            </w:pPr>
            <w:hyperlink w:anchor="Item10AdditionalInformation_527357">
              <w:r>
                <w:rPr>
                  <w:rStyle w:val="InternetLink"/>
                  <w:rFonts w:ascii="Times New Roman;Times;serif" w:hAnsi="Times New Roman;Times;serif"/>
                  <w:b w:val="false"/>
                  <w:i w:val="false"/>
                  <w:caps w:val="false"/>
                  <w:smallCaps w:val="false"/>
                  <w:sz w:val="20"/>
                </w:rPr>
                <w:t>Item 10.</w:t>
              </w:r>
            </w:hyperlink>
          </w:p>
        </w:tc>
        <w:tc>
          <w:tcPr>
            <w:tcW w:w="6361" w:type="dxa"/>
            <w:tcBorders/>
            <w:vAlign w:val="center"/>
          </w:tcPr>
          <w:p>
            <w:pPr>
              <w:pStyle w:val="TableContents"/>
              <w:bidi w:val="0"/>
              <w:spacing w:lineRule="auto" w:line="285" w:before="0" w:after="0"/>
              <w:ind w:left="0" w:right="0" w:hanging="0"/>
              <w:jc w:val="left"/>
              <w:rPr/>
            </w:pPr>
            <w:hyperlink w:anchor="Item10AdditionalInformation_527357">
              <w:r>
                <w:rPr>
                  <w:rStyle w:val="InternetLink"/>
                  <w:rFonts w:ascii="Times New Roman;Times;serif" w:hAnsi="Times New Roman;Times;serif"/>
                  <w:b w:val="false"/>
                  <w:i w:val="false"/>
                  <w:caps w:val="false"/>
                  <w:smallCaps w:val="false"/>
                  <w:sz w:val="20"/>
                </w:rPr>
                <w:t>Additional Information</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916" w:type="dxa"/>
            <w:tcBorders/>
            <w:vAlign w:val="center"/>
          </w:tcPr>
          <w:p>
            <w:pPr>
              <w:pStyle w:val="TableContents"/>
              <w:bidi w:val="0"/>
              <w:spacing w:lineRule="auto" w:line="285"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6361" w:type="dxa"/>
            <w:tcBorders/>
            <w:vAlign w:val="center"/>
          </w:tcPr>
          <w:p>
            <w:pPr>
              <w:pStyle w:val="TableContents"/>
              <w:bidi w:val="0"/>
              <w:spacing w:lineRule="auto" w:line="285"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916" w:type="dxa"/>
            <w:tcBorders/>
            <w:vAlign w:val="center"/>
          </w:tcPr>
          <w:p>
            <w:pPr>
              <w:pStyle w:val="TableContents"/>
              <w:bidi w:val="0"/>
              <w:spacing w:lineRule="auto" w:line="285"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6361" w:type="dxa"/>
            <w:tcBorders/>
            <w:vAlign w:val="center"/>
          </w:tcPr>
          <w:p>
            <w:pPr>
              <w:pStyle w:val="TableContents"/>
              <w:bidi w:val="0"/>
              <w:spacing w:lineRule="auto" w:line="285"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7277" w:type="dxa"/>
            <w:gridSpan w:val="2"/>
            <w:tcBorders/>
            <w:vAlign w:val="center"/>
          </w:tcPr>
          <w:p>
            <w:pPr>
              <w:pStyle w:val="TableContents"/>
              <w:bidi w:val="0"/>
              <w:spacing w:lineRule="auto" w:line="285" w:before="0" w:after="0"/>
              <w:ind w:left="0" w:right="0" w:hanging="0"/>
              <w:jc w:val="left"/>
              <w:rPr/>
            </w:pPr>
            <w:hyperlink w:anchor="PARTII_902650">
              <w:r>
                <w:rPr>
                  <w:rStyle w:val="InternetLink"/>
                  <w:rFonts w:ascii="Times New Roman;Times;serif" w:hAnsi="Times New Roman;Times;serif"/>
                  <w:b w:val="false"/>
                  <w:i w:val="false"/>
                  <w:caps w:val="false"/>
                  <w:smallCaps w:val="false"/>
                  <w:sz w:val="20"/>
                </w:rPr>
                <w:t>PART II</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916" w:type="dxa"/>
            <w:tcBorders/>
            <w:vAlign w:val="center"/>
          </w:tcPr>
          <w:p>
            <w:pPr>
              <w:pStyle w:val="TableContents"/>
              <w:bidi w:val="0"/>
              <w:spacing w:lineRule="auto" w:line="285"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6361" w:type="dxa"/>
            <w:tcBorders/>
            <w:vAlign w:val="center"/>
          </w:tcPr>
          <w:p>
            <w:pPr>
              <w:pStyle w:val="TableContents"/>
              <w:bidi w:val="0"/>
              <w:spacing w:lineRule="auto" w:line="285"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916" w:type="dxa"/>
            <w:tcBorders/>
            <w:vAlign w:val="center"/>
          </w:tcPr>
          <w:p>
            <w:pPr>
              <w:pStyle w:val="TableContents"/>
              <w:bidi w:val="0"/>
              <w:spacing w:lineRule="auto" w:line="285"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6361" w:type="dxa"/>
            <w:tcBorders/>
            <w:vAlign w:val="center"/>
          </w:tcPr>
          <w:p>
            <w:pPr>
              <w:pStyle w:val="TableContents"/>
              <w:bidi w:val="0"/>
              <w:spacing w:lineRule="auto" w:line="285"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916" w:type="dxa"/>
            <w:tcBorders/>
            <w:vAlign w:val="center"/>
          </w:tcPr>
          <w:p>
            <w:pPr>
              <w:pStyle w:val="TableContents"/>
              <w:bidi w:val="0"/>
              <w:spacing w:lineRule="auto" w:line="285" w:before="0" w:after="0"/>
              <w:ind w:left="0" w:right="0" w:hanging="0"/>
              <w:jc w:val="left"/>
              <w:rPr/>
            </w:pPr>
            <w:hyperlink w:anchor="Item15ControlsandProcedures_617024">
              <w:r>
                <w:rPr>
                  <w:rStyle w:val="InternetLink"/>
                  <w:rFonts w:ascii="Times New Roman;Times;serif" w:hAnsi="Times New Roman;Times;serif"/>
                  <w:b w:val="false"/>
                  <w:i w:val="false"/>
                  <w:caps w:val="false"/>
                  <w:smallCaps w:val="false"/>
                  <w:sz w:val="20"/>
                </w:rPr>
                <w:t>Item 15.</w:t>
              </w:r>
            </w:hyperlink>
          </w:p>
        </w:tc>
        <w:tc>
          <w:tcPr>
            <w:tcW w:w="6361" w:type="dxa"/>
            <w:tcBorders/>
            <w:vAlign w:val="center"/>
          </w:tcPr>
          <w:p>
            <w:pPr>
              <w:pStyle w:val="TableContents"/>
              <w:bidi w:val="0"/>
              <w:spacing w:lineRule="auto" w:line="285" w:before="0" w:after="0"/>
              <w:ind w:left="0" w:right="0" w:hanging="0"/>
              <w:jc w:val="left"/>
              <w:rPr/>
            </w:pPr>
            <w:hyperlink w:anchor="Item15ControlsandProcedures_617024">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916" w:type="dxa"/>
            <w:tcBorders/>
            <w:vAlign w:val="center"/>
          </w:tcPr>
          <w:p>
            <w:pPr>
              <w:pStyle w:val="TableContents"/>
              <w:bidi w:val="0"/>
              <w:spacing w:lineRule="auto" w:line="285" w:before="0" w:after="0"/>
              <w:ind w:left="0" w:right="0" w:hanging="0"/>
              <w:jc w:val="left"/>
              <w:rPr/>
            </w:pPr>
            <w:hyperlink w:anchor="Item16Reserved_820720">
              <w:r>
                <w:rPr>
                  <w:rStyle w:val="InternetLink"/>
                  <w:rFonts w:ascii="Times New Roman;Times;serif" w:hAnsi="Times New Roman;Times;serif"/>
                  <w:b w:val="false"/>
                  <w:i w:val="false"/>
                  <w:caps w:val="false"/>
                  <w:smallCaps w:val="false"/>
                  <w:sz w:val="20"/>
                </w:rPr>
                <w:t>Item 16</w:t>
              </w:r>
            </w:hyperlink>
            <w:r>
              <w:rPr>
                <w:rFonts w:ascii="Times New Roman;Times;serif" w:hAnsi="Times New Roman;Times;serif"/>
                <w:sz w:val="22"/>
              </w:rPr>
              <w:t>.</w:t>
            </w:r>
          </w:p>
        </w:tc>
        <w:tc>
          <w:tcPr>
            <w:tcW w:w="6361" w:type="dxa"/>
            <w:tcBorders/>
            <w:vAlign w:val="center"/>
          </w:tcPr>
          <w:p>
            <w:pPr>
              <w:pStyle w:val="TableContents"/>
              <w:bidi w:val="0"/>
              <w:spacing w:lineRule="auto" w:line="285" w:before="0" w:after="0"/>
              <w:ind w:left="0" w:right="0" w:hanging="0"/>
              <w:jc w:val="left"/>
              <w:rPr/>
            </w:pPr>
            <w:hyperlink w:anchor="Item16Reserved_820720">
              <w:r>
                <w:rPr>
                  <w:rStyle w:val="InternetLink"/>
                  <w:rFonts w:ascii="Times New Roman;Times;serif" w:hAnsi="Times New Roman;Times;serif"/>
                  <w:b w:val="false"/>
                  <w:i w:val="false"/>
                  <w:caps w:val="false"/>
                  <w:smallCaps w:val="false"/>
                  <w:sz w:val="20"/>
                </w:rPr>
                <w:t>[Reserved]</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916" w:type="dxa"/>
            <w:tcBorders/>
            <w:vAlign w:val="center"/>
          </w:tcPr>
          <w:p>
            <w:pPr>
              <w:pStyle w:val="TableContents"/>
              <w:bidi w:val="0"/>
              <w:spacing w:lineRule="auto" w:line="285" w:before="0" w:after="0"/>
              <w:ind w:left="0" w:right="0" w:hanging="0"/>
              <w:jc w:val="left"/>
              <w:rPr/>
            </w:pPr>
            <w:hyperlink w:anchor="Item16AAuditCommitteeFinancialExpert_356">
              <w:r>
                <w:rPr>
                  <w:rStyle w:val="InternetLink"/>
                  <w:rFonts w:ascii="Times New Roman;Times;serif" w:hAnsi="Times New Roman;Times;serif"/>
                  <w:b w:val="false"/>
                  <w:i w:val="false"/>
                  <w:caps w:val="false"/>
                  <w:smallCaps w:val="false"/>
                  <w:sz w:val="20"/>
                </w:rPr>
                <w:t>Item 16A.</w:t>
              </w:r>
            </w:hyperlink>
          </w:p>
        </w:tc>
        <w:tc>
          <w:tcPr>
            <w:tcW w:w="6361" w:type="dxa"/>
            <w:tcBorders/>
            <w:vAlign w:val="center"/>
          </w:tcPr>
          <w:p>
            <w:pPr>
              <w:pStyle w:val="TableContents"/>
              <w:bidi w:val="0"/>
              <w:spacing w:lineRule="auto" w:line="285" w:before="0" w:after="0"/>
              <w:ind w:left="0" w:right="0" w:hanging="0"/>
              <w:jc w:val="left"/>
              <w:rPr/>
            </w:pPr>
            <w:hyperlink w:anchor="Item16AAuditCommitteeFinancialExpert_356">
              <w:r>
                <w:rPr>
                  <w:rStyle w:val="InternetLink"/>
                  <w:rFonts w:ascii="Times New Roman;Times;serif" w:hAnsi="Times New Roman;Times;serif"/>
                  <w:b w:val="false"/>
                  <w:i w:val="false"/>
                  <w:caps w:val="false"/>
                  <w:smallCaps w:val="false"/>
                  <w:sz w:val="20"/>
                </w:rPr>
                <w:t>Audit Committee Financial Expert</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916" w:type="dxa"/>
            <w:tcBorders/>
            <w:vAlign w:val="center"/>
          </w:tcPr>
          <w:p>
            <w:pPr>
              <w:pStyle w:val="TableContents"/>
              <w:bidi w:val="0"/>
              <w:spacing w:lineRule="auto" w:line="285" w:before="0" w:after="0"/>
              <w:ind w:left="0" w:right="0" w:hanging="0"/>
              <w:jc w:val="left"/>
              <w:rPr/>
            </w:pPr>
            <w:hyperlink w:anchor="Item16BCodeofEthics_995719">
              <w:r>
                <w:rPr>
                  <w:rStyle w:val="InternetLink"/>
                  <w:rFonts w:ascii="Times New Roman;Times;serif" w:hAnsi="Times New Roman;Times;serif"/>
                  <w:b w:val="false"/>
                  <w:i w:val="false"/>
                  <w:caps w:val="false"/>
                  <w:smallCaps w:val="false"/>
                  <w:sz w:val="20"/>
                </w:rPr>
                <w:t>Item 16B.</w:t>
              </w:r>
            </w:hyperlink>
          </w:p>
        </w:tc>
        <w:tc>
          <w:tcPr>
            <w:tcW w:w="6361" w:type="dxa"/>
            <w:tcBorders/>
            <w:vAlign w:val="center"/>
          </w:tcPr>
          <w:p>
            <w:pPr>
              <w:pStyle w:val="TableContents"/>
              <w:bidi w:val="0"/>
              <w:spacing w:lineRule="auto" w:line="285" w:before="0" w:after="0"/>
              <w:ind w:left="0" w:right="0" w:hanging="0"/>
              <w:jc w:val="left"/>
              <w:rPr/>
            </w:pPr>
            <w:hyperlink w:anchor="Item16BCodeofEthics_995719">
              <w:r>
                <w:rPr>
                  <w:rStyle w:val="InternetLink"/>
                  <w:rFonts w:ascii="Times New Roman;Times;serif" w:hAnsi="Times New Roman;Times;serif"/>
                  <w:b w:val="false"/>
                  <w:i w:val="false"/>
                  <w:caps w:val="false"/>
                  <w:smallCaps w:val="false"/>
                  <w:sz w:val="20"/>
                </w:rPr>
                <w:t>Code of Ethics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916" w:type="dxa"/>
            <w:tcBorders/>
            <w:vAlign w:val="center"/>
          </w:tcPr>
          <w:p>
            <w:pPr>
              <w:pStyle w:val="TableContents"/>
              <w:bidi w:val="0"/>
              <w:spacing w:lineRule="auto" w:line="285"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6361" w:type="dxa"/>
            <w:tcBorders/>
            <w:vAlign w:val="center"/>
          </w:tcPr>
          <w:p>
            <w:pPr>
              <w:pStyle w:val="TableContents"/>
              <w:bidi w:val="0"/>
              <w:spacing w:lineRule="auto" w:line="285"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916" w:type="dxa"/>
            <w:tcBorders/>
            <w:vAlign w:val="center"/>
          </w:tcPr>
          <w:p>
            <w:pPr>
              <w:pStyle w:val="TableContents"/>
              <w:bidi w:val="0"/>
              <w:spacing w:lineRule="auto" w:line="285"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6361" w:type="dxa"/>
            <w:tcBorders/>
            <w:vAlign w:val="center"/>
          </w:tcPr>
          <w:p>
            <w:pPr>
              <w:pStyle w:val="TableContents"/>
              <w:bidi w:val="0"/>
              <w:spacing w:lineRule="auto" w:line="285"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916" w:type="dxa"/>
            <w:tcBorders/>
            <w:vAlign w:val="center"/>
          </w:tcPr>
          <w:p>
            <w:pPr>
              <w:pStyle w:val="TableContents"/>
              <w:bidi w:val="0"/>
              <w:spacing w:lineRule="auto" w:line="285"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6361" w:type="dxa"/>
            <w:tcBorders/>
            <w:vAlign w:val="center"/>
          </w:tcPr>
          <w:p>
            <w:pPr>
              <w:pStyle w:val="TableContents"/>
              <w:bidi w:val="0"/>
              <w:spacing w:lineRule="auto" w:line="285"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916" w:type="dxa"/>
            <w:tcBorders/>
            <w:vAlign w:val="center"/>
          </w:tcPr>
          <w:p>
            <w:pPr>
              <w:pStyle w:val="TableContents"/>
              <w:bidi w:val="0"/>
              <w:spacing w:lineRule="auto" w:line="285"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6361" w:type="dxa"/>
            <w:tcBorders/>
            <w:vAlign w:val="center"/>
          </w:tcPr>
          <w:p>
            <w:pPr>
              <w:pStyle w:val="TableContents"/>
              <w:bidi w:val="0"/>
              <w:spacing w:lineRule="auto" w:line="285"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916" w:type="dxa"/>
            <w:tcBorders/>
            <w:vAlign w:val="center"/>
          </w:tcPr>
          <w:p>
            <w:pPr>
              <w:pStyle w:val="TableContents"/>
              <w:bidi w:val="0"/>
              <w:spacing w:lineRule="auto" w:line="285" w:before="0" w:after="0"/>
              <w:ind w:left="0" w:right="0" w:hanging="0"/>
              <w:jc w:val="left"/>
              <w:rPr/>
            </w:pPr>
            <w:hyperlink w:anchor="Item16GCorporateGovernance_817712">
              <w:r>
                <w:rPr>
                  <w:rStyle w:val="InternetLink"/>
                  <w:rFonts w:ascii="Times New Roman;Times;serif" w:hAnsi="Times New Roman;Times;serif"/>
                  <w:b w:val="false"/>
                  <w:i w:val="false"/>
                  <w:caps w:val="false"/>
                  <w:smallCaps w:val="false"/>
                  <w:sz w:val="20"/>
                </w:rPr>
                <w:t>Item 16G.</w:t>
              </w:r>
            </w:hyperlink>
          </w:p>
        </w:tc>
        <w:tc>
          <w:tcPr>
            <w:tcW w:w="6361" w:type="dxa"/>
            <w:tcBorders/>
            <w:vAlign w:val="center"/>
          </w:tcPr>
          <w:p>
            <w:pPr>
              <w:pStyle w:val="TableContents"/>
              <w:bidi w:val="0"/>
              <w:spacing w:lineRule="auto" w:line="285" w:before="0" w:after="0"/>
              <w:ind w:left="0" w:right="0" w:hanging="0"/>
              <w:jc w:val="left"/>
              <w:rPr/>
            </w:pPr>
            <w:hyperlink w:anchor="Item16GCorporateGovernance_817712">
              <w:r>
                <w:rPr>
                  <w:rStyle w:val="InternetLink"/>
                  <w:rFonts w:ascii="Times New Roman;Times;serif" w:hAnsi="Times New Roman;Times;serif"/>
                  <w:b w:val="false"/>
                  <w:i w:val="false"/>
                  <w:caps w:val="false"/>
                  <w:smallCaps w:val="false"/>
                  <w:sz w:val="20"/>
                </w:rPr>
                <w:t>Corporate Governance</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916" w:type="dxa"/>
            <w:tcBorders/>
            <w:vAlign w:val="center"/>
          </w:tcPr>
          <w:p>
            <w:pPr>
              <w:pStyle w:val="TableContents"/>
              <w:bidi w:val="0"/>
              <w:spacing w:lineRule="auto" w:line="285" w:before="0" w:after="0"/>
              <w:ind w:left="0" w:right="0" w:hanging="0"/>
              <w:jc w:val="left"/>
              <w:rPr/>
            </w:pPr>
            <w:hyperlink w:anchor="Item16HMineSafetyDisclosure_617278">
              <w:r>
                <w:rPr>
                  <w:rStyle w:val="InternetLink"/>
                  <w:rFonts w:ascii="Times New Roman;Times;serif" w:hAnsi="Times New Roman;Times;serif"/>
                  <w:b w:val="false"/>
                  <w:i w:val="false"/>
                  <w:caps w:val="false"/>
                  <w:smallCaps w:val="false"/>
                  <w:sz w:val="20"/>
                </w:rPr>
                <w:t>Item 16H.</w:t>
              </w:r>
            </w:hyperlink>
          </w:p>
        </w:tc>
        <w:tc>
          <w:tcPr>
            <w:tcW w:w="6361" w:type="dxa"/>
            <w:tcBorders/>
            <w:vAlign w:val="center"/>
          </w:tcPr>
          <w:p>
            <w:pPr>
              <w:pStyle w:val="TableContents"/>
              <w:bidi w:val="0"/>
              <w:spacing w:lineRule="auto" w:line="285" w:before="0" w:after="0"/>
              <w:ind w:left="0" w:right="0" w:hanging="0"/>
              <w:jc w:val="left"/>
              <w:rPr/>
            </w:pPr>
            <w:hyperlink w:anchor="Item16HMineSafetyDisclosure_617278">
              <w:r>
                <w:rPr>
                  <w:rStyle w:val="InternetLink"/>
                  <w:rFonts w:ascii="Times New Roman;Times;serif" w:hAnsi="Times New Roman;Times;serif"/>
                  <w:b w:val="false"/>
                  <w:i w:val="false"/>
                  <w:caps w:val="false"/>
                  <w:smallCaps w:val="false"/>
                  <w:sz w:val="20"/>
                </w:rPr>
                <w:t>Mine Safety Disclosure</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916" w:type="dxa"/>
            <w:tcBorders/>
            <w:vAlign w:val="center"/>
          </w:tcPr>
          <w:p>
            <w:pPr>
              <w:pStyle w:val="TableContents"/>
              <w:bidi w:val="0"/>
              <w:spacing w:lineRule="auto" w:line="285"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6361" w:type="dxa"/>
            <w:tcBorders/>
            <w:vAlign w:val="center"/>
          </w:tcPr>
          <w:p>
            <w:pPr>
              <w:pStyle w:val="TableContents"/>
              <w:bidi w:val="0"/>
              <w:spacing w:lineRule="auto" w:line="285"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916" w:type="dxa"/>
            <w:tcBorders/>
            <w:vAlign w:val="center"/>
          </w:tcPr>
          <w:p>
            <w:pPr>
              <w:pStyle w:val="TableContents"/>
              <w:bidi w:val="0"/>
              <w:spacing w:lineRule="auto" w:line="285" w:before="0" w:after="0"/>
              <w:ind w:left="0" w:right="0" w:hanging="0"/>
              <w:jc w:val="left"/>
              <w:rPr/>
            </w:pPr>
            <w:hyperlink w:anchor="Item16JInsiderTradingPolicies_193616">
              <w:r>
                <w:rPr>
                  <w:rStyle w:val="InternetLink"/>
                  <w:rFonts w:ascii="Times New Roman;Times;serif" w:hAnsi="Times New Roman;Times;serif"/>
                  <w:b w:val="false"/>
                  <w:i w:val="false"/>
                  <w:caps w:val="false"/>
                  <w:smallCaps w:val="false"/>
                  <w:sz w:val="20"/>
                </w:rPr>
                <w:t>Item 16J.</w:t>
              </w:r>
            </w:hyperlink>
          </w:p>
        </w:tc>
        <w:tc>
          <w:tcPr>
            <w:tcW w:w="6361" w:type="dxa"/>
            <w:tcBorders/>
            <w:vAlign w:val="center"/>
          </w:tcPr>
          <w:p>
            <w:pPr>
              <w:pStyle w:val="TableContents"/>
              <w:bidi w:val="0"/>
              <w:spacing w:lineRule="auto" w:line="285" w:before="0" w:after="0"/>
              <w:ind w:left="0" w:right="0" w:hanging="0"/>
              <w:jc w:val="left"/>
              <w:rPr/>
            </w:pPr>
            <w:hyperlink w:anchor="Item16JInsiderTradingPolicies_193616">
              <w:r>
                <w:rPr>
                  <w:rStyle w:val="InternetLink"/>
                  <w:rFonts w:ascii="Times New Roman;Times;serif" w:hAnsi="Times New Roman;Times;serif"/>
                  <w:b w:val="false"/>
                  <w:i w:val="false"/>
                  <w:caps w:val="false"/>
                  <w:smallCaps w:val="false"/>
                  <w:sz w:val="20"/>
                </w:rPr>
                <w:t>Insider Trading Policies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916" w:type="dxa"/>
            <w:tcBorders/>
            <w:vAlign w:val="center"/>
          </w:tcPr>
          <w:p>
            <w:pPr>
              <w:pStyle w:val="TableContents"/>
              <w:bidi w:val="0"/>
              <w:spacing w:lineRule="auto" w:line="285" w:before="0" w:after="0"/>
              <w:ind w:left="0" w:right="0" w:hanging="0"/>
              <w:jc w:val="left"/>
              <w:rPr/>
            </w:pPr>
            <w:hyperlink w:anchor="Item16KCybersecurity_171113">
              <w:r>
                <w:rPr>
                  <w:rStyle w:val="InternetLink"/>
                  <w:rFonts w:ascii="Times New Roman;Times;serif" w:hAnsi="Times New Roman;Times;serif"/>
                  <w:b w:val="false"/>
                  <w:i w:val="false"/>
                  <w:caps w:val="false"/>
                  <w:smallCaps w:val="false"/>
                  <w:sz w:val="20"/>
                </w:rPr>
                <w:t>Item 16K.</w:t>
              </w:r>
            </w:hyperlink>
          </w:p>
        </w:tc>
        <w:tc>
          <w:tcPr>
            <w:tcW w:w="6361" w:type="dxa"/>
            <w:tcBorders/>
            <w:vAlign w:val="center"/>
          </w:tcPr>
          <w:p>
            <w:pPr>
              <w:pStyle w:val="TableContents"/>
              <w:bidi w:val="0"/>
              <w:spacing w:lineRule="auto" w:line="285" w:before="0" w:after="0"/>
              <w:ind w:left="0" w:right="0" w:hanging="0"/>
              <w:jc w:val="left"/>
              <w:rPr/>
            </w:pPr>
            <w:hyperlink w:anchor="Item16KCybersecurity_171113">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7277" w:type="dxa"/>
            <w:gridSpan w:val="2"/>
            <w:tcBorders/>
            <w:vAlign w:val="center"/>
          </w:tcPr>
          <w:p>
            <w:pPr>
              <w:pStyle w:val="TableContents"/>
              <w:bidi w:val="0"/>
              <w:spacing w:lineRule="auto" w:line="285" w:before="0" w:after="0"/>
              <w:ind w:left="0" w:right="0" w:hanging="0"/>
              <w:jc w:val="left"/>
              <w:rPr/>
            </w:pPr>
            <w:hyperlink w:anchor="PARTIII_180319">
              <w:r>
                <w:rPr>
                  <w:rStyle w:val="InternetLink"/>
                  <w:rFonts w:ascii="Times New Roman;Times;serif" w:hAnsi="Times New Roman;Times;serif"/>
                  <w:b w:val="false"/>
                  <w:i w:val="false"/>
                  <w:caps w:val="false"/>
                  <w:smallCaps w:val="false"/>
                  <w:sz w:val="20"/>
                </w:rPr>
                <w:t>PART III</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916" w:type="dxa"/>
            <w:tcBorders/>
            <w:vAlign w:val="center"/>
          </w:tcPr>
          <w:p>
            <w:pPr>
              <w:pStyle w:val="TableContents"/>
              <w:bidi w:val="0"/>
              <w:spacing w:lineRule="auto" w:line="285" w:before="0" w:after="0"/>
              <w:ind w:left="0" w:right="0" w:hanging="0"/>
              <w:jc w:val="left"/>
              <w:rPr/>
            </w:pPr>
            <w:hyperlink w:anchor="Item17FinancialStatements_22760">
              <w:r>
                <w:rPr>
                  <w:rStyle w:val="InternetLink"/>
                  <w:rFonts w:ascii="Times New Roman;Times;serif" w:hAnsi="Times New Roman;Times;serif"/>
                  <w:b w:val="false"/>
                  <w:i w:val="false"/>
                  <w:caps w:val="false"/>
                  <w:smallCaps w:val="false"/>
                  <w:sz w:val="20"/>
                </w:rPr>
                <w:t>Item 17.</w:t>
              </w:r>
            </w:hyperlink>
          </w:p>
        </w:tc>
        <w:tc>
          <w:tcPr>
            <w:tcW w:w="6361" w:type="dxa"/>
            <w:tcBorders/>
            <w:vAlign w:val="center"/>
          </w:tcPr>
          <w:p>
            <w:pPr>
              <w:pStyle w:val="TableContents"/>
              <w:bidi w:val="0"/>
              <w:spacing w:lineRule="auto" w:line="285" w:before="0" w:after="0"/>
              <w:ind w:left="0" w:right="0" w:hanging="0"/>
              <w:jc w:val="left"/>
              <w:rPr/>
            </w:pPr>
            <w:hyperlink w:anchor="Item17FinancialStatements_22760">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916" w:type="dxa"/>
            <w:tcBorders/>
            <w:vAlign w:val="center"/>
          </w:tcPr>
          <w:p>
            <w:pPr>
              <w:pStyle w:val="TableContents"/>
              <w:bidi w:val="0"/>
              <w:spacing w:lineRule="auto" w:line="285" w:before="0" w:after="0"/>
              <w:ind w:left="0" w:right="0" w:hanging="0"/>
              <w:jc w:val="left"/>
              <w:rPr/>
            </w:pPr>
            <w:hyperlink w:anchor="Item18FinancialStatements_741805">
              <w:r>
                <w:rPr>
                  <w:rStyle w:val="InternetLink"/>
                  <w:rFonts w:ascii="Times New Roman;Times;serif" w:hAnsi="Times New Roman;Times;serif"/>
                  <w:b w:val="false"/>
                  <w:i w:val="false"/>
                  <w:caps w:val="false"/>
                  <w:smallCaps w:val="false"/>
                  <w:sz w:val="20"/>
                </w:rPr>
                <w:t>Item 18.</w:t>
              </w:r>
            </w:hyperlink>
          </w:p>
        </w:tc>
        <w:tc>
          <w:tcPr>
            <w:tcW w:w="6361" w:type="dxa"/>
            <w:tcBorders/>
            <w:vAlign w:val="center"/>
          </w:tcPr>
          <w:p>
            <w:pPr>
              <w:pStyle w:val="TableContents"/>
              <w:bidi w:val="0"/>
              <w:spacing w:lineRule="auto" w:line="285" w:before="0" w:after="0"/>
              <w:ind w:left="0" w:right="0" w:hanging="0"/>
              <w:jc w:val="left"/>
              <w:rPr/>
            </w:pPr>
            <w:hyperlink w:anchor="Item18FinancialStatements_741805">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916" w:type="dxa"/>
            <w:tcBorders/>
            <w:vAlign w:val="center"/>
          </w:tcPr>
          <w:p>
            <w:pPr>
              <w:pStyle w:val="TableContents"/>
              <w:bidi w:val="0"/>
              <w:spacing w:lineRule="auto" w:line="285" w:before="0" w:after="0"/>
              <w:ind w:left="0" w:right="0" w:hanging="0"/>
              <w:jc w:val="left"/>
              <w:rPr/>
            </w:pPr>
            <w:hyperlink w:anchor="Item19Exhibits_623319">
              <w:r>
                <w:rPr>
                  <w:rStyle w:val="InternetLink"/>
                  <w:rFonts w:ascii="Times New Roman;Times;serif" w:hAnsi="Times New Roman;Times;serif"/>
                  <w:b w:val="false"/>
                  <w:i w:val="false"/>
                  <w:caps w:val="false"/>
                  <w:smallCaps w:val="false"/>
                  <w:sz w:val="20"/>
                </w:rPr>
                <w:t>Item 19.</w:t>
              </w:r>
            </w:hyperlink>
          </w:p>
        </w:tc>
        <w:tc>
          <w:tcPr>
            <w:tcW w:w="6361" w:type="dxa"/>
            <w:tcBorders/>
            <w:vAlign w:val="center"/>
          </w:tcPr>
          <w:p>
            <w:pPr>
              <w:pStyle w:val="TableContents"/>
              <w:bidi w:val="0"/>
              <w:spacing w:lineRule="auto" w:line="285" w:before="0" w:after="0"/>
              <w:ind w:left="0" w:right="0" w:hanging="0"/>
              <w:jc w:val="left"/>
              <w:rPr/>
            </w:pPr>
            <w:hyperlink w:anchor="Item19Exhibits_623319">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shd w:fill="FFFF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7277" w:type="dxa"/>
            <w:gridSpan w:val="2"/>
            <w:tcBorders/>
            <w:vAlign w:val="center"/>
          </w:tcPr>
          <w:p>
            <w:pPr>
              <w:pStyle w:val="TableContents"/>
              <w:bidi w:val="0"/>
              <w:spacing w:lineRule="auto" w:line="285" w:before="0" w:after="0"/>
              <w:ind w:left="0" w:right="0" w:hanging="0"/>
              <w:jc w:val="left"/>
              <w:rPr/>
            </w:pPr>
            <w:hyperlink w:anchor="SIGNATURES_895504">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31" w:name="INTRODUCTION_76351"/>
      <w:bookmarkStart w:id="32" w:name="_20aed764_e9de_4002_99ec_279a4d3a94a6"/>
      <w:bookmarkEnd w:id="31"/>
      <w:bookmarkEnd w:id="32"/>
      <w:r>
        <w:rPr>
          <w:rFonts w:ascii="Times New Roman;Times;serif" w:hAnsi="Times New Roman;Times;serif"/>
          <w:b/>
          <w:sz w:val="20"/>
        </w:rPr>
        <w:t>INTRODUCTION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this annual report, except where the context otherwise requires and for purposes of this annual report only:</w:t>
      </w:r>
    </w:p>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ADAS” means advanced driver-assistance system;</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ADRs” are to the American depositary receipts that may evidence the ADSs;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are to the American depositary shares, each of which represents one Ordinary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Articles” means the sixth amended and restated memorandum and articles of association of LTC, which was adopted and became effective immediately prior to the Closing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ATW 2025 CB” means the convertible note issued by LTC on August 19, 2025 pursuant to the ATW 2025 CB Purchase Agreement in the original principal amount of US$10.0 million;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ATW 2025 CB Purchase Agreement” means the securities purchase agreement entered into between LTC and an institution investor affiliated with ATW, pursuant to which LTC agrees to issue and sell convertible notes for up to an aggregate principal amount of US$300.0 million;</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BEV” means battery electric vehicle;</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all transactions contemplated by the Merger Agreement, including the Mergers;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Cayman Islands Companies Act” means the Companies Act (As Revised) of the Cayman Islands;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“PRC” means the People’s Republic of China;</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closing of the Business Combination contemplated by the Merger Agreement;</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February 22, 2024, the day on which the Closing occurred;</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Continental” means Continental Stock Transfer &amp; Trust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Deliver” or “delivery,” when used in respect of the unit of vehicles we deliver, represents invoiced deliveries, including commissioned deliveries in the U.S. market, unless otherwise stated;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Distribution Agreement” means the distribution agreement entered into by LTIL and Lotus Cars Limited on January 31, 2023 and concurrently with the execution of the Original Merger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ELOC Purchase Agreement” means the Securities Purchase Agreement entered into between LTC and Westwood Capital Group LLC on September 16, 2024;</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EPA” means electrical performance architecture;</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Equiniti” means Equiniti Trust Company, LLC;</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Etika” means Etika Automotive Sdn Bhd;</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EU” means the European Union;</w:t>
            </w:r>
          </w:p>
        </w:tc>
      </w:tr>
    </w:tbl>
    <w:tbl>
      <w:tblPr>
        <w:tblW w:w="9996" w:type="dxa"/>
        <w:jc w:val="left"/>
        <w:tblInd w:w="0" w:type="dxa"/>
        <w:tblLayout w:type="fixed"/>
        <w:tblCellMar>
          <w:top w:w="28" w:type="dxa"/>
          <w:left w:w="28" w:type="dxa"/>
          <w:bottom w:w="28" w:type="dxa"/>
          <w:right w:w="28" w:type="dxa"/>
        </w:tblCellMar>
      </w:tblPr>
      <w:tblGrid>
        <w:gridCol w:w="124"/>
        <w:gridCol w:w="256"/>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1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Euro,” “EUR,” or “€” means the legal currency of the member states participating in the European Monetary Union;</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 means BEV and PHEV.</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former VIE” means Wuhan Lotus E-commerce Co., Ltd., the former variable interest entity of LTC prior to the Restructuring;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Founders Onshore Vehicle” means Ningbo Juhe Yinqing Enterprise Management Consulting Partnership (Limited Partnership), a limited partnership established and validly existing in accordance with PRC laws;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GBP” and “British pounds” means the legal currency of the United Kingdom;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Geely 2024 CB” means the convertible notes in an aggregate principal amount equal to the U.S. dollar equivalent of RMB800 million which Geely HK purchased from us pursuant to the Geely 2024 CB Purchase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Geely 2024 CB Purchase Agreement” means the convertible note purchase agreement entered into between LTC and Geely HK on June 24,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Geely 2025 CB” means the convertible notes in an aggregate principal amount of US$70 million which Geely HK purchased from us pursuant to the Geely 2025 CB Purchase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Geely 2025 CB Purchase Agreement” means the convertible note purchase agreement entered into between LTC and Geely HK on February 28,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caps w:val="false"/>
                <w:smallCaps w:val="false"/>
              </w:rPr>
              <w:t>“</w:t>
            </w:r>
            <w:r>
              <w:rPr>
                <w:rFonts w:ascii="Times New Roman;Times;serif" w:hAnsi="Times New Roman;Times;serif"/>
                <w:b w:val="false"/>
                <w:i w:val="false"/>
                <w:caps w:val="false"/>
                <w:smallCaps w:val="false"/>
                <w:sz w:val="20"/>
              </w:rPr>
              <w:t>Geely 2</w:t>
            </w:r>
            <w:r>
              <w:rPr>
                <w:rFonts w:ascii="Times New Roman;Times;serif" w:hAnsi="Times New Roman;Times;serif"/>
                <w:b w:val="false"/>
                <w:i w:val="false"/>
                <w:caps w:val="false"/>
                <w:smallCaps w:val="false"/>
                <w:sz w:val="15"/>
              </w:rPr>
              <w:t>nd</w:t>
            </w:r>
            <w:r>
              <w:rPr>
                <w:caps w:val="false"/>
                <w:smallCaps w:val="false"/>
              </w:rPr>
              <w:t xml:space="preserve"> </w:t>
            </w:r>
            <w:r>
              <w:rPr>
                <w:rFonts w:ascii="Times New Roman;Times;serif" w:hAnsi="Times New Roman;Times;serif"/>
                <w:b w:val="false"/>
                <w:i w:val="false"/>
                <w:caps w:val="false"/>
                <w:smallCaps w:val="false"/>
                <w:sz w:val="20"/>
              </w:rPr>
              <w:t>2025 CB” means the convertible notes in an aggregate principal amount of US$119.3 million which Geely HK purchased from us pursuant to the Geely 2nd 2025 CB Purchase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Geely 2nd 2025 CB Purchase Agreement” means the convertible note purchase agreement entered into between LTC and Geely HK on June 20,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Geely HK” means Geely International (Hong Kong) Limited, a private company incorporated under the laws of Hong Kong;</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Geely Holding” means Zhejiang Geely Holding Group and its affiliates;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ICE” means Internal Combustion Engine;</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IPO” means LCAA’s initial public offering, which was consummated on March 15,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 xml:space="preserve">LCAA” means </w:t>
            </w:r>
            <w:r>
              <w:rPr>
                <w:rFonts w:ascii="Times New Roman;Times;serif" w:hAnsi="Times New Roman;Times;serif"/>
                <w:b w:val="false"/>
                <w:i/>
                <w:sz w:val="20"/>
              </w:rPr>
              <w:t>L</w:t>
            </w:r>
            <w:r>
              <w:rPr>
                <w:caps w:val="false"/>
                <w:smallCaps w:val="false"/>
              </w:rPr>
              <w:t xml:space="preserve"> </w:t>
            </w:r>
            <w:r>
              <w:rPr>
                <w:rFonts w:ascii="Times New Roman;Times;serif" w:hAnsi="Times New Roman;Times;serif"/>
                <w:b w:val="false"/>
                <w:i w:val="false"/>
                <w:caps w:val="false"/>
                <w:smallCaps w:val="false"/>
                <w:sz w:val="20"/>
              </w:rPr>
              <w:t>Catterton Asia Acquisition Corp, a blank check company that was incorporated as a Cayman Islands exempted company for the purpose of effecting a merger, share exchange, asset acquisition, share purchase, reorganization or similar business combination with one or more businesses or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LCAA Class A Ordinary Shares” or “LCAA Public Shares” means the Class A ordinary shares of LCAA, par value US$0.0001 per share;</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LCAA Class B Ordinary Shares” means the Class B ordinary shares, par value US$0.0001 per share, of LCAA;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LCAA Founder Shareholders” means collectively, the Sponsor, and LCAA’s independent directors (Mr. Sanford Martin Litvack, Mr. Frank N. Newman and Mr. Anish Melwani);</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LCAA Private Warrants” means the warrants sold to the Sponsor in the private placement consummated concurrently with the IPO, each entitling its holder to purchase one LCAA Public Share at an exercise price of US$11.50 per share, subject to adjustment;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LCAA Public Warrants” means the redeemable warrants issued in the IPO, each entitling its holder to purchase one LCAA Public Share at an exercise price of US$11.50 per share, subject to adjustment;</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LCAA Warrants” means the LCAA Public Warrants and the LCAA Private Warrants;</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Lotus” or “Lotus Group” means LTC and Lotus UK, taken as a whole;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Lotus HK” means Lotus Advanced Technology Limited, a company organized and existing under the laws of Hong Kong;</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Lotus Tech UK” means Lotus Tech Creative Centre Limited, a company incorporated in the United Kingdom;</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Lotus UK” means Lotus Group International Limited and its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LTC,” “we,” “us,” “our company,” and “our” mean Lotus Technology Inc. and its subsidiaries. Unless otherwise specified, in the context of describing our business and operations in China, we are referring to the business and operations conducted by our PRC subsidiaries, and, for the periods ended prior to the Restructuring (as defined below), also the former VIE and its subsidiaries. References to the share capital, securities (including shares, options, and warrants), shareholders, directors, board of directors, auditors of “Lotus Tech” are to the share capital, securities (including shares, options and warrants), shareholders, directors, board of directors, and auditors of LTC,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LTC Shareholder Support Agreement” means the Shareholder Support Agreement entered into on January 31, 2023 among LCAA, LTC and certain of the shareholders of LTC;</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LTIL” means Lotus Technology Innovative Limited, a wholly-owned subsidiary of LTC;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First Amended and Restated Agreement and Plan of Merger, dated as of October 11, 2023, by and among LCAA, LTC, Lotus Temp Limited and Lotus EV Limited, which amended and restated the Agreement and Plan of Merger, dated as of January 31, 2023, by and among the same parties;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Meritz” means Meritz Securities Co., Ltd., a corporation incorporated under the laws of the Republic of Korea;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Meritz Investment” means the US$500 million investment by Meritz pursuant to the terms and conditions of the Meritz Subscription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Meritz Subscription Agreement” means the share subscription agreement entered into by and between LTC and Meritz on November 15, 2023, as amended on February 17, 2024.</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MSRP” means manufacturer’s suggested retail price;</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means The Nasdaq Stock Market LLC;</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OEM” means original equipment manufacturer;</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ordinary shares of LTC, par value US$0.00001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Original Merger Agreement” means the Agreement and Plan of Merger, dated as of January 31, 2023, by and among LCAA, LTC, Lotus Temp Limited and Lotus EV Limited;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PHEV” means pug-in hybrid electric vehicle;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Public Warrants” means the warrants to purchase Ordinary Shares at an exercise price of US$11.50 per share, which were issued on February 22, 2024 in exchange for the LCAA Public Warrants;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Put Option Agreement” means each Put Option Agreement, dated as of January 31, 2023, entered by LTC with each of Geely and Etika, respectively;</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Renminbi” or “RMB” means the legal currency of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0"/>
              </w:rPr>
              <w:t>Restructuring” means a series of transactions that LTC implemented to restructure its organization and business operations in early 2023, through which the contractual arrangements that allowed us to consolidate our former VIE were terminated;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ROW” means Asia (excluding China), Australia and New Zealand, the Middle East and North Africa, South Africa and Central and South America, etc.</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means LCA Acquisition Sponsor, LP, a Cayman Islands limited partnership;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Support Agreement” means the Sponsor Support Agreement, dated as of January 31, 2023, by and among LTC, LCAA, and the LCAA Founder Shareholders, as amended by the Amendment to Sponsor Support Agreement, dated as of November 13, 2023 and as further amended, supplemented or otherwise modified from time to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Warrants” means the warrants to purchase Ordinary Shares at an exercise price of US$11.50 per share, which were issued to the Sponsor on February 22, 2024 in exchange for the LCAA Private Warrants;</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or “dollars” means the legal currency of the United States;</w:t>
            </w:r>
          </w:p>
        </w:tc>
      </w:tr>
    </w:tbl>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U.K.” means the United Kingdom;</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means the United States of America;</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means accounting principles generally accepted in the United States of America;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Agreement” means the Warrant Agreement dated as of March 10, 2021, between LCAA and Continental as warrant agent, as amended and assigned to LTC and Equiniti pursuant to the Assignment, Assumption and Amendment Agreement by and among LCAA, LTC, Equiniti and Continental dated as of February 22,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Warrants” means the Public Warrants and the Sponsor Warrants, governed by the Warrant Agreement dated as of March 10, 2021, between LCAA and Continental Stock Transfer &amp; Trust Company as warrant agent, as amended and assigned to LTC and Equiniti Trust Company, LLC pursuant to the Assignment, Assumption and Amendment Agreement by and among LCAA, LTC, Equiniti Trust Company, LLC and Continental Stock Transfer &amp; Trust Company dated as of February 22, 2024 in connection with the Business Combination;</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WFOE” means Wuhan Lotus Technology Limited Company, LTC’s wholly-owned PRC subsidiary;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Wuhan Lotus Cars” means Wuhan Lotus Cars Co., Ltd., a company organized and existing under the laws of the People’s Republic of China.</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Any discrepancies in any table between the amounts identified as total amounts and the sum of the amounts listed therein are due to rounding.</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33" w:name="FORWARDLOOKINGINFORMATION_611411"/>
      <w:bookmarkStart w:id="34" w:name="_15cf53f8_ed02_40cd_8137_a499d0f84f8f"/>
      <w:bookmarkEnd w:id="33"/>
      <w:bookmarkEnd w:id="34"/>
      <w:r>
        <w:rPr>
          <w:rFonts w:ascii="Times New Roman;Times;serif" w:hAnsi="Times New Roman;Times;serif"/>
          <w:b/>
          <w:sz w:val="20"/>
        </w:rPr>
        <w:t>FORWARD-LOOKING INFORMATION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unproven ability to compete in the highly competitive automotive market;</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a variety of arrangements with Geely Holding;</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unproven ability to maintain and strengthen the “Lotus” brand;</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and unproven ability to develop, manufacture and deliver high quality automobiles;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negative net cash flows from operations and its unproven ability to adequately control the costs;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the limited number of orders for our vehicle models</w:t>
            </w:r>
            <w:r>
              <w:rPr>
                <w:rFonts w:ascii="Times New Roman;Times;serif" w:hAnsi="Times New Roman;Times;serif"/>
                <w:b w:val="false"/>
                <w:i w:val="false"/>
                <w:caps w:val="false"/>
                <w:smallCaps w:val="false"/>
                <w:sz w:val="20"/>
              </w:rPr>
              <w:t>;</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delays in the manufacturing and launch of our vehicles;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complexity, uncertainties and changes in global regulations on automotive as well as internet-related businesses and companies, including regulations on homologations, safety, data protection and privacy, automated driving, environmental protection, recall, distribution, government incentives, batteries regulations, and end-of-life regulations;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consumer’s demand and willingness to adopt luxury electric vehicles;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rapidly evolving technology in automotive industry, and ongoing development and safety of intelligent driving technology;</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increases, disruptions or shortage in supply of raw materials, semiconductor chips or other components, and our dependence on suppliers;</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unproven ability to expand physical sales network cost-efficiently;</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unproven ability to perform in line with customer expectations;</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providing charging solutions;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regulatory, political, operational and financial risk in jurisdictions we operate; and</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risks and uncertainties described in “Item 3. Key Information—D. Risk Factors.”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would like to caution you not to place undue reliance on these forward-looking statements and you should read these statements in conjunction with the risk factors disclosed in “Item 3. Key Information—D. Risk Factors.” Those risks are not exhaustive.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35" w:name="PARTI_472111"/>
      <w:bookmarkStart w:id="36" w:name="_be8d8a3c_c9d4_4e5e_8b49_dd73304c5d8c"/>
      <w:bookmarkEnd w:id="35"/>
      <w:bookmarkEnd w:id="36"/>
      <w:r>
        <w:rPr>
          <w:rFonts w:ascii="Times New Roman;Times;serif" w:hAnsi="Times New Roman;Times;serif"/>
          <w:b/>
          <w:sz w:val="20"/>
        </w:rPr>
        <w:t>PART I</w:t>
      </w:r>
    </w:p>
    <w:p>
      <w:pPr>
        <w:pStyle w:val="TextBody"/>
        <w:bidi w:val="0"/>
        <w:spacing w:lineRule="auto" w:line="285" w:before="0" w:after="240"/>
        <w:ind w:left="0" w:right="0" w:hanging="0"/>
        <w:jc w:val="left"/>
        <w:rPr>
          <w:rFonts w:ascii="Times New Roman;Times;serif" w:hAnsi="Times New Roman;Times;serif"/>
          <w:sz w:val="20"/>
        </w:rPr>
      </w:pPr>
      <w:bookmarkStart w:id="37" w:name="Item1IdentityofDirectorsSeniorManagement"/>
      <w:bookmarkEnd w:id="37"/>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bookmarkStart w:id="38" w:name="Item2OfferStatisticsandExpectedTimetable"/>
      <w:bookmarkStart w:id="39" w:name="_d3931386_e08c_43e5_b877_845ec091cbfa"/>
      <w:bookmarkEnd w:id="38"/>
      <w:bookmarkEnd w:id="39"/>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bookmarkStart w:id="40" w:name="Item3KeyInformation_51046"/>
      <w:bookmarkStart w:id="41" w:name="_55b9e494_5fbd_44e7_9edc_fc58517beabf"/>
      <w:bookmarkEnd w:id="40"/>
      <w:bookmarkEnd w:id="41"/>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Our Holding Company Structure and China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corporate structure, including our principal and other subsidiaries as of the date of this annual report.</w:t>
      </w:r>
    </w:p>
    <w:p>
      <w:pPr>
        <w:pStyle w:val="TextBody"/>
        <w:bidi w:val="0"/>
        <w:spacing w:lineRule="auto" w:line="285" w:before="0" w:after="240"/>
        <w:ind w:left="0" w:right="0" w:hanging="0"/>
        <w:jc w:val="center"/>
        <w:rPr/>
      </w:pPr>
      <w:r>
        <w:rPr/>
        <w:drawing>
          <wp:inline distT="0" distB="0" distL="0" distR="0">
            <wp:extent cx="5797550" cy="1844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97550" cy="1844040"/>
                    </a:xfrm>
                    <a:prstGeom prst="rect">
                      <a:avLst/>
                    </a:prstGeom>
                  </pic:spPr>
                </pic:pic>
              </a:graphicData>
            </a:graphic>
          </wp:inline>
        </w:drawing>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Lotus Technology Inc. is not an operating company but a Cayman Islands holding company. Lotus Technology Inc. conducts its operations through its subsidiaries in China and Europe, and for the periods ended prior to the Restructuring, also through the former VIE and its subsidiaries based in mainland China.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Prior to 2023, Lotus Technology Inc. relied on contractual arrangements among the WFOE, the former VIE and its nominee shareholders to direct the business operations of the former VIE and its subsidiaries. As a result, for the periods ended prior to the Restructuring, the former VIE’s financial results are consolidated in our consolidated and combined financial statements under U.S. GAAP for accounting purposes. Following the Restructuring, our operations in mainland China are currently conducted by our mainland China subsidiaries.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Restructuring, the WFOE, the former VIE, and nominee shareholders of the former VIE entered into a series of agreements, or the VIE Restructuring Agreements, in early 2023, pursuant to which, (i) WFOE acquired 100% equity interest in Ningbo Lotus Venture Capital Co., Ltd. (formerly known as “Sanya Lotus Venture Capital Co., Ltd.”) and Hangzhou Lotus Technology Service Co., Ltd., each being a subsidiary of the former VIE; (ii) except for the ICP license, all of the former VIE’s assets and liabilities, including its business contracts, intellectual properties and employees, were transferred to the WFOE or subsidiaries of the WFOE at nil consideration; and (iii) the VIE Agreements were terminated. As of the date of this annual report, our operations in mainland China are conducted by our mainland China subsidiaries and we do not have any VIE structure. We believe that the Restructuring did not and will not have any material impact on our operations and financial results.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face various risks and uncertainties related to doing business in mainland China. Our business operations are primarily conducted in mainland China, and we are subject to complex and evolving laws and regulations in mainland China. For example, we face risks associated with regulatory approvals on offshore offerings, antimonopoly regulatory actions, and oversight on cybersecurity and data privacy, which may impact our ability to conduct certain businesses, accept foreign investments, or list on a U.S. stock exchange. These risks could result in a material adverse change in our operations and the value of our securities, significantly limit or completely hinder our ability to continue to offer securities to investors, or cause the value of such securities to significantly decline. For a detailed description of risks relating to doing business in China, see “Item 3. Key Information—D. Risk Factors—Risks Relating to Doing Business in China.”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PRC government has significant authority in regulating our operations and may influence our operations. It may exert more oversight and control over offerings conducted overseas by, and/or foreign investment in, China-based issuers, which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Relating to Doing Business in China—Failure to meet the PRC government’s complex regulatory requirements on and significant oversight over our business operation could result in a material adverse change in our operations and the value of our securities.”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Risks and uncertainties arising from the legal system of mainland China, including risks and uncertainties regarding the interpretation and enforcement of laws and quickly evolving rules and regulations in mainland China, could result in a material adverse change in our operations and the value of our securities. For more details, see “Item 3. Key Information—D. Risk Factors—Risks Relating to Doing Business in China—We may be adversely affected by the complexity, uncertainties and changes in regulations of mainland China on automotive as well as internet-related businesses and companies.”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Holding Foreign Companies Accountable Act, or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so identified after we file this annual report on Form 20-F for the fiscal year ended December 31, 2025.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Relating to Doing Business in China—The PCAOB had historically been unable to inspect our auditor in relation to their audit work” and “Item 3. Key Information—D. Risk Factors—Risks Relating to Doing Business in China—Our securities may be prohibited from trading in the U.S. under the Holding Foreign Companies Accountable Act, or the HFCAA, if the PCAOB is unable to inspect or investigate completely auditors located in China. The delisting of our securities, or the threat of their being delisted, may materially and adversely affect the value of your investment.”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Permission Required from the PRC Authorities for Our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in mainland China primarily through our PRC subsidiaries. Our operations in mainland China are governed by laws and regulations of mainland China. As of the date of this annual report, our PRC subsidiaries have obtained all material licenses and permits necessary for business operations from the PRC government authorities.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(i) we do not receive or maintain any required permissions or approvals, (ii) we inadvertently concluded that certain permissions or approvals have been acquired or are not required, or (iii) applicable laws, regulations or interpretations thereof change and we become subject to the requirement of additional permissions or approvals in the future, there is no assurance that we will be able to obtain such permissions or approvals in a timely manner, or at all, and such approvals may be rescinded even if obtained. Any such circumstance could subject us to sanctions imposed by the PRC regulatory authorities, which could include fines and penalties, proceedings against us, and other forms of sanctions, and our business, financial condition and results of operations may be materially and adversely affected. For more detailed information, see “Item 3. Key Information—D. Risk Factors—Risks Relating to Doing Business in China—We may be adversely affected by the complexity, uncertainties and changes in regulations of mainland China on automotive as well as internet-related businesses and companies.”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PRC government has recently sought to exert more oversight and control over offerings that are conducted overseas and/or foreign investment in China-based issuers. For more detailed information, see “Item 3. Key Information—D. Risk Factors—Risks Relating to Doing Business in China—The approval of and/or filing with CSRC or other PRC government authorities may be required in connection with our offshore offerings under PRC law, and, if required, we cannot predict whether or for how long we will be able to obtain such approval or complete such filing.”</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Cash Transfers and Dividend Distribution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Lotus Technology Inc. is a holding company with no operations of its own. Lotus Technology Inc. currently conducts its operations through its subsidiaries in China and Europe. As a result, although other means are available for us to obtain financing at the holding company level, our ability to pay dividends to the shareholders and to service any debt it may incur may depend upon dividends paid by its subsidiaries. If any of its subsidiaries incurs debt on its own behalf in the future, the instruments governing such debt may restrict its ability to pay dividends to LTC. In addition, its PRC subsidiaries are permitted to pay dividends to LTC only out of their accumulated after-tax-profits upon satisfaction of statutory conditions and procedures, if any, as determined in accordance with PRC accounting standards and regulations. Further, its PRC subsidiaries are required to make appropriations to certain statutory reserve funds or may make appropriations to certain discretionary funds, which are not distributable as cash dividends except in the event of a solvent liquidation of the companies.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LTC’s board of directors has complete discretion on whether to distribute dividends subject to its memorandum and articles of association and certain restrictions under Cayman Islands law. In addition, LTC’s shareholders may, by ordinary resolution, declare dividends, but no dividend shall exceed the amount recommended by LTC’s board of directors. Under Cayman Islands law, a Cayman Islands company may pay a dividend out of either profit or its share premium account, provided that in no circumstances may a dividend be paid out of the share premium account if this would result in the company being unable to pay its debts as they fall due in the ordinary course of business. The decision to distribute dividends is based on several factors, including LTC’s financial performance, growth prospects, and liquidity requirements. To date, other than the 10-for-1 stock split in the form of a stock dividend declared on March 15, 2022, LTC has not declared or paid any dividend to its shareholders. We expect we will retain most, if not all, of our available funds and any future earnings to fund the development and growth of our business. As a result, we do not expect to pay any cash dividends in the foreseeable future.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and offshore holding company, LTC is permitted under laws and regulations of mainland China to provide funding to its wholly foreign-owned subsidiaries in mainland China only through loans or capital contributions, subject to the applicable governmental registration and approval requirements. In addition, LTC’s wholly foreign-owned subsidiaries in mainland China may provide RMB funding to their respective subsidiaries only through capital contributions and inter-company loans.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laws and regulations of mainland China, Lotus Technology Inc.’s PRC subsidiaries are subject to certain restrictions with respect to paying dividends or otherwise transferring any of their net assets to Lotus Technology Inc. Remittance of dividends by a wholly foreign-owned enterprise out of mainland China is also subject to examination by the banks designated by State Administration of Foreign Exchange, or SAFE. The amounts restricted include the paid-in capital and the statutory reserve funds of its PRC subsidiaries. Furthermore, cash transfers from Lotus Technology Inc.’s PRC subsidiaries to entities outside of mainland China are subject to PRC governmental control on currency conversion. As a result, the funds in its PRC subsidiaries in mainland China may not be available to fund operations or for other use outside of mainland China due to interventions in, or the imposition of restrictions and limitations on, the ability of the holding company, or its subsidiaries by the PRC government on such currency conversion. For details, see “Item 3. Key Information—D.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“Item 3. Key Information—D. Risk Factors—Risks Relating to Doing Business in China—Regulation of loans to and direct investment in PRC entities by offshore holding companies and governmental control of currency conversion may delay or prevent us from making loans to or make additional capital contributions to our PRC subsidiaries, which could materially and adversely affect our liquidity and our ability to fund and expand our business” and “Item 3. Key Information—D. Risk Factors—Risks Relating to Doing Business in China—Governmental control of currency conversion may limit our ability to utilize our revenues effectively.”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laws of mainland China, Lotus Technology Inc. may provide funding to its PRC subsidiaries only through capital contributions or loans, subject to satisfaction of applicable government registration that Lotus Technology Inc. is not able to make direct capital contribution.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cash management policies to direct how funds are transferred among Lotus Technology Inc. and its subsidiaries to ensure the efficient and compliant handling of funds. These policies dictate that each cash transfer shall (i) go through approval processes, ensuring that only authorized personnel are involved in the transaction, (ii) be properly recorded, facilitating audits and financial reviews, and (iii) be in compliance with all applicable laws and regulations, including anti-money laundering (AML) and know-your-customer (KYC) requirements.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2025, 2024 and 2023, Lotus Technology Inc. provided loans with principal amount of US$56.9 million, US$94.6 million and US$231.6 million to its subsidiaries, and made capital contribution of nil, US$915.6 million and US$302.3 million to its subsidiaries.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2025, 2024 and 2023, the WFOE provided loans with principal amount of US$261.8 million, US$659.6 million and US$316.7 million to its subsidiaries, and made capital contribution of US$2.1 million, US$48.0 million and US$22.3 million to its subsidiaries. For the years ended December 31, 2025, 2024 and 2023, the WFOE repaid loans borrowed from the other subsidiaries in the amounts of US$196.7 million, US$303.4 million, including US$132.8 million in cash and US$170.6 million by offsetting of claims and debts, and US$71.8 million, respectively.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2025, 2024 and 2023, nil, nil and US$1.7 million of service fees were paid by the former VIE and its subsidiaries to the subsidiaries of Lotus Technology Inc.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2025, 2024 and 2023, the other subsidiaries provided loans with principal amount of US$160.6 million, US$514.8 million and US$180.5 million to the WFOE, repaid loans of nil, US$65.3 million and US$186.1 million to Lotus Technology Inc., repaid loans of US$94.1 million, US$335.6 million and US$150.9 million to the WFOE, and made capital contribution of nil, US$564.3 million and US$89.4 million to the WFOE.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20"/>
        <w:ind w:left="0" w:right="0" w:hanging="0"/>
        <w:jc w:val="left"/>
        <w:rPr>
          <w:rFonts w:ascii="Times New Roman;Times;serif" w:hAnsi="Times New Roman;Times;serif"/>
          <w:b/>
          <w:sz w:val="20"/>
        </w:rPr>
      </w:pPr>
      <w:r>
        <w:rPr>
          <w:rFonts w:ascii="Times New Roman;Times;serif" w:hAnsi="Times New Roman;Times;serif"/>
          <w:b/>
          <w:sz w:val="20"/>
        </w:rPr>
        <w:t>Financial Information Relating to the Former VIE</w:t>
      </w:r>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Through a series of reorganization steps, or the Reorganization, including transferring the assets and employees in the Lotus EV business unit of Ningbo Geely R&amp;D into Wuhan Lotus Cars and transferring the equity of Wuhan Lotus Cars to the WFOE, the Company gained control over the WFOE through Lotus HK on December 15, 2021. LTC, through the WFOE, was the primary beneficiary of the former VIE. Prior to 2023, LTC relied on contractual arrangements among the WFOE, the former VIE and its nominee shareholders to direct the business operations of the former VIE and its subsidiaries. In connection with the Restructuring, the WFOE, the former VIE, and nominee shareholders of the former VIE entered into the VIE Restructuring Agreements in early 2023, pursuant to which, (i) WFOE acquired 100% equity interest in Ningbo Lotus Venture Capital Co., Ltd. and Hangzhou Lotus Technology Service Co., Ltd., subsidiaries of the former VIE; (ii) except for the ICP license, all of the former VIE’s assets and liabilities, including its business contracts, intellectual properties and employees, were transferred to the WFOE or subsidiaries of the WFOE at nil consideration; and (iii) the VIE Agreements were terminated. The VIE Agreements were terminated on June 30, 2023 and as of the date of this annual report, our operations in mainland China are conducted by our mainland China subsidiaries and we do not have any VIE structure.</w:t>
      </w:r>
    </w:p>
    <w:p>
      <w:pPr>
        <w:pStyle w:val="TextBody"/>
        <w:bidi w:val="0"/>
        <w:spacing w:lineRule="auto" w:line="285" w:before="0" w:after="220"/>
        <w:ind w:left="0" w:right="0" w:hanging="0"/>
        <w:jc w:val="left"/>
        <w:rPr>
          <w:rFonts w:ascii="Times New Roman;Times;serif" w:hAnsi="Times New Roman;Times;serif"/>
          <w:b/>
          <w:i/>
          <w:sz w:val="20"/>
        </w:rPr>
      </w:pPr>
      <w:r>
        <w:rPr>
          <w:rFonts w:ascii="Times New Roman;Times;serif" w:hAnsi="Times New Roman;Times;serif"/>
          <w:b/>
          <w:i/>
          <w:sz w:val="20"/>
        </w:rPr>
        <w:t>Selected Consolidated Statements of Comprehensive Loss Information</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present our condensed consolidating schedule depicting the consolidated statements of comprehensive loss for the fiscal year ended December 31, 2023 of Lotus Technology Inc., the WFOE, the former VIE, other subsidiaries, and corresponding eliminating adjustments separately.</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47"/>
        <w:gridCol w:w="346"/>
        <w:gridCol w:w="946"/>
        <w:gridCol w:w="346"/>
        <w:gridCol w:w="694"/>
        <w:gridCol w:w="346"/>
        <w:gridCol w:w="931"/>
        <w:gridCol w:w="346"/>
        <w:gridCol w:w="961"/>
        <w:gridCol w:w="346"/>
        <w:gridCol w:w="976"/>
        <w:gridCol w:w="222"/>
        <w:gridCol w:w="1098"/>
      </w:tblGrid>
      <w:tr>
        <w:trPr/>
        <w:tc>
          <w:tcPr>
            <w:tcW w:w="2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80845" cy="175260"/>
                      <wp:effectExtent l="0" t="0" r="0" b="0"/>
                      <wp:wrapNone/>
                      <wp:docPr id="2" name="Frame1"/>
                      <a:graphic xmlns:a="http://schemas.openxmlformats.org/drawingml/2006/main">
                        <a:graphicData uri="http://schemas.microsoft.com/office/word/2010/wordprocessingShape">
                          <wps:wsp>
                            <wps:cNvSpPr txBox="1"/>
                            <wps:spPr>
                              <a:xfrm>
                                <a:off x="0" y="0"/>
                                <a:ext cx="16808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00710" cy="175260"/>
                      <wp:effectExtent l="0" t="0" r="0" b="0"/>
                      <wp:wrapNone/>
                      <wp:docPr id="4" name="Frame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40690" cy="175260"/>
                      <wp:effectExtent l="0" t="0" r="0" b="0"/>
                      <wp:wrapNone/>
                      <wp:docPr id="6" name="Frame5"/>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7"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1185" cy="175260"/>
                      <wp:effectExtent l="0" t="0" r="0" b="0"/>
                      <wp:wrapNone/>
                      <wp:docPr id="8" name="Frame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10235" cy="175260"/>
                      <wp:effectExtent l="0" t="0" r="0" b="0"/>
                      <wp:wrapNone/>
                      <wp:docPr id="10" name="Frame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19760" cy="175260"/>
                      <wp:effectExtent l="0" t="0" r="0" b="0"/>
                      <wp:wrapNone/>
                      <wp:docPr id="12" name="Frame1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0970" cy="175260"/>
                      <wp:effectExtent l="0" t="0" r="0" b="0"/>
                      <wp:wrapNone/>
                      <wp:docPr id="13" name="Frame1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7230" cy="175260"/>
                      <wp:effectExtent l="0" t="0" r="0" b="0"/>
                      <wp:wrapNone/>
                      <wp:docPr id="14" name="Frame13"/>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64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212" w:type="dxa"/>
            <w:gridSpan w:val="11"/>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r>
      <w:tr>
        <w:trPr/>
        <w:tc>
          <w:tcPr>
            <w:tcW w:w="264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212" w:type="dxa"/>
            <w:gridSpan w:val="11"/>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64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212" w:type="dxa"/>
            <w:gridSpan w:val="11"/>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4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94"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The former</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76" w:type="dxa"/>
            <w:tcBorders/>
            <w:vAlign w:val="center"/>
          </w:tcPr>
          <w:p>
            <w:pPr>
              <w:pStyle w:val="TableContents"/>
              <w:bidi w:val="0"/>
              <w:spacing w:lineRule="auto" w:line="307" w:before="0" w:after="160"/>
              <w:ind w:left="0" w:right="0" w:hanging="0"/>
              <w:jc w:val="center"/>
              <w:rPr/>
            </w:pPr>
            <w:r>
              <w:rPr/>
              <w:t>​</w:t>
            </w:r>
          </w:p>
        </w:tc>
        <w:tc>
          <w:tcPr>
            <w:tcW w:w="222" w:type="dxa"/>
            <w:tcBorders/>
            <w:vAlign w:val="center"/>
          </w:tcPr>
          <w:p>
            <w:pPr>
              <w:pStyle w:val="TableContents"/>
              <w:bidi w:val="0"/>
              <w:spacing w:lineRule="auto" w:line="307" w:before="0" w:after="160"/>
              <w:ind w:left="0" w:right="0" w:hanging="0"/>
              <w:jc w:val="left"/>
              <w:rPr/>
            </w:pPr>
            <w:r>
              <w:rPr/>
              <w:t>​</w:t>
            </w:r>
          </w:p>
        </w:tc>
        <w:tc>
          <w:tcPr>
            <w:tcW w:w="1098" w:type="dxa"/>
            <w:tcBorders/>
            <w:vAlign w:val="center"/>
          </w:tcPr>
          <w:p>
            <w:pPr>
              <w:pStyle w:val="TableContents"/>
              <w:bidi w:val="0"/>
              <w:spacing w:lineRule="auto" w:line="307" w:before="0" w:after="160"/>
              <w:ind w:left="0" w:right="0" w:hanging="0"/>
              <w:jc w:val="center"/>
              <w:rPr/>
            </w:pPr>
            <w:r>
              <w:rPr/>
              <w:t>​</w:t>
            </w:r>
          </w:p>
        </w:tc>
      </w:tr>
      <w:tr>
        <w:trPr/>
        <w:tc>
          <w:tcPr>
            <w:tcW w:w="264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Lotus</w:t>
            </w:r>
          </w:p>
        </w:tc>
        <w:tc>
          <w:tcPr>
            <w:tcW w:w="346" w:type="dxa"/>
            <w:tcBorders/>
            <w:vAlign w:val="center"/>
          </w:tcPr>
          <w:p>
            <w:pPr>
              <w:pStyle w:val="TableContents"/>
              <w:bidi w:val="0"/>
              <w:spacing w:lineRule="auto" w:line="307" w:before="0" w:after="160"/>
              <w:ind w:left="0" w:right="0" w:hanging="0"/>
              <w:jc w:val="center"/>
              <w:rPr/>
            </w:pPr>
            <w:r>
              <w:rPr/>
              <w:t>​</w:t>
            </w:r>
          </w:p>
        </w:tc>
        <w:tc>
          <w:tcPr>
            <w:tcW w:w="694"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76" w:type="dxa"/>
            <w:tcBorders/>
            <w:vAlign w:val="center"/>
          </w:tcPr>
          <w:p>
            <w:pPr>
              <w:pStyle w:val="TableContents"/>
              <w:bidi w:val="0"/>
              <w:spacing w:lineRule="auto" w:line="307" w:before="0" w:after="160"/>
              <w:ind w:left="0" w:right="0" w:hanging="0"/>
              <w:jc w:val="center"/>
              <w:rPr/>
            </w:pPr>
            <w:r>
              <w:rPr/>
              <w:t>​</w:t>
            </w:r>
          </w:p>
        </w:tc>
        <w:tc>
          <w:tcPr>
            <w:tcW w:w="222" w:type="dxa"/>
            <w:tcBorders/>
            <w:vAlign w:val="center"/>
          </w:tcPr>
          <w:p>
            <w:pPr>
              <w:pStyle w:val="TableContents"/>
              <w:bidi w:val="0"/>
              <w:spacing w:lineRule="auto" w:line="307" w:before="0" w:after="160"/>
              <w:ind w:left="0" w:right="0" w:hanging="0"/>
              <w:jc w:val="left"/>
              <w:rPr/>
            </w:pPr>
            <w:r>
              <w:rPr/>
              <w:t>​</w:t>
            </w:r>
          </w:p>
        </w:tc>
        <w:tc>
          <w:tcPr>
            <w:tcW w:w="1098" w:type="dxa"/>
            <w:tcBorders/>
            <w:vAlign w:val="center"/>
          </w:tcPr>
          <w:p>
            <w:pPr>
              <w:pStyle w:val="TableContents"/>
              <w:bidi w:val="0"/>
              <w:spacing w:lineRule="auto" w:line="307" w:before="0" w:after="160"/>
              <w:ind w:left="0" w:right="0" w:hanging="0"/>
              <w:jc w:val="center"/>
              <w:rPr/>
            </w:pPr>
            <w:r>
              <w:rPr/>
              <w:t>​</w:t>
            </w:r>
          </w:p>
        </w:tc>
      </w:tr>
      <w:tr>
        <w:trPr/>
        <w:tc>
          <w:tcPr>
            <w:tcW w:w="264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346" w:type="dxa"/>
            <w:tcBorders/>
            <w:vAlign w:val="center"/>
          </w:tcPr>
          <w:p>
            <w:pPr>
              <w:pStyle w:val="TableContents"/>
              <w:bidi w:val="0"/>
              <w:spacing w:lineRule="auto" w:line="307" w:before="0" w:after="160"/>
              <w:ind w:left="0" w:right="0" w:hanging="0"/>
              <w:jc w:val="center"/>
              <w:rPr/>
            </w:pPr>
            <w:r>
              <w:rPr/>
              <w:t>​</w:t>
            </w:r>
          </w:p>
        </w:tc>
        <w:tc>
          <w:tcPr>
            <w:tcW w:w="694"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and its</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307" w:before="0" w:after="160"/>
              <w:ind w:left="0" w:right="0" w:hanging="0"/>
              <w:jc w:val="center"/>
              <w:rPr/>
            </w:pPr>
            <w:r>
              <w:rPr/>
              <w:t>​</w:t>
            </w:r>
          </w:p>
        </w:tc>
        <w:tc>
          <w:tcPr>
            <w:tcW w:w="97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222" w:type="dxa"/>
            <w:tcBorders/>
            <w:vAlign w:val="center"/>
          </w:tcPr>
          <w:p>
            <w:pPr>
              <w:pStyle w:val="TableContents"/>
              <w:bidi w:val="0"/>
              <w:spacing w:lineRule="auto" w:line="307" w:before="0" w:after="160"/>
              <w:ind w:left="0" w:right="0" w:hanging="0"/>
              <w:jc w:val="left"/>
              <w:rPr/>
            </w:pPr>
            <w:r>
              <w:rPr/>
              <w:t>​</w:t>
            </w:r>
          </w:p>
        </w:tc>
        <w:tc>
          <w:tcPr>
            <w:tcW w:w="1098" w:type="dxa"/>
            <w:tcBorders/>
            <w:vAlign w:val="center"/>
          </w:tcPr>
          <w:p>
            <w:pPr>
              <w:pStyle w:val="TableContents"/>
              <w:bidi w:val="0"/>
              <w:spacing w:lineRule="auto" w:line="307" w:before="0" w:after="160"/>
              <w:ind w:left="0" w:right="0" w:hanging="0"/>
              <w:jc w:val="center"/>
              <w:rPr/>
            </w:pPr>
            <w:r>
              <w:rPr/>
              <w:t>​</w:t>
            </w:r>
          </w:p>
        </w:tc>
      </w:tr>
      <w:tr>
        <w:trPr/>
        <w:tc>
          <w:tcPr>
            <w:tcW w:w="2647"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lineRule="auto" w:line="307" w:before="0" w:after="160"/>
              <w:ind w:left="0" w:right="0" w:hanging="0"/>
              <w:jc w:val="center"/>
              <w:rPr/>
            </w:pPr>
            <w:r>
              <w:rPr/>
              <w:t>​</w:t>
            </w:r>
          </w:p>
        </w:tc>
        <w:tc>
          <w:tcPr>
            <w:tcW w:w="694"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lineRule="auto" w:line="307" w:before="0" w:after="16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222" w:type="dxa"/>
            <w:tcBorders/>
            <w:vAlign w:val="center"/>
          </w:tcPr>
          <w:p>
            <w:pPr>
              <w:pStyle w:val="TableContents"/>
              <w:bidi w:val="0"/>
              <w:spacing w:lineRule="auto" w:line="307" w:before="0" w:after="16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174,789</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679,342</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(175,123)</w:t>
            </w:r>
          </w:p>
        </w:tc>
        <w:tc>
          <w:tcPr>
            <w:tcW w:w="22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(1)  </w:t>
            </w:r>
            <w:r>
              <w:rPr>
                <w:rFonts w:ascii="Times New Roman;Times;serif" w:hAnsi="Times New Roman;Times;serif"/>
                <w:sz w:val="16"/>
              </w:rPr>
              <w:t>​</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679,008</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Cost of revenues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(24,667)</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(577,215)</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25,055</w:t>
            </w:r>
          </w:p>
        </w:tc>
        <w:tc>
          <w:tcPr>
            <w:tcW w:w="222"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(1)  </w:t>
            </w:r>
            <w:r>
              <w:rPr>
                <w:rFonts w:ascii="Times New Roman;Times;serif" w:hAnsi="Times New Roman;Times;serif"/>
                <w:sz w:val="16"/>
              </w:rPr>
              <w:t>​</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(576,827)</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Gross profit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150,122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102,127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(150,068)</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102,181</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(2,983)</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(84,055)</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(15,396)</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(885,754)</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150,068</w:t>
            </w:r>
          </w:p>
        </w:tc>
        <w:tc>
          <w:tcPr>
            <w:tcW w:w="222"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(1)  </w:t>
            </w:r>
            <w:r>
              <w:rPr>
                <w:rFonts w:ascii="Times New Roman;Times;serif" w:hAnsi="Times New Roman;Times;serif"/>
                <w:sz w:val="16"/>
              </w:rPr>
              <w:t>​</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(838,120)</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Operating loss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(2,983)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66,067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(15,396)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(783,627)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(735,939)</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Interest expenses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(4,908)</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(16,516)</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11,254</w:t>
            </w:r>
          </w:p>
        </w:tc>
        <w:tc>
          <w:tcPr>
            <w:tcW w:w="222"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(2)  </w:t>
            </w:r>
            <w:r>
              <w:rPr>
                <w:rFonts w:ascii="Times New Roman;Times;serif" w:hAnsi="Times New Roman;Times;serif"/>
                <w:sz w:val="16"/>
              </w:rPr>
              <w:t>​</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(10,200)</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6,979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8,108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551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4,820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(11,254)</w:t>
            </w:r>
          </w:p>
        </w:tc>
        <w:tc>
          <w:tcPr>
            <w:tcW w:w="22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(2)  </w:t>
            </w:r>
            <w:r>
              <w:rPr>
                <w:rFonts w:ascii="Times New Roman;Times;serif" w:hAnsi="Times New Roman;Times;serif"/>
                <w:sz w:val="16"/>
              </w:rPr>
              <w:t>​</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9,204</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Investment income (loss), net</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(5,084)</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(1,010)</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4,932</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222" w:type="dxa"/>
            <w:tcBorders/>
            <w:vAlign w:val="center"/>
          </w:tcPr>
          <w:p>
            <w:pPr>
              <w:pStyle w:val="TableContents"/>
              <w:bidi w:val="0"/>
              <w:spacing w:lineRule="auto" w:line="307" w:before="0" w:after="1"/>
              <w:ind w:left="0" w:right="0" w:hanging="0"/>
              <w:jc w:val="left"/>
              <w:rPr/>
            </w:pPr>
            <w:r>
              <w:rPr/>
              <w:t> </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(1,162)</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Share of results of equity method investments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(1,047)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(1,048)</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Foreign currency exchange gains (losses), net</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452</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222" w:type="dxa"/>
            <w:tcBorders/>
            <w:vAlign w:val="center"/>
          </w:tcPr>
          <w:p>
            <w:pPr>
              <w:pStyle w:val="TableContents"/>
              <w:bidi w:val="0"/>
              <w:spacing w:lineRule="auto" w:line="307" w:before="0" w:after="1"/>
              <w:ind w:left="0" w:right="0" w:hanging="0"/>
              <w:jc w:val="left"/>
              <w:rPr/>
            </w:pPr>
            <w:r>
              <w:rPr/>
              <w:t> </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42</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mandatorily redeemable noncontrolling interest, exchangeable notes and convertible notes, excluding impact of instrument-specific credit risk</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(616)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(738)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(1,497)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(4,680)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(7,531)</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put options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(2,508)</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222" w:type="dxa"/>
            <w:tcBorders/>
            <w:vAlign w:val="center"/>
          </w:tcPr>
          <w:p>
            <w:pPr>
              <w:pStyle w:val="TableContents"/>
              <w:bidi w:val="0"/>
              <w:spacing w:lineRule="auto" w:line="307" w:before="0" w:after="1"/>
              <w:ind w:left="0" w:right="0" w:hanging="0"/>
              <w:jc w:val="left"/>
              <w:rPr/>
            </w:pPr>
            <w:r>
              <w:rPr/>
              <w:t> </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(2,508)</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(Gain)/loss on the Restructuring</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(56,752)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56,752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pPr>
            <w:r>
              <w:rPr/>
              <w:t>—</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Share of losses from consolidated entities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(737,618)</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737,618</w:t>
            </w:r>
          </w:p>
        </w:tc>
        <w:tc>
          <w:tcPr>
            <w:tcW w:w="222"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(3)  </w:t>
            </w:r>
            <w:r>
              <w:rPr>
                <w:rFonts w:ascii="Times New Roman;Times;serif" w:hAnsi="Times New Roman;Times;serif"/>
                <w:sz w:val="16"/>
              </w:rPr>
              <w:t>​</w:t>
            </w:r>
          </w:p>
        </w:tc>
        <w:tc>
          <w:tcPr>
            <w:tcW w:w="1098" w:type="dxa"/>
            <w:tcBorders/>
            <w:vAlign w:val="center"/>
          </w:tcPr>
          <w:p>
            <w:pPr>
              <w:pStyle w:val="TableContents"/>
              <w:bidi w:val="0"/>
              <w:spacing w:lineRule="auto" w:line="307" w:before="0" w:after="1"/>
              <w:ind w:left="0" w:right="0" w:hanging="0"/>
              <w:jc w:val="right"/>
              <w:rPr/>
            </w:pPr>
            <w:r>
              <w:rPr/>
              <w:t>—</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Profit (loss) before income taxes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(742,001)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68,288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(74,133)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(738,914)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737,618</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(749,142)</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(1,109)</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222" w:type="dxa"/>
            <w:tcBorders/>
            <w:vAlign w:val="center"/>
          </w:tcPr>
          <w:p>
            <w:pPr>
              <w:pStyle w:val="TableContents"/>
              <w:bidi w:val="0"/>
              <w:spacing w:lineRule="auto" w:line="307" w:before="0" w:after="1"/>
              <w:ind w:left="0" w:right="0" w:hanging="0"/>
              <w:jc w:val="left"/>
              <w:rPr/>
            </w:pPr>
            <w:r>
              <w:rPr/>
              <w:t> </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(1,113)</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profit (loss)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(742,001)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68,288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(74,137)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(740,023)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737,618</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(750,255)</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Less: Net loss attributable to noncontrolling interests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(2,401)</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(5,853)</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222" w:type="dxa"/>
            <w:tcBorders/>
            <w:vAlign w:val="center"/>
          </w:tcPr>
          <w:p>
            <w:pPr>
              <w:pStyle w:val="TableContents"/>
              <w:bidi w:val="0"/>
              <w:spacing w:lineRule="auto" w:line="307" w:before="0" w:after="1"/>
              <w:ind w:left="0" w:right="0" w:hanging="0"/>
              <w:jc w:val="left"/>
              <w:rPr/>
            </w:pPr>
            <w:r>
              <w:rPr/>
              <w:t> </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(8,254)</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profit (loss) attributable to ordinary shareholders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(742,001)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68,288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(71,736)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(734,170)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737,618</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(742,001)</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profit (loss)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(742,001)</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68,288</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(74,137)</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(740,023)</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737,618</w:t>
            </w:r>
          </w:p>
        </w:tc>
        <w:tc>
          <w:tcPr>
            <w:tcW w:w="222" w:type="dxa"/>
            <w:tcBorders/>
            <w:vAlign w:val="center"/>
          </w:tcPr>
          <w:p>
            <w:pPr>
              <w:pStyle w:val="TableContents"/>
              <w:bidi w:val="0"/>
              <w:spacing w:lineRule="auto" w:line="307" w:before="0" w:after="1"/>
              <w:ind w:left="0" w:right="0" w:hanging="0"/>
              <w:jc w:val="left"/>
              <w:rPr/>
            </w:pPr>
            <w:r>
              <w:rPr/>
              <w:t> </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(750,255)</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Fair value changes of mandatorily redeemable noncontrolling interest, exchangeable notes and convertible notes due to instrument-specific credit risk, net of nil income taxes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(8,650)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(272)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(8,378)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8,650</w:t>
            </w:r>
          </w:p>
        </w:tc>
        <w:tc>
          <w:tcPr>
            <w:tcW w:w="22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(3)  </w:t>
            </w:r>
            <w:r>
              <w:rPr>
                <w:rFonts w:ascii="Times New Roman;Times;serif" w:hAnsi="Times New Roman;Times;serif"/>
                <w:sz w:val="16"/>
              </w:rPr>
              <w:t>​</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(8,650)</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 net of nil income taxes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16,210</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1,556</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1,173</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7,475</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(10,204)</w:t>
            </w:r>
          </w:p>
        </w:tc>
        <w:tc>
          <w:tcPr>
            <w:tcW w:w="222"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(3)  </w:t>
            </w:r>
            <w:r>
              <w:rPr>
                <w:rFonts w:ascii="Times New Roman;Times;serif" w:hAnsi="Times New Roman;Times;serif"/>
                <w:sz w:val="16"/>
              </w:rPr>
              <w:t>​</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16,210</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other comprehensive income (loss)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7,560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1,284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1,173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(903)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(1,554)</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7,560</w:t>
            </w:r>
          </w:p>
        </w:tc>
      </w:tr>
      <w:tr>
        <w:trPr/>
        <w:tc>
          <w:tcPr>
            <w:tcW w:w="2647"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Less: Total comprehensive loss attributable to noncontrolling interests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(2,297)</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(5,957)</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222" w:type="dxa"/>
            <w:tcBorders/>
            <w:vAlign w:val="center"/>
          </w:tcPr>
          <w:p>
            <w:pPr>
              <w:pStyle w:val="TableContents"/>
              <w:bidi w:val="0"/>
              <w:spacing w:lineRule="auto" w:line="307" w:before="0" w:after="1"/>
              <w:ind w:left="0" w:right="0" w:hanging="0"/>
              <w:jc w:val="left"/>
              <w:rPr/>
            </w:pPr>
            <w:r>
              <w:rPr/>
              <w:t> </w:t>
            </w:r>
          </w:p>
        </w:tc>
        <w:tc>
          <w:tcPr>
            <w:tcW w:w="1098"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(8,254)</w:t>
            </w:r>
          </w:p>
        </w:tc>
      </w:tr>
      <w:tr>
        <w:trPr/>
        <w:tc>
          <w:tcPr>
            <w:tcW w:w="2647"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comprehensive income (loss) attributable to ordinary shareholders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(734,441)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69,572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(70,667)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(734,969)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736,064</w:t>
            </w:r>
          </w:p>
        </w:tc>
        <w:tc>
          <w:tcPr>
            <w:tcW w:w="222" w:type="dxa"/>
            <w:tcBorders/>
            <w:shd w:fill="CCEEFF" w:val="clear"/>
            <w:vAlign w:val="center"/>
          </w:tcPr>
          <w:p>
            <w:pPr>
              <w:pStyle w:val="TableContents"/>
              <w:bidi w:val="0"/>
              <w:spacing w:lineRule="auto" w:line="307" w:before="0" w:after="1"/>
              <w:ind w:left="0" w:right="0" w:hanging="0"/>
              <w:jc w:val="left"/>
              <w:rPr/>
            </w:pPr>
            <w:r>
              <w:rPr/>
              <w:t> </w:t>
            </w:r>
          </w:p>
        </w:tc>
        <w:tc>
          <w:tcPr>
            <w:tcW w:w="10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(734,441)</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Selected Consolidated Balance Sheets Information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following table presents our condensed consolidating schedule depicting the consolidated balance sheets as of December 31, 2023 of Lotus Technology Inc., the WFOE, the former VIE, other subsidiaries, and corresponding eliminating adjustments separately.</w:t>
      </w:r>
    </w:p>
    <w:tbl>
      <w:tblPr>
        <w:tblW w:w="10205" w:type="dxa"/>
        <w:jc w:val="left"/>
        <w:tblInd w:w="0" w:type="dxa"/>
        <w:tblLayout w:type="fixed"/>
        <w:tblCellMar>
          <w:top w:w="0" w:type="dxa"/>
          <w:left w:w="0" w:type="dxa"/>
          <w:bottom w:w="0" w:type="dxa"/>
          <w:right w:w="0" w:type="dxa"/>
        </w:tblCellMar>
      </w:tblPr>
      <w:tblGrid>
        <w:gridCol w:w="4023"/>
        <w:gridCol w:w="346"/>
        <w:gridCol w:w="811"/>
        <w:gridCol w:w="146"/>
        <w:gridCol w:w="691"/>
        <w:gridCol w:w="146"/>
        <w:gridCol w:w="841"/>
        <w:gridCol w:w="146"/>
        <w:gridCol w:w="856"/>
        <w:gridCol w:w="166"/>
        <w:gridCol w:w="826"/>
        <w:gridCol w:w="260"/>
        <w:gridCol w:w="947"/>
      </w:tblGrid>
      <w:tr>
        <w:trPr/>
        <w:tc>
          <w:tcPr>
            <w:tcW w:w="4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554605" cy="175260"/>
                      <wp:effectExtent l="0" t="0" r="0" b="0"/>
                      <wp:wrapNone/>
                      <wp:docPr id="15" name="Frame14"/>
                      <a:graphic xmlns:a="http://schemas.openxmlformats.org/drawingml/2006/main">
                        <a:graphicData uri="http://schemas.microsoft.com/office/word/2010/wordprocessingShape">
                          <wps:wsp>
                            <wps:cNvSpPr txBox="1"/>
                            <wps:spPr>
                              <a:xfrm>
                                <a:off x="0" y="0"/>
                                <a:ext cx="25546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14985" cy="175260"/>
                      <wp:effectExtent l="0" t="0" r="0" b="0"/>
                      <wp:wrapNone/>
                      <wp:docPr id="17" name="Frame1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2710" cy="175260"/>
                      <wp:effectExtent l="0" t="0" r="0" b="0"/>
                      <wp:wrapNone/>
                      <wp:docPr id="18" name="Frame1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8785" cy="175260"/>
                      <wp:effectExtent l="0" t="0" r="0" b="0"/>
                      <wp:wrapNone/>
                      <wp:docPr id="19" name="Frame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2710" cy="175260"/>
                      <wp:effectExtent l="0" t="0" r="0" b="0"/>
                      <wp:wrapNone/>
                      <wp:docPr id="20" name="Frame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34035" cy="175260"/>
                      <wp:effectExtent l="0" t="0" r="0" b="0"/>
                      <wp:wrapNone/>
                      <wp:docPr id="21" name="Frame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2710" cy="175260"/>
                      <wp:effectExtent l="0" t="0" r="0" b="0"/>
                      <wp:wrapNone/>
                      <wp:docPr id="22"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43560" cy="175260"/>
                      <wp:effectExtent l="0" t="0" r="0" b="0"/>
                      <wp:wrapNone/>
                      <wp:docPr id="23" name="Frame2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5410" cy="175260"/>
                      <wp:effectExtent l="0" t="0" r="0" b="0"/>
                      <wp:wrapNone/>
                      <wp:docPr id="24" name="Frame2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24510" cy="175260"/>
                      <wp:effectExtent l="0" t="0" r="0" b="0"/>
                      <wp:wrapNone/>
                      <wp:docPr id="25" name="Frame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5100" cy="175260"/>
                      <wp:effectExtent l="0" t="0" r="0" b="0"/>
                      <wp:wrapNone/>
                      <wp:docPr id="26" name="Frame2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01345" cy="175260"/>
                      <wp:effectExtent l="0" t="0" r="0" b="0"/>
                      <wp:wrapNone/>
                      <wp:docPr id="27" name="Frame26"/>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02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36" w:type="dxa"/>
            <w:gridSpan w:val="11"/>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As of December 31, 2023</w:t>
            </w:r>
          </w:p>
        </w:tc>
      </w:tr>
      <w:tr>
        <w:trPr/>
        <w:tc>
          <w:tcPr>
            <w:tcW w:w="402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36" w:type="dxa"/>
            <w:gridSpan w:val="11"/>
            <w:tcBorders/>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US$</w:t>
            </w:r>
          </w:p>
        </w:tc>
      </w:tr>
      <w:tr>
        <w:trPr/>
        <w:tc>
          <w:tcPr>
            <w:tcW w:w="402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36" w:type="dxa"/>
            <w:gridSpan w:val="11"/>
            <w:tcBorders/>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(in thousands)</w:t>
            </w:r>
          </w:p>
        </w:tc>
      </w:tr>
      <w:tr>
        <w:trPr/>
        <w:tc>
          <w:tcPr>
            <w:tcW w:w="402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c>
          <w:tcPr>
            <w:tcW w:w="146" w:type="dxa"/>
            <w:tcBorders/>
            <w:vAlign w:val="center"/>
          </w:tcPr>
          <w:p>
            <w:pPr>
              <w:pStyle w:val="TableContents"/>
              <w:bidi w:val="0"/>
              <w:spacing w:lineRule="auto" w:line="307" w:before="0" w:after="160"/>
              <w:ind w:left="0" w:right="0" w:hanging="0"/>
              <w:jc w:val="center"/>
              <w:rPr/>
            </w:pPr>
            <w:r>
              <w:rPr/>
              <w:t>​</w:t>
            </w:r>
          </w:p>
        </w:tc>
        <w:tc>
          <w:tcPr>
            <w:tcW w:w="691" w:type="dxa"/>
            <w:tcBorders/>
            <w:vAlign w:val="center"/>
          </w:tcPr>
          <w:p>
            <w:pPr>
              <w:pStyle w:val="TableContents"/>
              <w:bidi w:val="0"/>
              <w:spacing w:lineRule="auto" w:line="307" w:before="0" w:after="160"/>
              <w:ind w:left="0" w:right="0" w:hanging="0"/>
              <w:jc w:val="center"/>
              <w:rPr/>
            </w:pPr>
            <w:r>
              <w:rPr/>
              <w:t>​</w:t>
            </w:r>
          </w:p>
        </w:tc>
        <w:tc>
          <w:tcPr>
            <w:tcW w:w="146" w:type="dxa"/>
            <w:tcBorders/>
            <w:vAlign w:val="center"/>
          </w:tcPr>
          <w:p>
            <w:pPr>
              <w:pStyle w:val="TableContents"/>
              <w:bidi w:val="0"/>
              <w:spacing w:lineRule="auto" w:line="307" w:before="0" w:after="160"/>
              <w:ind w:left="0" w:right="0" w:hanging="0"/>
              <w:jc w:val="center"/>
              <w:rPr/>
            </w:pPr>
            <w:r>
              <w:rPr/>
              <w:t>​</w:t>
            </w:r>
          </w:p>
        </w:tc>
        <w:tc>
          <w:tcPr>
            <w:tcW w:w="841" w:type="dxa"/>
            <w:tcBorders/>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The former</w:t>
            </w:r>
          </w:p>
        </w:tc>
        <w:tc>
          <w:tcPr>
            <w:tcW w:w="146" w:type="dxa"/>
            <w:tcBorders/>
            <w:vAlign w:val="center"/>
          </w:tcPr>
          <w:p>
            <w:pPr>
              <w:pStyle w:val="TableContents"/>
              <w:bidi w:val="0"/>
              <w:spacing w:lineRule="auto" w:line="307" w:before="0" w:after="160"/>
              <w:ind w:left="0" w:right="0" w:hanging="0"/>
              <w:jc w:val="center"/>
              <w:rPr/>
            </w:pPr>
            <w:r>
              <w:rPr/>
              <w:t>​</w:t>
            </w:r>
          </w:p>
        </w:tc>
        <w:tc>
          <w:tcPr>
            <w:tcW w:w="856" w:type="dxa"/>
            <w:tcBorders/>
            <w:vAlign w:val="center"/>
          </w:tcPr>
          <w:p>
            <w:pPr>
              <w:pStyle w:val="TableContents"/>
              <w:bidi w:val="0"/>
              <w:spacing w:lineRule="auto" w:line="307" w:before="0" w:after="160"/>
              <w:ind w:left="0" w:right="0" w:hanging="0"/>
              <w:jc w:val="center"/>
              <w:rPr/>
            </w:pPr>
            <w:r>
              <w:rPr/>
              <w:t>​</w:t>
            </w:r>
          </w:p>
        </w:tc>
        <w:tc>
          <w:tcPr>
            <w:tcW w:w="166" w:type="dxa"/>
            <w:tcBorders/>
            <w:vAlign w:val="center"/>
          </w:tcPr>
          <w:p>
            <w:pPr>
              <w:pStyle w:val="TableContents"/>
              <w:bidi w:val="0"/>
              <w:spacing w:lineRule="auto" w:line="307" w:before="0" w:after="160"/>
              <w:ind w:left="0" w:right="0" w:hanging="0"/>
              <w:jc w:val="center"/>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260" w:type="dxa"/>
            <w:tcBorders/>
            <w:vAlign w:val="center"/>
          </w:tcPr>
          <w:p>
            <w:pPr>
              <w:pStyle w:val="TableContents"/>
              <w:bidi w:val="0"/>
              <w:spacing w:lineRule="auto" w:line="307" w:before="0" w:after="160"/>
              <w:ind w:left="0" w:right="0" w:hanging="0"/>
              <w:jc w:val="left"/>
              <w:rPr/>
            </w:pPr>
            <w:r>
              <w:rPr/>
              <w:t>​</w:t>
            </w:r>
          </w:p>
        </w:tc>
        <w:tc>
          <w:tcPr>
            <w:tcW w:w="947" w:type="dxa"/>
            <w:tcBorders/>
            <w:vAlign w:val="center"/>
          </w:tcPr>
          <w:p>
            <w:pPr>
              <w:pStyle w:val="TableContents"/>
              <w:bidi w:val="0"/>
              <w:spacing w:lineRule="auto" w:line="307" w:before="0" w:after="160"/>
              <w:ind w:left="0" w:right="0" w:hanging="0"/>
              <w:jc w:val="center"/>
              <w:rPr/>
            </w:pPr>
            <w:r>
              <w:rPr/>
              <w:t>​</w:t>
            </w:r>
          </w:p>
        </w:tc>
      </w:tr>
      <w:tr>
        <w:trPr/>
        <w:tc>
          <w:tcPr>
            <w:tcW w:w="402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Lotus</w:t>
            </w:r>
          </w:p>
        </w:tc>
        <w:tc>
          <w:tcPr>
            <w:tcW w:w="146" w:type="dxa"/>
            <w:tcBorders/>
            <w:vAlign w:val="center"/>
          </w:tcPr>
          <w:p>
            <w:pPr>
              <w:pStyle w:val="TableContents"/>
              <w:bidi w:val="0"/>
              <w:spacing w:lineRule="auto" w:line="307" w:before="0" w:after="160"/>
              <w:ind w:left="0" w:right="0" w:hanging="0"/>
              <w:jc w:val="center"/>
              <w:rPr/>
            </w:pPr>
            <w:r>
              <w:rPr/>
              <w:t>​</w:t>
            </w:r>
          </w:p>
        </w:tc>
        <w:tc>
          <w:tcPr>
            <w:tcW w:w="691" w:type="dxa"/>
            <w:tcBorders/>
            <w:vAlign w:val="center"/>
          </w:tcPr>
          <w:p>
            <w:pPr>
              <w:pStyle w:val="TableContents"/>
              <w:bidi w:val="0"/>
              <w:spacing w:lineRule="auto" w:line="307" w:before="0" w:after="160"/>
              <w:ind w:left="0" w:right="0" w:hanging="0"/>
              <w:jc w:val="center"/>
              <w:rPr/>
            </w:pPr>
            <w:r>
              <w:rPr/>
              <w:t>​</w:t>
            </w:r>
          </w:p>
        </w:tc>
        <w:tc>
          <w:tcPr>
            <w:tcW w:w="146" w:type="dxa"/>
            <w:tcBorders/>
            <w:vAlign w:val="center"/>
          </w:tcPr>
          <w:p>
            <w:pPr>
              <w:pStyle w:val="TableContents"/>
              <w:bidi w:val="0"/>
              <w:spacing w:lineRule="auto" w:line="307" w:before="0" w:after="160"/>
              <w:ind w:left="0" w:right="0" w:hanging="0"/>
              <w:jc w:val="center"/>
              <w:rPr/>
            </w:pPr>
            <w:r>
              <w:rPr/>
              <w:t>​</w:t>
            </w:r>
          </w:p>
        </w:tc>
        <w:tc>
          <w:tcPr>
            <w:tcW w:w="841" w:type="dxa"/>
            <w:tcBorders/>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VIE</w:t>
            </w:r>
          </w:p>
        </w:tc>
        <w:tc>
          <w:tcPr>
            <w:tcW w:w="146" w:type="dxa"/>
            <w:tcBorders/>
            <w:vAlign w:val="center"/>
          </w:tcPr>
          <w:p>
            <w:pPr>
              <w:pStyle w:val="TableContents"/>
              <w:bidi w:val="0"/>
              <w:spacing w:lineRule="auto" w:line="307" w:before="0" w:after="160"/>
              <w:ind w:left="0" w:right="0" w:hanging="0"/>
              <w:jc w:val="center"/>
              <w:rPr/>
            </w:pPr>
            <w:r>
              <w:rPr/>
              <w:t>​</w:t>
            </w:r>
          </w:p>
        </w:tc>
        <w:tc>
          <w:tcPr>
            <w:tcW w:w="856" w:type="dxa"/>
            <w:tcBorders/>
            <w:vAlign w:val="center"/>
          </w:tcPr>
          <w:p>
            <w:pPr>
              <w:pStyle w:val="TableContents"/>
              <w:bidi w:val="0"/>
              <w:spacing w:lineRule="auto" w:line="307" w:before="0" w:after="160"/>
              <w:ind w:left="0" w:right="0" w:hanging="0"/>
              <w:jc w:val="center"/>
              <w:rPr/>
            </w:pPr>
            <w:r>
              <w:rPr/>
              <w:t>​</w:t>
            </w:r>
          </w:p>
        </w:tc>
        <w:tc>
          <w:tcPr>
            <w:tcW w:w="166" w:type="dxa"/>
            <w:tcBorders/>
            <w:vAlign w:val="center"/>
          </w:tcPr>
          <w:p>
            <w:pPr>
              <w:pStyle w:val="TableContents"/>
              <w:bidi w:val="0"/>
              <w:spacing w:lineRule="auto" w:line="307" w:before="0" w:after="160"/>
              <w:ind w:left="0" w:right="0" w:hanging="0"/>
              <w:jc w:val="center"/>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260" w:type="dxa"/>
            <w:tcBorders/>
            <w:vAlign w:val="center"/>
          </w:tcPr>
          <w:p>
            <w:pPr>
              <w:pStyle w:val="TableContents"/>
              <w:bidi w:val="0"/>
              <w:spacing w:lineRule="auto" w:line="307" w:before="0" w:after="160"/>
              <w:ind w:left="0" w:right="0" w:hanging="0"/>
              <w:jc w:val="left"/>
              <w:rPr/>
            </w:pPr>
            <w:r>
              <w:rPr/>
              <w:t>​</w:t>
            </w:r>
          </w:p>
        </w:tc>
        <w:tc>
          <w:tcPr>
            <w:tcW w:w="947" w:type="dxa"/>
            <w:tcBorders/>
            <w:vAlign w:val="center"/>
          </w:tcPr>
          <w:p>
            <w:pPr>
              <w:pStyle w:val="TableContents"/>
              <w:bidi w:val="0"/>
              <w:spacing w:lineRule="auto" w:line="307" w:before="0" w:after="160"/>
              <w:ind w:left="0" w:right="0" w:hanging="0"/>
              <w:jc w:val="center"/>
              <w:rPr/>
            </w:pPr>
            <w:r>
              <w:rPr/>
              <w:t>​</w:t>
            </w:r>
          </w:p>
        </w:tc>
      </w:tr>
      <w:tr>
        <w:trPr/>
        <w:tc>
          <w:tcPr>
            <w:tcW w:w="402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Technology</w:t>
            </w:r>
          </w:p>
        </w:tc>
        <w:tc>
          <w:tcPr>
            <w:tcW w:w="146" w:type="dxa"/>
            <w:tcBorders/>
            <w:vAlign w:val="center"/>
          </w:tcPr>
          <w:p>
            <w:pPr>
              <w:pStyle w:val="TableContents"/>
              <w:bidi w:val="0"/>
              <w:spacing w:lineRule="auto" w:line="307" w:before="0" w:after="160"/>
              <w:ind w:left="0" w:right="0" w:hanging="0"/>
              <w:jc w:val="center"/>
              <w:rPr/>
            </w:pPr>
            <w:r>
              <w:rPr/>
              <w:t>​</w:t>
            </w:r>
          </w:p>
        </w:tc>
        <w:tc>
          <w:tcPr>
            <w:tcW w:w="691" w:type="dxa"/>
            <w:tcBorders/>
            <w:vAlign w:val="center"/>
          </w:tcPr>
          <w:p>
            <w:pPr>
              <w:pStyle w:val="TableContents"/>
              <w:bidi w:val="0"/>
              <w:spacing w:lineRule="auto" w:line="307" w:before="0" w:after="160"/>
              <w:ind w:left="0" w:right="0" w:hanging="0"/>
              <w:jc w:val="center"/>
              <w:rPr/>
            </w:pPr>
            <w:r>
              <w:rPr/>
              <w:t>​</w:t>
            </w:r>
          </w:p>
        </w:tc>
        <w:tc>
          <w:tcPr>
            <w:tcW w:w="146" w:type="dxa"/>
            <w:tcBorders/>
            <w:vAlign w:val="center"/>
          </w:tcPr>
          <w:p>
            <w:pPr>
              <w:pStyle w:val="TableContents"/>
              <w:bidi w:val="0"/>
              <w:spacing w:lineRule="auto" w:line="307" w:before="0" w:after="160"/>
              <w:ind w:left="0" w:right="0" w:hanging="0"/>
              <w:jc w:val="center"/>
              <w:rPr/>
            </w:pPr>
            <w:r>
              <w:rPr/>
              <w:t>​</w:t>
            </w:r>
          </w:p>
        </w:tc>
        <w:tc>
          <w:tcPr>
            <w:tcW w:w="841" w:type="dxa"/>
            <w:tcBorders/>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and its</w:t>
            </w:r>
          </w:p>
        </w:tc>
        <w:tc>
          <w:tcPr>
            <w:tcW w:w="146" w:type="dxa"/>
            <w:tcBorders/>
            <w:vAlign w:val="center"/>
          </w:tcPr>
          <w:p>
            <w:pPr>
              <w:pStyle w:val="TableContents"/>
              <w:bidi w:val="0"/>
              <w:spacing w:lineRule="auto" w:line="307" w:before="0" w:after="160"/>
              <w:ind w:left="0" w:right="0" w:hanging="0"/>
              <w:jc w:val="center"/>
              <w:rPr/>
            </w:pPr>
            <w:r>
              <w:rPr/>
              <w:t>​</w:t>
            </w:r>
          </w:p>
        </w:tc>
        <w:tc>
          <w:tcPr>
            <w:tcW w:w="856" w:type="dxa"/>
            <w:tcBorders/>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166" w:type="dxa"/>
            <w:tcBorders/>
            <w:vAlign w:val="center"/>
          </w:tcPr>
          <w:p>
            <w:pPr>
              <w:pStyle w:val="TableContents"/>
              <w:bidi w:val="0"/>
              <w:spacing w:lineRule="auto" w:line="307" w:before="0" w:after="160"/>
              <w:ind w:left="0" w:right="0" w:hanging="0"/>
              <w:jc w:val="center"/>
              <w:rPr/>
            </w:pPr>
            <w:r>
              <w:rPr/>
              <w:t>​</w:t>
            </w:r>
          </w:p>
        </w:tc>
        <w:tc>
          <w:tcPr>
            <w:tcW w:w="826" w:type="dxa"/>
            <w:tcBorders/>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Elimination</w:t>
            </w:r>
          </w:p>
        </w:tc>
        <w:tc>
          <w:tcPr>
            <w:tcW w:w="260" w:type="dxa"/>
            <w:tcBorders/>
            <w:vAlign w:val="center"/>
          </w:tcPr>
          <w:p>
            <w:pPr>
              <w:pStyle w:val="TableContents"/>
              <w:bidi w:val="0"/>
              <w:spacing w:lineRule="auto" w:line="307" w:before="0" w:after="160"/>
              <w:ind w:left="0" w:right="0" w:hanging="0"/>
              <w:jc w:val="left"/>
              <w:rPr/>
            </w:pPr>
            <w:r>
              <w:rPr/>
              <w:t>​</w:t>
            </w:r>
          </w:p>
        </w:tc>
        <w:tc>
          <w:tcPr>
            <w:tcW w:w="947" w:type="dxa"/>
            <w:tcBorders/>
            <w:vAlign w:val="center"/>
          </w:tcPr>
          <w:p>
            <w:pPr>
              <w:pStyle w:val="TableContents"/>
              <w:bidi w:val="0"/>
              <w:spacing w:lineRule="auto" w:line="307" w:before="0" w:after="160"/>
              <w:ind w:left="0" w:right="0" w:hanging="0"/>
              <w:jc w:val="center"/>
              <w:rPr/>
            </w:pPr>
            <w:r>
              <w:rPr/>
              <w:t>​</w:t>
            </w:r>
          </w:p>
        </w:tc>
      </w:tr>
      <w:tr>
        <w:trPr/>
        <w:tc>
          <w:tcPr>
            <w:tcW w:w="402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Inc.</w:t>
            </w:r>
          </w:p>
        </w:tc>
        <w:tc>
          <w:tcPr>
            <w:tcW w:w="146" w:type="dxa"/>
            <w:tcBorders/>
            <w:vAlign w:val="center"/>
          </w:tcPr>
          <w:p>
            <w:pPr>
              <w:pStyle w:val="TableContents"/>
              <w:bidi w:val="0"/>
              <w:spacing w:lineRule="auto" w:line="307" w:before="0" w:after="16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WFOE</w:t>
            </w:r>
          </w:p>
        </w:tc>
        <w:tc>
          <w:tcPr>
            <w:tcW w:w="146" w:type="dxa"/>
            <w:tcBorders/>
            <w:vAlign w:val="center"/>
          </w:tcPr>
          <w:p>
            <w:pPr>
              <w:pStyle w:val="TableContents"/>
              <w:bidi w:val="0"/>
              <w:spacing w:lineRule="auto" w:line="307" w:before="0" w:after="16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subsidiaries</w:t>
            </w:r>
          </w:p>
        </w:tc>
        <w:tc>
          <w:tcPr>
            <w:tcW w:w="146" w:type="dxa"/>
            <w:tcBorders/>
            <w:vAlign w:val="center"/>
          </w:tcPr>
          <w:p>
            <w:pPr>
              <w:pStyle w:val="TableContents"/>
              <w:bidi w:val="0"/>
              <w:spacing w:lineRule="auto" w:line="307" w:before="0" w:after="16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Subsidiaries</w:t>
            </w:r>
          </w:p>
        </w:tc>
        <w:tc>
          <w:tcPr>
            <w:tcW w:w="166" w:type="dxa"/>
            <w:tcBorders/>
            <w:vAlign w:val="center"/>
          </w:tcPr>
          <w:p>
            <w:pPr>
              <w:pStyle w:val="TableContents"/>
              <w:bidi w:val="0"/>
              <w:spacing w:lineRule="auto" w:line="307" w:before="0" w:after="16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adjustments</w:t>
            </w:r>
          </w:p>
        </w:tc>
        <w:tc>
          <w:tcPr>
            <w:tcW w:w="260" w:type="dxa"/>
            <w:tcBorders/>
            <w:vAlign w:val="center"/>
          </w:tcPr>
          <w:p>
            <w:pPr>
              <w:pStyle w:val="TableContents"/>
              <w:bidi w:val="0"/>
              <w:spacing w:lineRule="auto" w:line="307" w:before="0" w:after="16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Consolidated</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ASSETS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811"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60"/>
              <w:ind w:left="0" w:right="0" w:hanging="0"/>
              <w:jc w:val="right"/>
              <w:rPr/>
            </w:pPr>
            <w:r>
              <w:rPr/>
              <w:t>​</w:t>
            </w:r>
          </w:p>
        </w:tc>
        <w:tc>
          <w:tcPr>
            <w:tcW w:w="16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60"/>
              <w:ind w:left="0" w:right="0" w:hanging="0"/>
              <w:jc w:val="right"/>
              <w:rPr/>
            </w:pPr>
            <w:r>
              <w:rPr/>
              <w:t>​</w:t>
            </w:r>
          </w:p>
        </w:tc>
        <w:tc>
          <w:tcPr>
            <w:tcW w:w="260" w:type="dxa"/>
            <w:tcBorders/>
            <w:shd w:fill="CCEEFF" w:val="clear"/>
            <w:vAlign w:val="center"/>
          </w:tcPr>
          <w:p>
            <w:pPr>
              <w:pStyle w:val="TableContents"/>
              <w:bidi w:val="0"/>
              <w:spacing w:lineRule="auto" w:line="307" w:before="0" w:after="160"/>
              <w:ind w:left="0" w:right="0" w:hanging="0"/>
              <w:jc w:val="left"/>
              <w:rPr/>
            </w:pPr>
            <w:r>
              <w:rPr/>
              <w:t>​</w:t>
            </w:r>
          </w:p>
        </w:tc>
        <w:tc>
          <w:tcPr>
            <w:tcW w:w="947" w:type="dxa"/>
            <w:tcBorders/>
            <w:shd w:fill="CCEEFF" w:val="clear"/>
            <w:vAlign w:val="center"/>
          </w:tcPr>
          <w:p>
            <w:pPr>
              <w:pStyle w:val="TableContents"/>
              <w:bidi w:val="0"/>
              <w:spacing w:lineRule="auto" w:line="307" w:before="0" w:after="160"/>
              <w:ind w:left="0" w:right="0" w:hanging="0"/>
              <w:jc w:val="right"/>
              <w:rPr/>
            </w:pPr>
            <w:r>
              <w:rPr/>
              <w:t>​</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60"/>
              <w:ind w:left="0" w:right="0" w:hanging="0"/>
              <w:jc w:val="right"/>
              <w:rPr/>
            </w:pPr>
            <w:r>
              <w:rPr/>
              <w:t>​</w:t>
            </w:r>
          </w:p>
        </w:tc>
        <w:tc>
          <w:tcPr>
            <w:tcW w:w="16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right"/>
              <w:rPr/>
            </w:pPr>
            <w:r>
              <w:rPr/>
              <w:t>​</w:t>
            </w:r>
          </w:p>
        </w:tc>
        <w:tc>
          <w:tcPr>
            <w:tcW w:w="260" w:type="dxa"/>
            <w:tcBorders/>
            <w:vAlign w:val="center"/>
          </w:tcPr>
          <w:p>
            <w:pPr>
              <w:pStyle w:val="TableContents"/>
              <w:bidi w:val="0"/>
              <w:spacing w:lineRule="auto" w:line="307" w:before="0" w:after="160"/>
              <w:ind w:left="0" w:right="0" w:hanging="0"/>
              <w:jc w:val="left"/>
              <w:rPr/>
            </w:pPr>
            <w:r>
              <w:rPr/>
              <w:t>​</w:t>
            </w:r>
          </w:p>
        </w:tc>
        <w:tc>
          <w:tcPr>
            <w:tcW w:w="947" w:type="dxa"/>
            <w:tcBorders/>
            <w:vAlign w:val="center"/>
          </w:tcPr>
          <w:p>
            <w:pPr>
              <w:pStyle w:val="TableContents"/>
              <w:bidi w:val="0"/>
              <w:spacing w:lineRule="auto" w:line="307" w:before="0" w:after="160"/>
              <w:ind w:left="0" w:right="0" w:hanging="0"/>
              <w:jc w:val="right"/>
              <w:rPr/>
            </w:pPr>
            <w:r>
              <w:rPr/>
              <w:t>​</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33,888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151,125</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233,928</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418,941</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7,061</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812</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7,873</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receivable – third parties,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76,664</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76,664</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receivable – related parties, net</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775</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21,655</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22,430</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Inventories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265,190</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265,190</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Prepayments and other current assets – third parties, net</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1,687</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925</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61,258</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63,870</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Prepayments and other current assets – related parties,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28,741</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28,744</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Amounts due from inter-companies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46,087</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469,019</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211,807</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(726,913)</w:t>
            </w:r>
          </w:p>
        </w:tc>
        <w:tc>
          <w:tcPr>
            <w:tcW w:w="260" w:type="dxa"/>
            <w:tcBorders/>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0"/>
              </w:rPr>
              <w:t>(1)  </w:t>
            </w:r>
            <w:r>
              <w:rPr>
                <w:rFonts w:ascii="Times New Roman;Times;serif" w:hAnsi="Times New Roman;Times;serif"/>
                <w:sz w:val="12"/>
              </w:rPr>
              <w:t>​</w:t>
            </w:r>
          </w:p>
        </w:tc>
        <w:tc>
          <w:tcPr>
            <w:tcW w:w="947" w:type="dxa"/>
            <w:tcBorders/>
            <w:vAlign w:val="center"/>
          </w:tcPr>
          <w:p>
            <w:pPr>
              <w:pStyle w:val="TableContents"/>
              <w:bidi w:val="0"/>
              <w:spacing w:lineRule="auto" w:line="307" w:before="0" w:after="1"/>
              <w:ind w:left="0" w:right="0" w:hanging="0"/>
              <w:jc w:val="right"/>
              <w:rPr/>
            </w:pPr>
            <w:r>
              <w:rPr/>
              <w:t>—</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81,662</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628,908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900,055</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(726,913)</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883,712</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Non-current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  ​</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60"/>
              <w:ind w:left="0" w:right="0" w:hanging="0"/>
              <w:jc w:val="right"/>
              <w:rPr/>
            </w:pPr>
            <w:r>
              <w:rPr/>
              <w:t>​</w:t>
            </w:r>
          </w:p>
        </w:tc>
        <w:tc>
          <w:tcPr>
            <w:tcW w:w="166" w:type="dxa"/>
            <w:tcBorders/>
            <w:vAlign w:val="center"/>
          </w:tcPr>
          <w:p>
            <w:pPr>
              <w:pStyle w:val="TableContents"/>
              <w:bidi w:val="0"/>
              <w:spacing w:lineRule="auto" w:line="240" w:before="0" w:after="1"/>
              <w:ind w:left="0" w:right="0" w:hanging="0"/>
              <w:jc w:val="left"/>
              <w:rPr/>
            </w:pPr>
            <w:r>
              <w:rPr/>
              <w:t> ​</w:t>
            </w:r>
          </w:p>
        </w:tc>
        <w:tc>
          <w:tcPr>
            <w:tcW w:w="826" w:type="dxa"/>
            <w:tcBorders/>
            <w:vAlign w:val="center"/>
          </w:tcPr>
          <w:p>
            <w:pPr>
              <w:pStyle w:val="TableContents"/>
              <w:bidi w:val="0"/>
              <w:spacing w:lineRule="auto" w:line="307" w:before="0" w:after="160"/>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60"/>
              <w:ind w:left="0" w:right="0" w:hanging="0"/>
              <w:jc w:val="right"/>
              <w:rPr/>
            </w:pPr>
            <w:r>
              <w:rPr/>
              <w:t>​</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Restricted 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321</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321</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Investment securities –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3,326</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pPr>
            <w:r>
              <w:rPr/>
              <w:t>—</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3,326</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Property, equipment and software,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105,851</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248,766</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354,617</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Intangible assets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41</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116,319</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116,360</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Operating lease right-of-use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75,758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97,345</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173,103</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assets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1,100</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49,433</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50,533</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assets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2,706</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2,706</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Investments in consolidated entities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278,648</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205,957</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(484,605)</w:t>
            </w:r>
          </w:p>
        </w:tc>
        <w:tc>
          <w:tcPr>
            <w:tcW w:w="260" w:type="dxa"/>
            <w:tcBorders/>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0"/>
              </w:rPr>
              <w:t>(2)  </w:t>
            </w:r>
            <w:r>
              <w:rPr>
                <w:rFonts w:ascii="Times New Roman;Times;serif" w:hAnsi="Times New Roman;Times;serif"/>
                <w:sz w:val="12"/>
              </w:rPr>
              <w:t>​</w:t>
            </w:r>
          </w:p>
        </w:tc>
        <w:tc>
          <w:tcPr>
            <w:tcW w:w="947" w:type="dxa"/>
            <w:tcBorders/>
            <w:vAlign w:val="center"/>
          </w:tcPr>
          <w:p>
            <w:pPr>
              <w:pStyle w:val="TableContents"/>
              <w:bidi w:val="0"/>
              <w:spacing w:lineRule="auto" w:line="307" w:before="0" w:after="1"/>
              <w:ind w:left="0" w:right="0" w:hanging="0"/>
              <w:jc w:val="right"/>
              <w:rPr/>
            </w:pPr>
            <w:r>
              <w:rPr/>
              <w:t>—</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non-current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3,326</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461,398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720,847</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(484,605)</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700,966</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assets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84,988</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1,090,306</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1,620,902</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(1,211,518)</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1,584,678</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LIABILITIES, MEZZANINE EQUITY AND SHAREHOLDERS’ EQUITY</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60"/>
              <w:ind w:left="0" w:right="0" w:hanging="0"/>
              <w:jc w:val="right"/>
              <w:rPr/>
            </w:pPr>
            <w:r>
              <w:rPr/>
              <w:t>​</w:t>
            </w:r>
          </w:p>
        </w:tc>
        <w:tc>
          <w:tcPr>
            <w:tcW w:w="16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60"/>
              <w:ind w:left="0" w:right="0" w:hanging="0"/>
              <w:jc w:val="right"/>
              <w:rPr/>
            </w:pPr>
            <w:r>
              <w:rPr/>
              <w:t>​</w:t>
            </w:r>
          </w:p>
        </w:tc>
        <w:tc>
          <w:tcPr>
            <w:tcW w:w="260" w:type="dxa"/>
            <w:tcBorders/>
            <w:shd w:fill="CCEEFF" w:val="clear"/>
            <w:vAlign w:val="center"/>
          </w:tcPr>
          <w:p>
            <w:pPr>
              <w:pStyle w:val="TableContents"/>
              <w:bidi w:val="0"/>
              <w:spacing w:lineRule="auto" w:line="307" w:before="0" w:after="160"/>
              <w:ind w:left="0" w:right="0" w:hanging="0"/>
              <w:jc w:val="left"/>
              <w:rPr/>
            </w:pPr>
            <w:r>
              <w:rPr/>
              <w:t>​</w:t>
            </w:r>
          </w:p>
        </w:tc>
        <w:tc>
          <w:tcPr>
            <w:tcW w:w="947" w:type="dxa"/>
            <w:tcBorders/>
            <w:shd w:fill="CCEEFF" w:val="clear"/>
            <w:vAlign w:val="center"/>
          </w:tcPr>
          <w:p>
            <w:pPr>
              <w:pStyle w:val="TableContents"/>
              <w:bidi w:val="0"/>
              <w:spacing w:lineRule="auto" w:line="307" w:before="0" w:after="160"/>
              <w:ind w:left="0" w:right="0" w:hanging="0"/>
              <w:jc w:val="right"/>
              <w:rPr/>
            </w:pPr>
            <w:r>
              <w:rPr/>
              <w:t>​</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60"/>
              <w:ind w:left="0" w:right="0" w:hanging="0"/>
              <w:jc w:val="right"/>
              <w:rPr/>
            </w:pPr>
            <w:r>
              <w:rPr/>
              <w:t>​</w:t>
            </w:r>
          </w:p>
        </w:tc>
        <w:tc>
          <w:tcPr>
            <w:tcW w:w="16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right"/>
              <w:rPr/>
            </w:pPr>
            <w:r>
              <w:rPr/>
              <w:t>​</w:t>
            </w:r>
          </w:p>
        </w:tc>
        <w:tc>
          <w:tcPr>
            <w:tcW w:w="260" w:type="dxa"/>
            <w:tcBorders/>
            <w:vAlign w:val="center"/>
          </w:tcPr>
          <w:p>
            <w:pPr>
              <w:pStyle w:val="TableContents"/>
              <w:bidi w:val="0"/>
              <w:spacing w:lineRule="auto" w:line="307" w:before="0" w:after="160"/>
              <w:ind w:left="0" w:right="0" w:hanging="0"/>
              <w:jc w:val="left"/>
              <w:rPr/>
            </w:pPr>
            <w:r>
              <w:rPr/>
              <w:t>​</w:t>
            </w:r>
          </w:p>
        </w:tc>
        <w:tc>
          <w:tcPr>
            <w:tcW w:w="947" w:type="dxa"/>
            <w:tcBorders/>
            <w:vAlign w:val="center"/>
          </w:tcPr>
          <w:p>
            <w:pPr>
              <w:pStyle w:val="TableContents"/>
              <w:bidi w:val="0"/>
              <w:spacing w:lineRule="auto" w:line="307" w:before="0" w:after="160"/>
              <w:ind w:left="0" w:right="0" w:hanging="0"/>
              <w:jc w:val="right"/>
              <w:rPr/>
            </w:pPr>
            <w:r>
              <w:rPr/>
              <w:t>​</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Short-term borrowings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75,624</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151,148</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226,772</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payable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18</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20,105</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20,123</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payable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340,419</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340,419</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Contract liabilities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44,184</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44,184</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Operating lease liabilities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4,454</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12,306</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16,760</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Accrued expenses and other current liabilities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714</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99,466</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319,242</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419,422</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Accrued expenses and other current liabilities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4,504</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286,182</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290,686</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Exchangeable notes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378,638</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pPr>
            <w:r>
              <w:rPr/>
              <w:t>—</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378,638</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Convertible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20,277</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pPr>
            <w:r>
              <w:rPr/>
              <w:t>—</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20,277</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Amounts due to inter-companies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115,079</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611,834</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(726,913)</w:t>
            </w:r>
          </w:p>
        </w:tc>
        <w:tc>
          <w:tcPr>
            <w:tcW w:w="260" w:type="dxa"/>
            <w:tcBorders/>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0"/>
              </w:rPr>
              <w:t>(1)  </w:t>
            </w:r>
            <w:r>
              <w:rPr>
                <w:rFonts w:ascii="Times New Roman;Times;serif" w:hAnsi="Times New Roman;Times;serif"/>
                <w:sz w:val="12"/>
              </w:rPr>
              <w:t>​</w:t>
            </w:r>
          </w:p>
        </w:tc>
        <w:tc>
          <w:tcPr>
            <w:tcW w:w="947" w:type="dxa"/>
            <w:tcBorders/>
            <w:vAlign w:val="center"/>
          </w:tcPr>
          <w:p>
            <w:pPr>
              <w:pStyle w:val="TableContents"/>
              <w:bidi w:val="0"/>
              <w:spacing w:lineRule="auto" w:line="307" w:before="0" w:after="1"/>
              <w:ind w:left="0" w:right="0" w:hanging="0"/>
              <w:jc w:val="right"/>
              <w:rPr/>
            </w:pPr>
            <w:r>
              <w:rPr/>
              <w:t>—</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current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20,991</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677,783</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1,785,420</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(726,913)</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1,757,281</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Non-current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84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60"/>
              <w:ind w:left="0" w:right="0" w:hanging="0"/>
              <w:jc w:val="right"/>
              <w:rPr/>
            </w:pPr>
            <w:r>
              <w:rPr/>
              <w:t>​</w:t>
            </w:r>
          </w:p>
        </w:tc>
        <w:tc>
          <w:tcPr>
            <w:tcW w:w="16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right"/>
              <w:rPr/>
            </w:pPr>
            <w:r>
              <w:rPr/>
              <w:t>​</w:t>
            </w:r>
          </w:p>
        </w:tc>
        <w:tc>
          <w:tcPr>
            <w:tcW w:w="260" w:type="dxa"/>
            <w:tcBorders/>
            <w:vAlign w:val="center"/>
          </w:tcPr>
          <w:p>
            <w:pPr>
              <w:pStyle w:val="TableContents"/>
              <w:bidi w:val="0"/>
              <w:spacing w:lineRule="auto" w:line="307" w:before="0" w:after="160"/>
              <w:ind w:left="0" w:right="0" w:hanging="0"/>
              <w:jc w:val="left"/>
              <w:rPr/>
            </w:pPr>
            <w:r>
              <w:rPr/>
              <w:t>​</w:t>
            </w:r>
          </w:p>
        </w:tc>
        <w:tc>
          <w:tcPr>
            <w:tcW w:w="947" w:type="dxa"/>
            <w:tcBorders/>
            <w:vAlign w:val="center"/>
          </w:tcPr>
          <w:p>
            <w:pPr>
              <w:pStyle w:val="TableContents"/>
              <w:bidi w:val="0"/>
              <w:spacing w:lineRule="auto" w:line="307" w:before="0" w:after="160"/>
              <w:ind w:left="0" w:right="0" w:hanging="0"/>
              <w:jc w:val="right"/>
              <w:rPr/>
            </w:pPr>
            <w:r>
              <w:rPr/>
              <w:t>​</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Contract liabilities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6,245</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6,245</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Operating lease liabilities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39,815</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52,114</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91,929</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Operating lease liabilities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12,064</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12,064</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Put option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11,884</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pPr>
            <w:r>
              <w:rPr/>
              <w:t>—</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11,884</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Exchangeable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75,678</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75,678</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Convertible notes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81,635</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81,635</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Deferred tax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pPr>
            <w:r>
              <w:rPr/>
              <w:t>—</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pPr>
            <w:r>
              <w:rPr/>
              <w:t>—</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Deferred income</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268,259</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1,838</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270,097</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liabilities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103,403</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103,403</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liabilities –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1,634</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1,634</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Share of losses in excess of investments in consolidated entities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873,881</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pPr>
            <w:r>
              <w:rPr/>
              <w:t>—</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(873,881)</w:t>
            </w:r>
          </w:p>
        </w:tc>
        <w:tc>
          <w:tcPr>
            <w:tcW w:w="26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0"/>
              </w:rPr>
              <w:t>(2)  </w:t>
            </w:r>
            <w:r>
              <w:rPr>
                <w:rFonts w:ascii="Times New Roman;Times;serif" w:hAnsi="Times New Roman;Times;serif"/>
                <w:sz w:val="12"/>
              </w:rPr>
              <w:t>​</w:t>
            </w:r>
          </w:p>
        </w:tc>
        <w:tc>
          <w:tcPr>
            <w:tcW w:w="947" w:type="dxa"/>
            <w:tcBorders/>
            <w:shd w:fill="CCEEFF" w:val="clear"/>
            <w:vAlign w:val="center"/>
          </w:tcPr>
          <w:p>
            <w:pPr>
              <w:pStyle w:val="TableContents"/>
              <w:bidi w:val="0"/>
              <w:spacing w:lineRule="auto" w:line="307" w:before="0" w:after="1"/>
              <w:ind w:left="0" w:right="0" w:hanging="0"/>
              <w:jc w:val="right"/>
              <w:rPr/>
            </w:pPr>
            <w:r>
              <w:rPr/>
              <w:t>—</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non-current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885,765</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308,074</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334,611</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(873,881)</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654,569</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906,756</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985,857</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2,120,031</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(1,600,794)</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2,411,850</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mezzanine equity</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383,530</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pPr>
            <w:r>
              <w:rPr/>
              <w:t>—</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383,530</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SHAREHOLDERS’ EQUITY (DEFICIT)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841"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60"/>
              <w:ind w:left="0" w:right="0" w:hanging="0"/>
              <w:jc w:val="right"/>
              <w:rPr/>
            </w:pPr>
            <w:r>
              <w:rPr/>
              <w:t>​</w:t>
            </w:r>
          </w:p>
        </w:tc>
        <w:tc>
          <w:tcPr>
            <w:tcW w:w="16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60"/>
              <w:ind w:left="0" w:right="0" w:hanging="0"/>
              <w:jc w:val="right"/>
              <w:rPr/>
            </w:pPr>
            <w:r>
              <w:rPr/>
              <w:t>​</w:t>
            </w:r>
          </w:p>
        </w:tc>
        <w:tc>
          <w:tcPr>
            <w:tcW w:w="260" w:type="dxa"/>
            <w:tcBorders/>
            <w:shd w:fill="CCEEFF" w:val="clear"/>
            <w:vAlign w:val="center"/>
          </w:tcPr>
          <w:p>
            <w:pPr>
              <w:pStyle w:val="TableContents"/>
              <w:bidi w:val="0"/>
              <w:spacing w:lineRule="auto" w:line="307" w:before="0" w:after="160"/>
              <w:ind w:left="0" w:right="0" w:hanging="0"/>
              <w:jc w:val="left"/>
              <w:rPr/>
            </w:pPr>
            <w:r>
              <w:rPr/>
              <w:t>​</w:t>
            </w:r>
          </w:p>
        </w:tc>
        <w:tc>
          <w:tcPr>
            <w:tcW w:w="947" w:type="dxa"/>
            <w:tcBorders/>
            <w:shd w:fill="CCEEFF" w:val="clear"/>
            <w:vAlign w:val="center"/>
          </w:tcPr>
          <w:p>
            <w:pPr>
              <w:pStyle w:val="TableContents"/>
              <w:bidi w:val="0"/>
              <w:spacing w:lineRule="auto" w:line="307" w:before="0" w:after="160"/>
              <w:ind w:left="0" w:right="0" w:hanging="0"/>
              <w:jc w:val="right"/>
              <w:rPr/>
            </w:pPr>
            <w:r>
              <w:rPr/>
              <w:t>​</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Ordinary shares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21</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160,651</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251,376</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(412,027)</w:t>
            </w:r>
          </w:p>
        </w:tc>
        <w:tc>
          <w:tcPr>
            <w:tcW w:w="260" w:type="dxa"/>
            <w:tcBorders/>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0"/>
              </w:rPr>
              <w:t>(2)  </w:t>
            </w:r>
            <w:r>
              <w:rPr>
                <w:rFonts w:ascii="Times New Roman;Times;serif" w:hAnsi="Times New Roman;Times;serif"/>
                <w:sz w:val="12"/>
              </w:rPr>
              <w:t>​</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21</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Additional paid-in capital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358,187</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56,776</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700,734</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(757,510)</w:t>
            </w:r>
          </w:p>
        </w:tc>
        <w:tc>
          <w:tcPr>
            <w:tcW w:w="26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0"/>
              </w:rPr>
              <w:t>(2)  </w:t>
            </w:r>
            <w:r>
              <w:rPr>
                <w:rFonts w:ascii="Times New Roman;Times;serif" w:hAnsi="Times New Roman;Times;serif"/>
                <w:sz w:val="12"/>
              </w:rPr>
              <w:t>​</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358,187</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Accumulated other comprehensive income</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25,267</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793</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1,027</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(1,820)</w:t>
            </w:r>
          </w:p>
        </w:tc>
        <w:tc>
          <w:tcPr>
            <w:tcW w:w="260" w:type="dxa"/>
            <w:tcBorders/>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0"/>
              </w:rPr>
              <w:t>(2)  </w:t>
            </w:r>
            <w:r>
              <w:rPr>
                <w:rFonts w:ascii="Times New Roman;Times;serif" w:hAnsi="Times New Roman;Times;serif"/>
                <w:sz w:val="12"/>
              </w:rPr>
              <w:t>​</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25,267</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Accumulated deficit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(1,588,773)</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(113,771)</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(1,446,862)</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1,560,633</w:t>
            </w:r>
          </w:p>
        </w:tc>
        <w:tc>
          <w:tcPr>
            <w:tcW w:w="26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0"/>
              </w:rPr>
              <w:t>(2)  </w:t>
            </w:r>
            <w:r>
              <w:rPr>
                <w:rFonts w:ascii="Times New Roman;Times;serif" w:hAnsi="Times New Roman;Times;serif"/>
                <w:sz w:val="12"/>
              </w:rPr>
              <w:t>​</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(1,588,773)</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shareholders’ equity (deficit) attributable to ordinary shareholders</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(1,205,298)</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104,449</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(493,725)</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389,276</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(1,205,298)</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Noncontrolling interests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(5,404)</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(5,404)</w:t>
            </w:r>
          </w:p>
        </w:tc>
      </w:tr>
      <w:tr>
        <w:trPr/>
        <w:tc>
          <w:tcPr>
            <w:tcW w:w="4023" w:type="dxa"/>
            <w:tcBorders/>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shareholders’ equity (deficit)</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(1,205,298)</w:t>
            </w:r>
          </w:p>
        </w:tc>
        <w:tc>
          <w:tcPr>
            <w:tcW w:w="1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104,449</w:t>
            </w:r>
          </w:p>
        </w:tc>
        <w:tc>
          <w:tcPr>
            <w:tcW w:w="146" w:type="dxa"/>
            <w:tcBorders/>
            <w:vAlign w:val="center"/>
          </w:tcPr>
          <w:p>
            <w:pPr>
              <w:pStyle w:val="TableContents"/>
              <w:bidi w:val="0"/>
              <w:spacing w:lineRule="auto" w:line="307" w:before="0" w:after="1"/>
              <w:ind w:left="0" w:right="0" w:hanging="0"/>
              <w:jc w:val="left"/>
              <w:rPr/>
            </w:pPr>
            <w:r>
              <w:rPr/>
              <w:t> </w:t>
            </w:r>
          </w:p>
        </w:tc>
        <w:tc>
          <w:tcPr>
            <w:tcW w:w="841"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(499,129)</w:t>
            </w:r>
          </w:p>
        </w:tc>
        <w:tc>
          <w:tcPr>
            <w:tcW w:w="16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389,276</w:t>
            </w:r>
          </w:p>
        </w:tc>
        <w:tc>
          <w:tcPr>
            <w:tcW w:w="260" w:type="dxa"/>
            <w:tcBorders/>
            <w:vAlign w:val="center"/>
          </w:tcPr>
          <w:p>
            <w:pPr>
              <w:pStyle w:val="TableContents"/>
              <w:bidi w:val="0"/>
              <w:spacing w:lineRule="auto" w:line="307" w:before="0" w:after="1"/>
              <w:ind w:left="0" w:right="0" w:hanging="0"/>
              <w:jc w:val="left"/>
              <w:rPr/>
            </w:pPr>
            <w:r>
              <w:rPr/>
              <w:t> </w:t>
            </w:r>
          </w:p>
        </w:tc>
        <w:tc>
          <w:tcPr>
            <w:tcW w:w="947" w:type="dxa"/>
            <w:tcBorders/>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(1,210,702)</w:t>
            </w:r>
          </w:p>
        </w:tc>
      </w:tr>
      <w:tr>
        <w:trPr/>
        <w:tc>
          <w:tcPr>
            <w:tcW w:w="402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liabilities, mezzanine equity and shareholders’ deficit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84,988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1,090,306</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41" w:type="dxa"/>
            <w:tcBorders/>
            <w:shd w:fill="CCEEFF" w:val="clear"/>
            <w:vAlign w:val="center"/>
          </w:tcPr>
          <w:p>
            <w:pPr>
              <w:pStyle w:val="TableContents"/>
              <w:bidi w:val="0"/>
              <w:spacing w:lineRule="auto" w:line="307" w:before="0" w:after="1"/>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1,620,902</w:t>
            </w:r>
          </w:p>
        </w:tc>
        <w:tc>
          <w:tcPr>
            <w:tcW w:w="16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(1,211,518)</w:t>
            </w:r>
          </w:p>
        </w:tc>
        <w:tc>
          <w:tcPr>
            <w:tcW w:w="260" w:type="dxa"/>
            <w:tcBorders/>
            <w:shd w:fill="CCEEFF" w:val="clear"/>
            <w:vAlign w:val="center"/>
          </w:tcPr>
          <w:p>
            <w:pPr>
              <w:pStyle w:val="TableContents"/>
              <w:bidi w:val="0"/>
              <w:spacing w:lineRule="auto" w:line="307" w:before="0" w:after="1"/>
              <w:ind w:left="0" w:right="0" w:hanging="0"/>
              <w:jc w:val="left"/>
              <w:rPr/>
            </w:pPr>
            <w:r>
              <w:rPr/>
              <w:t> </w:t>
            </w:r>
          </w:p>
        </w:tc>
        <w:tc>
          <w:tcPr>
            <w:tcW w:w="947" w:type="dxa"/>
            <w:tcBorders/>
            <w:shd w:fill="CCEEFF" w:val="clear"/>
            <w:vAlign w:val="center"/>
          </w:tcPr>
          <w:p>
            <w:pPr>
              <w:pStyle w:val="TableContents"/>
              <w:bidi w:val="0"/>
              <w:spacing w:lineRule="auto" w:line="307" w:before="0" w:after="1"/>
              <w:ind w:left="0" w:right="45" w:hanging="0"/>
              <w:jc w:val="right"/>
              <w:rPr>
                <w:rFonts w:ascii="Times New Roman;Times;serif" w:hAnsi="Times New Roman;Times;serif"/>
                <w:b/>
                <w:sz w:val="13"/>
              </w:rPr>
            </w:pPr>
            <w:r>
              <w:rPr>
                <w:rFonts w:ascii="Times New Roman;Times;serif" w:hAnsi="Times New Roman;Times;serif"/>
                <w:b/>
                <w:sz w:val="13"/>
              </w:rPr>
              <w:t>1,584,678</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Selected Consolidated Cash Flows Information</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present our condensed consolidating schedule depicting the consolidated cash flows for the fiscal year ended December 31, 2023 of Lotus Technology Inc., the WFOE, the VIEs, other subsidiaries, and corresponding eliminating adjustments separately.</w:t>
      </w:r>
    </w:p>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456"/>
        <w:gridCol w:w="346"/>
        <w:gridCol w:w="946"/>
        <w:gridCol w:w="346"/>
        <w:gridCol w:w="762"/>
        <w:gridCol w:w="346"/>
        <w:gridCol w:w="931"/>
        <w:gridCol w:w="346"/>
        <w:gridCol w:w="961"/>
        <w:gridCol w:w="346"/>
        <w:gridCol w:w="976"/>
        <w:gridCol w:w="346"/>
        <w:gridCol w:w="1097"/>
      </w:tblGrid>
      <w:tr>
        <w:trPr/>
        <w:tc>
          <w:tcPr>
            <w:tcW w:w="2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59560" cy="175260"/>
                      <wp:effectExtent l="0" t="0" r="0" b="0"/>
                      <wp:wrapNone/>
                      <wp:docPr id="28" name="Frame27"/>
                      <a:graphic xmlns:a="http://schemas.openxmlformats.org/drawingml/2006/main">
                        <a:graphicData uri="http://schemas.microsoft.com/office/word/2010/wordprocessingShape">
                          <wps:wsp>
                            <wps:cNvSpPr txBox="1"/>
                            <wps:spPr>
                              <a:xfrm>
                                <a:off x="0" y="0"/>
                                <a:ext cx="15595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00710" cy="175260"/>
                      <wp:effectExtent l="0" t="0" r="0" b="0"/>
                      <wp:wrapNone/>
                      <wp:docPr id="30" name="Frame2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83870" cy="175260"/>
                      <wp:effectExtent l="0" t="0" r="0" b="0"/>
                      <wp:wrapNone/>
                      <wp:docPr id="32" name="Frame31"/>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1185" cy="175260"/>
                      <wp:effectExtent l="0" t="0" r="0" b="0"/>
                      <wp:wrapNone/>
                      <wp:docPr id="34" name="Frame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10235" cy="175260"/>
                      <wp:effectExtent l="0" t="0" r="0" b="0"/>
                      <wp:wrapNone/>
                      <wp:docPr id="36" name="Frame3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19760" cy="175260"/>
                      <wp:effectExtent l="0" t="0" r="0" b="0"/>
                      <wp:wrapNone/>
                      <wp:docPr id="38" name="Frame3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6595" cy="175260"/>
                      <wp:effectExtent l="0" t="0" r="0" b="0"/>
                      <wp:wrapNone/>
                      <wp:docPr id="40" name="Frame39"/>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4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403" w:type="dxa"/>
            <w:gridSpan w:val="11"/>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r>
      <w:tr>
        <w:trPr/>
        <w:tc>
          <w:tcPr>
            <w:tcW w:w="24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403" w:type="dxa"/>
            <w:gridSpan w:val="11"/>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4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403" w:type="dxa"/>
            <w:gridSpan w:val="11"/>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2"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The former</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7" w:type="dxa"/>
            <w:tcBorders/>
            <w:vAlign w:val="center"/>
          </w:tcPr>
          <w:p>
            <w:pPr>
              <w:pStyle w:val="TableContents"/>
              <w:bidi w:val="0"/>
              <w:spacing w:lineRule="auto" w:line="307" w:before="0" w:after="160"/>
              <w:ind w:left="0" w:right="0" w:hanging="0"/>
              <w:jc w:val="center"/>
              <w:rPr/>
            </w:pPr>
            <w:r>
              <w:rPr/>
              <w:t>​</w:t>
            </w:r>
          </w:p>
        </w:tc>
      </w:tr>
      <w:tr>
        <w:trPr/>
        <w:tc>
          <w:tcPr>
            <w:tcW w:w="24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Lotus</w:t>
            </w:r>
          </w:p>
        </w:tc>
        <w:tc>
          <w:tcPr>
            <w:tcW w:w="346" w:type="dxa"/>
            <w:tcBorders/>
            <w:vAlign w:val="center"/>
          </w:tcPr>
          <w:p>
            <w:pPr>
              <w:pStyle w:val="TableContents"/>
              <w:bidi w:val="0"/>
              <w:spacing w:lineRule="auto" w:line="307" w:before="0" w:after="160"/>
              <w:ind w:left="0" w:right="0" w:hanging="0"/>
              <w:jc w:val="center"/>
              <w:rPr/>
            </w:pPr>
            <w:r>
              <w:rPr/>
              <w:t>​</w:t>
            </w:r>
          </w:p>
        </w:tc>
        <w:tc>
          <w:tcPr>
            <w:tcW w:w="762"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VIE</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97" w:type="dxa"/>
            <w:tcBorders/>
            <w:vAlign w:val="center"/>
          </w:tcPr>
          <w:p>
            <w:pPr>
              <w:pStyle w:val="TableContents"/>
              <w:bidi w:val="0"/>
              <w:spacing w:lineRule="auto" w:line="307" w:before="0" w:after="160"/>
              <w:ind w:left="0" w:right="0" w:hanging="0"/>
              <w:jc w:val="center"/>
              <w:rPr/>
            </w:pPr>
            <w:r>
              <w:rPr/>
              <w:t>​</w:t>
            </w:r>
          </w:p>
        </w:tc>
      </w:tr>
      <w:tr>
        <w:trPr/>
        <w:tc>
          <w:tcPr>
            <w:tcW w:w="24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346" w:type="dxa"/>
            <w:tcBorders/>
            <w:vAlign w:val="center"/>
          </w:tcPr>
          <w:p>
            <w:pPr>
              <w:pStyle w:val="TableContents"/>
              <w:bidi w:val="0"/>
              <w:spacing w:lineRule="auto" w:line="307" w:before="0" w:after="160"/>
              <w:ind w:left="0" w:right="0" w:hanging="0"/>
              <w:jc w:val="center"/>
              <w:rPr/>
            </w:pPr>
            <w:r>
              <w:rPr/>
              <w:t>​</w:t>
            </w:r>
          </w:p>
        </w:tc>
        <w:tc>
          <w:tcPr>
            <w:tcW w:w="762"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and its</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307" w:before="0" w:after="160"/>
              <w:ind w:left="0" w:right="0" w:hanging="0"/>
              <w:jc w:val="center"/>
              <w:rPr/>
            </w:pPr>
            <w:r>
              <w:rPr/>
              <w:t>​</w:t>
            </w:r>
          </w:p>
        </w:tc>
        <w:tc>
          <w:tcPr>
            <w:tcW w:w="97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346" w:type="dxa"/>
            <w:tcBorders/>
            <w:vAlign w:val="center"/>
          </w:tcPr>
          <w:p>
            <w:pPr>
              <w:pStyle w:val="TableContents"/>
              <w:bidi w:val="0"/>
              <w:spacing w:lineRule="auto" w:line="307" w:before="0" w:after="160"/>
              <w:ind w:left="0" w:right="0" w:hanging="0"/>
              <w:jc w:val="left"/>
              <w:rPr/>
            </w:pPr>
            <w:r>
              <w:rPr/>
              <w:t>​</w:t>
            </w:r>
          </w:p>
        </w:tc>
        <w:tc>
          <w:tcPr>
            <w:tcW w:w="1097" w:type="dxa"/>
            <w:tcBorders/>
            <w:vAlign w:val="center"/>
          </w:tcPr>
          <w:p>
            <w:pPr>
              <w:pStyle w:val="TableContents"/>
              <w:bidi w:val="0"/>
              <w:spacing w:lineRule="auto" w:line="307" w:before="0" w:after="160"/>
              <w:ind w:left="0" w:right="0" w:hanging="0"/>
              <w:jc w:val="center"/>
              <w:rPr/>
            </w:pPr>
            <w:r>
              <w:rPr/>
              <w:t>​</w:t>
            </w:r>
          </w:p>
        </w:tc>
      </w:tr>
      <w:tr>
        <w:trPr/>
        <w:tc>
          <w:tcPr>
            <w:tcW w:w="24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Inc.</w:t>
            </w:r>
          </w:p>
        </w:tc>
        <w:tc>
          <w:tcPr>
            <w:tcW w:w="346" w:type="dxa"/>
            <w:tcBorders/>
            <w:vAlign w:val="center"/>
          </w:tcPr>
          <w:p>
            <w:pPr>
              <w:pStyle w:val="TableContents"/>
              <w:bidi w:val="0"/>
              <w:spacing w:lineRule="auto" w:line="307" w:before="0" w:after="160"/>
              <w:ind w:left="0" w:right="0" w:hanging="0"/>
              <w:jc w:val="center"/>
              <w:rPr/>
            </w:pPr>
            <w:r>
              <w:rPr/>
              <w:t>​</w:t>
            </w:r>
          </w:p>
        </w:tc>
        <w:tc>
          <w:tcPr>
            <w:tcW w:w="762"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46" w:type="dxa"/>
            <w:tcBorders/>
            <w:vAlign w:val="center"/>
          </w:tcPr>
          <w:p>
            <w:pPr>
              <w:pStyle w:val="TableContents"/>
              <w:bidi w:val="0"/>
              <w:spacing w:lineRule="auto" w:line="307" w:before="0" w:after="16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lineRule="auto" w:line="307" w:before="0" w:after="16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46" w:type="dxa"/>
            <w:tcBorders/>
            <w:shd w:fill="CCEEFF" w:val="clear"/>
            <w:vAlign w:val="center"/>
          </w:tcPr>
          <w:p>
            <w:pPr>
              <w:pStyle w:val="TableContents"/>
              <w:bidi w:val="0"/>
              <w:spacing w:lineRule="auto" w:line="307" w:before="0" w:after="1"/>
              <w:ind w:left="0" w:right="0" w:hanging="0"/>
              <w:jc w:val="center"/>
              <w:rPr/>
            </w:pPr>
            <w:r>
              <w:rPr/>
              <w:t>  ​ ​ ​</w:t>
            </w:r>
          </w:p>
        </w:tc>
        <w:tc>
          <w:tcPr>
            <w:tcW w:w="946" w:type="dxa"/>
            <w:tcBorders/>
            <w:shd w:fill="CCEEFF" w:val="clear"/>
            <w:vAlign w:val="center"/>
          </w:tcPr>
          <w:p>
            <w:pPr>
              <w:pStyle w:val="TableContents"/>
              <w:bidi w:val="0"/>
              <w:spacing w:lineRule="auto" w:line="307" w:before="0" w:after="1"/>
              <w:ind w:left="0" w:right="0" w:hanging="0"/>
              <w:jc w:val="center"/>
              <w:rPr/>
            </w:pPr>
            <w:r>
              <w:rPr/>
              <w:t>  ​</w:t>
            </w:r>
          </w:p>
        </w:tc>
        <w:tc>
          <w:tcPr>
            <w:tcW w:w="346" w:type="dxa"/>
            <w:tcBorders/>
            <w:shd w:fill="CCEEFF" w:val="clear"/>
            <w:vAlign w:val="center"/>
          </w:tcPr>
          <w:p>
            <w:pPr>
              <w:pStyle w:val="TableContents"/>
              <w:bidi w:val="0"/>
              <w:spacing w:lineRule="auto" w:line="307" w:before="0" w:after="1"/>
              <w:ind w:left="0" w:right="0" w:hanging="0"/>
              <w:jc w:val="center"/>
              <w:rPr/>
            </w:pPr>
            <w:r>
              <w:rPr/>
              <w:t>  ​ ​ ​</w:t>
            </w:r>
          </w:p>
        </w:tc>
        <w:tc>
          <w:tcPr>
            <w:tcW w:w="762" w:type="dxa"/>
            <w:tcBorders/>
            <w:shd w:fill="CCEEFF" w:val="clear"/>
            <w:vAlign w:val="center"/>
          </w:tcPr>
          <w:p>
            <w:pPr>
              <w:pStyle w:val="TableContents"/>
              <w:bidi w:val="0"/>
              <w:spacing w:lineRule="auto" w:line="307" w:before="0" w:after="1"/>
              <w:ind w:left="0" w:right="0" w:hanging="0"/>
              <w:jc w:val="center"/>
              <w:rPr/>
            </w:pPr>
            <w:r>
              <w:rPr/>
              <w:t>  ​</w:t>
            </w:r>
          </w:p>
        </w:tc>
        <w:tc>
          <w:tcPr>
            <w:tcW w:w="346" w:type="dxa"/>
            <w:tcBorders/>
            <w:shd w:fill="CCEEFF" w:val="clear"/>
            <w:vAlign w:val="center"/>
          </w:tcPr>
          <w:p>
            <w:pPr>
              <w:pStyle w:val="TableContents"/>
              <w:bidi w:val="0"/>
              <w:spacing w:lineRule="auto" w:line="307" w:before="0" w:after="1"/>
              <w:ind w:left="0" w:right="0" w:hanging="0"/>
              <w:jc w:val="center"/>
              <w:rPr/>
            </w:pPr>
            <w:r>
              <w:rPr/>
              <w:t>  ​ ​ ​</w:t>
            </w:r>
          </w:p>
        </w:tc>
        <w:tc>
          <w:tcPr>
            <w:tcW w:w="931" w:type="dxa"/>
            <w:tcBorders/>
            <w:shd w:fill="CCEEFF" w:val="clear"/>
            <w:vAlign w:val="center"/>
          </w:tcPr>
          <w:p>
            <w:pPr>
              <w:pStyle w:val="TableContents"/>
              <w:bidi w:val="0"/>
              <w:spacing w:lineRule="auto" w:line="307" w:before="0" w:after="1"/>
              <w:ind w:left="0" w:right="0" w:hanging="0"/>
              <w:jc w:val="center"/>
              <w:rPr/>
            </w:pPr>
            <w:r>
              <w:rPr/>
              <w:t>  ​</w:t>
            </w:r>
          </w:p>
        </w:tc>
        <w:tc>
          <w:tcPr>
            <w:tcW w:w="346" w:type="dxa"/>
            <w:tcBorders/>
            <w:shd w:fill="CCEEFF" w:val="clear"/>
            <w:vAlign w:val="center"/>
          </w:tcPr>
          <w:p>
            <w:pPr>
              <w:pStyle w:val="TableContents"/>
              <w:bidi w:val="0"/>
              <w:spacing w:lineRule="auto" w:line="307" w:before="0" w:after="1"/>
              <w:ind w:left="0" w:right="0" w:hanging="0"/>
              <w:jc w:val="center"/>
              <w:rPr/>
            </w:pPr>
            <w:r>
              <w:rPr/>
              <w:t>  ​ ​ ​</w:t>
            </w:r>
          </w:p>
        </w:tc>
        <w:tc>
          <w:tcPr>
            <w:tcW w:w="961" w:type="dxa"/>
            <w:tcBorders/>
            <w:shd w:fill="CCEEFF" w:val="clear"/>
            <w:vAlign w:val="center"/>
          </w:tcPr>
          <w:p>
            <w:pPr>
              <w:pStyle w:val="TableContents"/>
              <w:bidi w:val="0"/>
              <w:spacing w:lineRule="auto" w:line="307" w:before="0" w:after="1"/>
              <w:ind w:left="0" w:right="0" w:hanging="0"/>
              <w:jc w:val="center"/>
              <w:rPr/>
            </w:pPr>
            <w:r>
              <w:rPr/>
              <w:t>  ​</w:t>
            </w:r>
          </w:p>
        </w:tc>
        <w:tc>
          <w:tcPr>
            <w:tcW w:w="346" w:type="dxa"/>
            <w:tcBorders/>
            <w:shd w:fill="CCEEFF" w:val="clear"/>
            <w:vAlign w:val="center"/>
          </w:tcPr>
          <w:p>
            <w:pPr>
              <w:pStyle w:val="TableContents"/>
              <w:bidi w:val="0"/>
              <w:spacing w:lineRule="auto" w:line="307" w:before="0" w:after="1"/>
              <w:ind w:left="0" w:right="0" w:hanging="0"/>
              <w:jc w:val="center"/>
              <w:rPr/>
            </w:pPr>
            <w:r>
              <w:rPr/>
              <w:t>  ​ ​ ​</w:t>
            </w:r>
          </w:p>
        </w:tc>
        <w:tc>
          <w:tcPr>
            <w:tcW w:w="976" w:type="dxa"/>
            <w:tcBorders/>
            <w:shd w:fill="CCEEFF" w:val="clear"/>
            <w:vAlign w:val="center"/>
          </w:tcPr>
          <w:p>
            <w:pPr>
              <w:pStyle w:val="TableContents"/>
              <w:bidi w:val="0"/>
              <w:spacing w:lineRule="auto" w:line="307" w:before="0" w:after="1"/>
              <w:ind w:left="0" w:right="0" w:hanging="0"/>
              <w:jc w:val="center"/>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1097" w:type="dxa"/>
            <w:tcBorders/>
            <w:shd w:fill="CCEEFF" w:val="clear"/>
            <w:vAlign w:val="center"/>
          </w:tcPr>
          <w:p>
            <w:pPr>
              <w:pStyle w:val="TableContents"/>
              <w:bidi w:val="0"/>
              <w:spacing w:lineRule="auto" w:line="307" w:before="0" w:after="1"/>
              <w:ind w:left="0" w:right="0" w:hanging="0"/>
              <w:jc w:val="center"/>
              <w:rPr/>
            </w:pPr>
            <w:r>
              <w:rPr/>
              <w:t>  ​</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cash generated from (used in) operating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3,127</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(49,744)</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(8,281)</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(332,034)</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(386,932)</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pPr>
            <w:r>
              <w:rPr/>
              <w:t>  ​</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Payments for purchases of property, equipment and software and intangible assets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(51,656)</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(162,058)</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(213,714)</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disposal of property, equipment and software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4,184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933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5,117</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Payments for purchases of short-term investments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(38,254)</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(38,254)</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sales of short-term investments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37,428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37,428</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Receipt of government grant related to assets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16,345</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16,345</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Payments for investments in equity investees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(146)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(4,911)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(5,059)</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disposal of a subsidiary, net of cash disposed</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1,379</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1,379</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Loans to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(1,227)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(1,227)</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Loans to intercompanies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(231,578)</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(316,713)</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(180,466)</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728,757</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(1)  </w:t>
            </w:r>
            <w:r>
              <w:rPr>
                <w:rFonts w:ascii="Times New Roman;Times;serif" w:hAnsi="Times New Roman;Times;serif"/>
                <w:sz w:val="16"/>
              </w:rPr>
              <w:t>​</w:t>
            </w:r>
          </w:p>
        </w:tc>
        <w:tc>
          <w:tcPr>
            <w:tcW w:w="1097" w:type="dxa"/>
            <w:tcBorders/>
            <w:vAlign w:val="center"/>
          </w:tcPr>
          <w:p>
            <w:pPr>
              <w:pStyle w:val="TableContents"/>
              <w:bidi w:val="0"/>
              <w:spacing w:lineRule="auto" w:line="307" w:before="0" w:after="1"/>
              <w:ind w:left="0" w:right="0" w:hanging="0"/>
              <w:jc w:val="right"/>
              <w:rPr/>
            </w:pPr>
            <w:r>
              <w:rPr/>
              <w:t>—</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collection of loans from intercompanies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186,148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150,870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71,849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(408,867)</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(4)  </w:t>
            </w:r>
            <w:r>
              <w:rPr>
                <w:rFonts w:ascii="Times New Roman;Times;serif" w:hAnsi="Times New Roman;Times;serif"/>
                <w:sz w:val="16"/>
              </w:rPr>
              <w:t>​</w:t>
            </w:r>
          </w:p>
        </w:tc>
        <w:tc>
          <w:tcPr>
            <w:tcW w:w="1097" w:type="dxa"/>
            <w:tcBorders/>
            <w:shd w:fill="CCEEFF" w:val="clear"/>
            <w:vAlign w:val="center"/>
          </w:tcPr>
          <w:p>
            <w:pPr>
              <w:pStyle w:val="TableContents"/>
              <w:bidi w:val="0"/>
              <w:spacing w:lineRule="auto" w:line="307" w:before="0" w:after="1"/>
              <w:ind w:left="0" w:right="0" w:hanging="0"/>
              <w:jc w:val="right"/>
              <w:rPr/>
            </w:pPr>
            <w:r>
              <w:rPr/>
              <w:t>—</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Cash contribution to consolidated entities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(302,267)</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(22,347)</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(89,408)</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414,022</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(3)  </w:t>
            </w:r>
            <w:r>
              <w:rPr>
                <w:rFonts w:ascii="Times New Roman;Times;serif" w:hAnsi="Times New Roman;Times;serif"/>
                <w:sz w:val="16"/>
              </w:rPr>
              <w:t>​</w:t>
            </w:r>
          </w:p>
        </w:tc>
        <w:tc>
          <w:tcPr>
            <w:tcW w:w="1097" w:type="dxa"/>
            <w:tcBorders/>
            <w:vAlign w:val="center"/>
          </w:tcPr>
          <w:p>
            <w:pPr>
              <w:pStyle w:val="TableContents"/>
              <w:bidi w:val="0"/>
              <w:spacing w:lineRule="auto" w:line="307" w:before="0" w:after="1"/>
              <w:ind w:left="0" w:right="0" w:hanging="0"/>
              <w:jc w:val="right"/>
              <w:rPr/>
            </w:pPr>
            <w:r>
              <w:rPr/>
              <w:t>—</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(347,697)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(219,319)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(38,400)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(326,481)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733,912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(197,985)</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pPr>
            <w:r>
              <w:rPr/>
              <w:t>  ​</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settlement of receivable from shareholders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7,514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18,625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26,139</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convertible notes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25,297</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25,297</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exchangeable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27,883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27,883</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Repayment of mandatorily redeemable noncontrolling interest</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(11,554)</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(11,554)</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Payment for redemption of convertible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(5,648)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(5,648)</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Receipts of refundable deposits in connection with the Private Investment in Public Equity (“PIPE”) investments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10,000</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Capital contributions by noncontrolling interests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4,460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4,460</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bank loans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182,497</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298,679</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481,176</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Repayments for bank loans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(102,736)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(170,161)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(272,897)</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Payments to a noncontrolling interest in the liquidation of a subsidiary</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Proceeds from loans borrowed from intercompanies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180,466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548,291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(728,757)</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(1)  </w:t>
            </w:r>
            <w:r>
              <w:rPr>
                <w:rFonts w:ascii="Times New Roman;Times;serif" w:hAnsi="Times New Roman;Times;serif"/>
                <w:sz w:val="16"/>
              </w:rPr>
              <w:t>​</w:t>
            </w:r>
          </w:p>
        </w:tc>
        <w:tc>
          <w:tcPr>
            <w:tcW w:w="1097" w:type="dxa"/>
            <w:tcBorders/>
            <w:shd w:fill="CCEEFF" w:val="clear"/>
            <w:vAlign w:val="center"/>
          </w:tcPr>
          <w:p>
            <w:pPr>
              <w:pStyle w:val="TableContents"/>
              <w:bidi w:val="0"/>
              <w:spacing w:lineRule="auto" w:line="307" w:before="0" w:after="1"/>
              <w:ind w:left="0" w:right="0" w:hanging="0"/>
              <w:jc w:val="right"/>
              <w:rPr/>
            </w:pPr>
            <w:r>
              <w:rPr/>
              <w:t>—</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Repayments for loans borrowed from intercompanies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(71,849)</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(337,018)</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408,867</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(4)  </w:t>
            </w:r>
            <w:r>
              <w:rPr>
                <w:rFonts w:ascii="Times New Roman;Times;serif" w:hAnsi="Times New Roman;Times;serif"/>
                <w:sz w:val="16"/>
              </w:rPr>
              <w:t>​</w:t>
            </w:r>
          </w:p>
        </w:tc>
        <w:tc>
          <w:tcPr>
            <w:tcW w:w="1097" w:type="dxa"/>
            <w:tcBorders/>
            <w:vAlign w:val="center"/>
          </w:tcPr>
          <w:p>
            <w:pPr>
              <w:pStyle w:val="TableContents"/>
              <w:bidi w:val="0"/>
              <w:spacing w:lineRule="auto" w:line="307" w:before="0" w:after="1"/>
              <w:ind w:left="0" w:right="0" w:hanging="0"/>
              <w:jc w:val="right"/>
              <w:rPr/>
            </w:pPr>
            <w:r>
              <w:rPr/>
              <w:t>—</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Cash contributed by the respective parent companies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89,408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324,614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(414,022)</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(3)  </w:t>
            </w:r>
            <w:r>
              <w:rPr>
                <w:rFonts w:ascii="Times New Roman;Times;serif" w:hAnsi="Times New Roman;Times;serif"/>
                <w:sz w:val="16"/>
              </w:rPr>
              <w:t>​</w:t>
            </w:r>
          </w:p>
        </w:tc>
        <w:tc>
          <w:tcPr>
            <w:tcW w:w="1097" w:type="dxa"/>
            <w:tcBorders/>
            <w:shd w:fill="CCEEFF" w:val="clear"/>
            <w:vAlign w:val="center"/>
          </w:tcPr>
          <w:p>
            <w:pPr>
              <w:pStyle w:val="TableContents"/>
              <w:bidi w:val="0"/>
              <w:spacing w:lineRule="auto" w:line="307" w:before="0" w:after="1"/>
              <w:ind w:left="0" w:right="0" w:hanging="0"/>
              <w:jc w:val="right"/>
              <w:rPr/>
            </w:pPr>
            <w:r>
              <w:rPr/>
              <w:t>—</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Cash transfer due to the Restructuring</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(32,715)</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(125,794)</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158,509</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(5)  </w:t>
            </w:r>
            <w:r>
              <w:rPr>
                <w:rFonts w:ascii="Times New Roman;Times;serif" w:hAnsi="Times New Roman;Times;serif"/>
                <w:sz w:val="16"/>
              </w:rPr>
              <w:t>​</w:t>
            </w:r>
          </w:p>
        </w:tc>
        <w:tc>
          <w:tcPr>
            <w:tcW w:w="1097" w:type="dxa"/>
            <w:tcBorders/>
            <w:vAlign w:val="center"/>
          </w:tcPr>
          <w:p>
            <w:pPr>
              <w:pStyle w:val="TableContents"/>
              <w:bidi w:val="0"/>
              <w:spacing w:lineRule="auto" w:line="307" w:before="0" w:after="1"/>
              <w:ind w:left="0" w:right="0" w:hanging="0"/>
              <w:jc w:val="right"/>
              <w:rPr/>
            </w:pPr>
            <w:r>
              <w:rPr/>
              <w:t>—</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(used in) financing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27,163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282,954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(107,317)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815,820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(733,912)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284,708</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(1,812)</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(6,610)</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(2,573)</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(1,194)</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(12,189)</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Net (decrease) increase in cash and restricted 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(319,219)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7,281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(156,571)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156,111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(312,398)</w:t>
            </w:r>
          </w:p>
        </w:tc>
      </w:tr>
      <w:tr>
        <w:trPr/>
        <w:tc>
          <w:tcPr>
            <w:tcW w:w="2456" w:type="dxa"/>
            <w:tcBorders/>
            <w:vAlign w:val="center"/>
          </w:tcPr>
          <w:p>
            <w:pPr>
              <w:pStyle w:val="TableContents"/>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Cash and restricted cash at the beginning of the year</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353,107</w:t>
            </w:r>
          </w:p>
        </w:tc>
        <w:tc>
          <w:tcPr>
            <w:tcW w:w="346" w:type="dxa"/>
            <w:tcBorders/>
            <w:vAlign w:val="center"/>
          </w:tcPr>
          <w:p>
            <w:pPr>
              <w:pStyle w:val="TableContents"/>
              <w:bidi w:val="0"/>
              <w:spacing w:lineRule="auto" w:line="307" w:before="0" w:after="1"/>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150,904</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156,571</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78,951</w:t>
            </w:r>
          </w:p>
        </w:tc>
        <w:tc>
          <w:tcPr>
            <w:tcW w:w="346" w:type="dxa"/>
            <w:tcBorders/>
            <w:vAlign w:val="center"/>
          </w:tcPr>
          <w:p>
            <w:pPr>
              <w:pStyle w:val="TableContents"/>
              <w:bidi w:val="0"/>
              <w:spacing w:lineRule="auto" w:line="307"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739,533</w:t>
            </w:r>
          </w:p>
        </w:tc>
      </w:tr>
      <w:tr>
        <w:trPr/>
        <w:tc>
          <w:tcPr>
            <w:tcW w:w="24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Cash and restricted cash at the end of the year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33,888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2"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158,185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235,062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16"/>
              </w:rPr>
            </w:pPr>
            <w:r>
              <w:rPr>
                <w:rFonts w:ascii="Times New Roman;Times;serif" w:hAnsi="Times New Roman;Times;serif"/>
                <w:b/>
                <w:sz w:val="16"/>
              </w:rPr>
              <w:t>427,135</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For the year ended December 31, 2023, Lotus Technology Inc. provided loans in the amount of US$231.6 million to its subsidiaries, the WFOE provided loans in the amount of US$316.7 million to its subsidiaries and the other subsidiaries provided loans in the amount of US$180.5 million to WFOE. These transactions were eliminated upon consolidation.</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16"/>
              </w:rPr>
              <w:t>For the year ended December 31, 2023, Lotus Technology Inc. made capital contribution of US$302.3 million to its consolidated entities, the WFOE</w:t>
            </w:r>
            <w:r>
              <w:rPr>
                <w:caps w:val="false"/>
                <w:smallCaps w:val="false"/>
                <w:color w:val="231F20"/>
              </w:rPr>
              <w:t xml:space="preserve"> </w:t>
            </w:r>
            <w:r>
              <w:rPr>
                <w:rFonts w:ascii="Times New Roman;Times;serif" w:hAnsi="Times New Roman;Times;serif"/>
                <w:b w:val="false"/>
                <w:i w:val="false"/>
                <w:caps w:val="false"/>
                <w:smallCaps w:val="false"/>
                <w:color w:val="231F20"/>
                <w:sz w:val="16"/>
              </w:rPr>
              <w:t>made capital contribution of US$22.3 million to its consolidated entities, and the other subsidiaries made capital contribution of US$89.4 million to its consolidated entities. The cash transfer were eliminated upon consolidation</w:t>
            </w:r>
            <w:r>
              <w:rPr>
                <w:rFonts w:ascii="Times New Roman;Times;serif" w:hAnsi="Times New Roman;Times;serif"/>
                <w:b w:val="false"/>
                <w:i w:val="false"/>
                <w:caps w:val="false"/>
                <w:smallCaps w:val="false"/>
                <w:sz w:val="16"/>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16"/>
              </w:rPr>
              <w:t>For the year ended December 31, 2023, the other subsidiaries repaid loans borrowed from Lotus Technology Inc. and the WFOE in the amounts of US$186.1 million and US$150.9 million, respectively, and the WFOE repaid loans borrowed from the other subsidiaries in the amounts of US$71.8 million. These transactions were eliminated upon consolidation</w:t>
            </w:r>
            <w:r>
              <w:rPr>
                <w:rFonts w:ascii="Times New Roman;Times;serif" w:hAnsi="Times New Roman;Times;serif"/>
                <w:b w:val="false"/>
                <w:i w:val="false"/>
                <w:caps w:val="false"/>
                <w:smallCaps w:val="false"/>
                <w:sz w:val="16"/>
              </w:rPr>
              <w:t>.</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year ended December 31, 2023, we have implemented the Restructuring. In connection with the Restructuring, the WFOE paid US$32.7 million to acquire 100% equity interest in subsidiaries of the former VIE, and the former VIE transferred all of its cash of US$158.5 million to a subsidiary of the WFOE.</w:t>
            </w:r>
          </w:p>
        </w:tc>
      </w:tr>
    </w:tbl>
    <w:tbl>
      <w:tblPr>
        <w:tblW w:w="1352" w:type="dxa"/>
        <w:jc w:val="left"/>
        <w:tblInd w:w="0" w:type="dxa"/>
        <w:tblLayout w:type="fixed"/>
        <w:tblCellMar>
          <w:top w:w="0" w:type="dxa"/>
          <w:left w:w="0" w:type="dxa"/>
          <w:bottom w:w="0" w:type="dxa"/>
          <w:right w:w="0" w:type="dxa"/>
        </w:tblCellMar>
      </w:tblPr>
      <w:tblGrid>
        <w:gridCol w:w="301"/>
        <w:gridCol w:w="1051"/>
      </w:tblGrid>
      <w:tr>
        <w:trPr/>
        <w:tc>
          <w:tcPr>
            <w:tcW w:w="30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A.</w:t>
            </w:r>
          </w:p>
        </w:tc>
        <w:tc>
          <w:tcPr>
            <w:tcW w:w="105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[Reserved]</w:t>
            </w:r>
          </w:p>
        </w:tc>
      </w:tr>
    </w:tbl>
    <w:tbl>
      <w:tblPr>
        <w:tblW w:w="3152" w:type="dxa"/>
        <w:jc w:val="left"/>
        <w:tblInd w:w="0" w:type="dxa"/>
        <w:tblLayout w:type="fixed"/>
        <w:tblCellMar>
          <w:top w:w="0" w:type="dxa"/>
          <w:left w:w="0" w:type="dxa"/>
          <w:bottom w:w="0" w:type="dxa"/>
          <w:right w:w="0" w:type="dxa"/>
        </w:tblCellMar>
      </w:tblPr>
      <w:tblGrid>
        <w:gridCol w:w="301"/>
        <w:gridCol w:w="2851"/>
      </w:tblGrid>
      <w:tr>
        <w:trPr/>
        <w:tc>
          <w:tcPr>
            <w:tcW w:w="30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B.</w:t>
            </w:r>
          </w:p>
        </w:tc>
        <w:tc>
          <w:tcPr>
            <w:tcW w:w="285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Capitalization and Indebtedness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3962" w:type="dxa"/>
        <w:jc w:val="left"/>
        <w:tblInd w:w="0" w:type="dxa"/>
        <w:tblLayout w:type="fixed"/>
        <w:tblCellMar>
          <w:top w:w="0" w:type="dxa"/>
          <w:left w:w="0" w:type="dxa"/>
          <w:bottom w:w="0" w:type="dxa"/>
          <w:right w:w="0" w:type="dxa"/>
        </w:tblCellMar>
      </w:tblPr>
      <w:tblGrid>
        <w:gridCol w:w="301"/>
        <w:gridCol w:w="3661"/>
      </w:tblGrid>
      <w:tr>
        <w:trPr/>
        <w:tc>
          <w:tcPr>
            <w:tcW w:w="30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C.</w:t>
            </w:r>
          </w:p>
        </w:tc>
        <w:tc>
          <w:tcPr>
            <w:tcW w:w="366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Reasons for the Offer and Use of Proceeds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tbl>
      <w:tblPr>
        <w:tblW w:w="1517" w:type="dxa"/>
        <w:jc w:val="left"/>
        <w:tblInd w:w="0" w:type="dxa"/>
        <w:tblLayout w:type="fixed"/>
        <w:tblCellMar>
          <w:top w:w="0" w:type="dxa"/>
          <w:left w:w="0" w:type="dxa"/>
          <w:bottom w:w="0" w:type="dxa"/>
          <w:right w:w="0" w:type="dxa"/>
        </w:tblCellMar>
      </w:tblPr>
      <w:tblGrid>
        <w:gridCol w:w="301"/>
        <w:gridCol w:w="1216"/>
      </w:tblGrid>
      <w:tr>
        <w:trPr/>
        <w:tc>
          <w:tcPr>
            <w:tcW w:w="30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D.</w:t>
            </w:r>
          </w:p>
        </w:tc>
        <w:tc>
          <w:tcPr>
            <w:tcW w:w="1216"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Relating to Our Business and Industry</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automotive market is highly competitive, and we may not be successful in competing in this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a variety of arrangements with Geely Holding, such as agreements related to research and development, procurement, manufacturing, engineering, and IT and human resource related supporting service, could subject us to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succeed in continuing to maintain and strengthen our brand, and our brand and reputation could be harmed by negative publicity with respect to us, our directors, officers, employees, shareholders, peers, business partners, or our industry in general.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our ability to develop, manufacture, and deliver automobiles of high quality and appeal to customers, on schedule, and on a large scale is unproven and still evolving.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profitable and had negative net cash flows from operations. If we do not effectively manage our cash and other liquid financial assets, execute our plan to increase profitability and obtain additional financing, we may not be able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a limited number of orders for our vehicles, some of which may be cancelled by customers despite their deposit payment and online confirmation.</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depend on revenues generated from a limited number of vehicle models.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tensions in international trade and investment, especially between the United States and China, may adversely impact our business, financial condition, and results of operations.</w:t>
            </w:r>
          </w:p>
        </w:tc>
      </w:tr>
    </w:tbl>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Relating to Doing Business in China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the PRC government’s complex regulatory requirements on and significant oversight over our business operation could result in a material adverse change in our operations and the value of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adversely affected by the complexity, uncertainties and changes in regulations of mainland China on automotive as well as internet-related businesses and companies.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and/or filing with CSRC or other PRC government authorities may be required in connection with our offshore offerings under PRC law, and, if required, we cannot predict whether or for how long we will be able to obtain such approval or complete such filing.</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prohibited from trading in the U.S. under the HFCAA if the PCAOB is unable to inspect or investigate completely auditors located in China. The delisting of our securities, or the threat of their being delisted, may materially and adversely affect the value of your investment.</w:t>
            </w:r>
          </w:p>
        </w:tc>
      </w:tr>
    </w:tbl>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Risks Relating to Intellectual Property and Legal Proceedings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defend ourselves against intellectual property right infringement, misappropriation, or other claims, which may be time-consuming and would cause us to incur substantial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others from unauthorized use of our intellectual property, which could harm our business and competitive 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materially and adversely affect our business, financial condition, and results of operations.</w:t>
            </w:r>
          </w:p>
        </w:tc>
      </w:tr>
    </w:tbl>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Risks Relating to Our Securities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publish inaccurate or unfavorable research or cease publishing research about us, the price for our ADSs and the trading volume could decline significantly.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Resales of our securities by our securityholders may cause the market price of our securities to drop significantly, even if our business is doing well.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trading prices of our ADSs and Warrants may be volatile</w:t>
            </w:r>
            <w:r>
              <w:rPr>
                <w:caps w:val="false"/>
                <w:smallCaps w:val="false"/>
              </w:rPr>
              <w:t xml:space="preserve"> </w:t>
            </w:r>
            <w:r>
              <w:rPr>
                <w:rFonts w:ascii="Times New Roman;Times;serif" w:hAnsi="Times New Roman;Times;serif"/>
                <w:b w:val="false"/>
                <w:i w:val="false"/>
                <w:caps w:val="false"/>
                <w:smallCaps w:val="false"/>
                <w:sz w:val="20"/>
              </w:rPr>
              <w:t>and a market for our ADSs may not develop, which would adversely affect the liquidity and price of our ADSs.</w:t>
            </w:r>
          </w:p>
        </w:tc>
      </w:tr>
    </w:tbl>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Risks Relating to Our Business and Industry</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The automotive market is highly competitive, and we may not be successful in competing in this industry.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global automotive market is highly competitive and has historically been associated with significant barriers to entry, including large capital requirements for and investment costs of developing,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We have strategically entered into the sustainable luxury EV market, and we face a variety of added challenges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and the need to establish or provide access to sufficient charging locations and unproven high-volume customer demand for fully electric vehicles. We expect the sustainable luxury EV market segment to become even more competitive in the future as additional players enter into this segment. We compete with competitors all around the world. Our vehicles also compete with ICE vehicles as well as new energy vehicles.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expect competition in our industry to intensify in the future in light of increased demand and regulatory push for alternative fuel vehicles, continuing globalization and consolidation in the worldwide automotive industry. Factors affecting competition include, among others, local protectionism, brand recognition product quality and performance, technological innovation, product design and styling, pricing, safety, and customer service. Increased competition may lead to lower vehicle unit sales and increased inventory, which may adversely affect our business, financial condition, operating results, and prospects. Our ability to successfully overcome the industry barriers of and compete in our market will be fundamental to our future success in existing and new markets and our market share. There can be no assurance that we will be able to successfully overcome the industry barriers of and compete in our markets. If our competitors introduce new cars or services that successfully compete with or surpass the quality or performance of our cars or services at more competitive prices, we may be unable to satisfy existing customers or attract new customers at such prices and levels and our business, financial condition, results of operations, and prospects will be affected.</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reliance on a variety of arrangements with Geely Holding, such as agreements related to research and development, procurement, manufacturing, engineering, and IT and human resource related supporting service, could subject us to risks.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 variety of agreements, such as agreements related to research and development, procurement, manufacturing, engineering, and IT and human resource related supporting service with our strategic partner, Geely Holding. Our reliance on these agreements subjects us to a number of significant risks, including the risk of being unable to operate as a standalone business, launch new vehicles, reach our development and production targets or focus our efforts on core areas of differentiation.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Of particular importance for our operations are the related party agreements with Geely Holding and its affiliate entities. These related party agreements include the Technology License Agreement, the Manufacture Cooperation Agreement, and the Supply of Framework Agreement, amongst other areas. These agreements are described in more detail in this annual report under “Certain Relationships and Related Person Transactions—Related Party Transactions.” These partnerships permit us to benefit from Geely Holding’s decades of experience investing in established auto-manufacturers while focusing our efforts on core areas of differentiation, such as design, research and development, performance, and rapid adoption of the latest technologies and sustainability solutions. We intend to continue to rely on our partnership with Geely Holding as part of our strategy.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Collaboration with Geely Holding for research and development, procurement, manufacturing, and engineering is subject to risks with respect to operations that are outside of our control. We currently rely and expect to continue to rely on Geely Holding, in terms of research and development, procurement, manufacturing, and engineering with regard to our vehicles. We cannot provide any assurance as to whether Geely Holding will be able to develop efficient, automated, low-cost production capabilities and processes, and reliable sources of component supply that will enable us to meet the quality, price, engineering, design, and production standards, as well as the production volumes, required to successfully commercialize our vehicles. Even if Geely Holding is successful in developing high volume production capabilities and processes and reliably source its component supplies, no assurance can be given as to whether it will be able to do so in a manner that avoids significant delays and cost overruns, including as a result of factors beyond its and our control, such as problems with suppliers and vendors, or force majeure events, or in time to meet our commercialization schedules or to satisfy the requirements of existing and potential customers. Any failure to develop such production processes and capabilities within our projected costs and timelines could have a material and adverse effect on our business, results of operations, financial condition and prospects. There is risk of potential disputes with Geely Holding, and we could be affected by adverse publicity related to Geely Holding whether or not such publicity is related to their collaboration with us. Our ability to successfully build a luxury lifestyle vehicle brand could also be adversely affected by perceptions about the quality of Geely Holding’s vehicles. In addition, although we are involved in each step of the supply chain and manufacturing process, given that we also rely on Geely Holding to meet our quality standards, there can be no assurance that we will successfully maintain quality standards.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maintain collaboration and partnership with Geely Holding, we may be unable to enter into new agreements with new third-party manufacturing partners on terms and conditions acceptable to us or at all, our ability to operate as a standalone business, produce vehicles, reach our development and production targets or focus our efforts on core areas of differentiation could be materially and adversely affected. Besides, we generated a portion of revenue from automotive design and development services provided to Geely Holding. If we are unable to maintain collaboration with Geely Holding, our financial performance would be directly and adversely affected. There can be no assurance that in such event we would be able to partner with other third parties to meet our needs on acceptable terms or at all. The expense and time required to complete any transition, and to assure that vehicles manufactured at facilities of new third party partners comply with our quality standards and regulatory requirements, may be greater than anticipated. Any of the foregoing could adversely affect our business, results of operations, financial condition, and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Furthermore, our supply chain efficiency also relies heavily on Geely Holding, largely attributable to its bargaining power derived from its volume and reputation. Failure to maintain agreements or partnership with Geely Holding could adversely affect our relationships with suppliers and there is no assurance that in such event we would be able to maintain relationships with current suppliers or to secure new suppliers to meet our needs on comparable and acceptable terms. If neither we nor Geely Holding enters into longer-term supplier agreements with guaranteed pricing for our parts or components, we may be exposed to fluctuations in prices of components, materials and equipment. For more details, see “—Risks Relating to Our Business and Industry—We are dependent on our suppliers, many of whom are our single source suppliers for the components they supply” and “—Risks Relating to Our Business and Industry—We could experience cost increases or disruptions in supply of raw materials or other components used in our vehicles.”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succeed in continuing to maintain and strengthen our brand, and our brand and reputation could be harmed by negative publicity with respect to us, our directors, officers, employees, shareholders, peers, business partners, or our industry in general.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business and prospects will heavily depend on our ability to maintain and strengthen the “Lotus” brand associated with design, sustainability, and technological excellence. We obtained licenses from Group Lotus Limited to use the trademarks in the “Lotus” brand on lifestyle vehicles, parts and components. There is no assurance that our vehicles will maintain and strengthen a reputation comparable to that of Lotus’ sports vehicle segment. If we fail to do so we may lose the opportunity 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brand will depend heavily on the success of our branding efforts. We market our brand through media, word-of-mouth, events, and advertising. Such efforts may not achieve the desired results. If we do not maintain and strengthen a strong brand, our business, financial condition, results of operations, and prospects will be materially and adversely affected.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trademark licenses granted to us to use the “Lotus” brand are on a royalty-free and worldwide basis and are for use of the trademarks (i) exclusively (subject to any existing licenses already granted) for lifestyle vehicles and parts and components in relation thereto that we design, develop, manufacture, assemble, distribute and sell; (ii) non-exclusively for our business of providing related after-sale services for the lifestyle vehicles; (iii) non-exclusively on related products (excluding anything relating to sports cars); and (iv) any other occasions in relation to the business as duly approved by its board (excluding anything relating to sports cars). Due to certain of the licenses being non-exclusive, third parties may also be able to use the trademarks in the “Lotus” brand for similar purposes. The trademark licenses will terminate upon (1) a material breach of any terms of the license agreement of any party and non-remedy of such breach within 30 days after being notified in writing of the breach; (2) a takeover, liquidation, or arrangement with a party’s creditors or a party ceasing or threatening to cease to carry on its business; (3) a loss of power of the licensor’s majority shareholders as a whole to directly or indirectly instruct and control the management of the licensor; or (4) our material breach of any terms of the shareholders’ agreement and non-remedy of such breach within 30 days after being notified in writing of the breach.</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Since we are not the owners of the trademarks in the “Lotus” brand, we depend on the ability of Group Lotus Limited to obtain, maintain and enforce such trademarks in the “Lotus” brand. While we are able to request that Group Lotus Limited file additional, similar trademark applications to those that are currently licensed, Group Lotus Limited may determine not to pursue such applications. Furthermore, Group Lotus Limited may determine not to adequately protect or pursue litigation against other companies or may pursue such litigation less aggressively than we would. Additionally, Group Lotus Limited may allege that we have breached our license agreement with them, and accordingly seek to terminate the license, which could adversely affect our competitive business position and harm our business prospects.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Licensing of trademarks involves complex legal and business issues. Disputes may arise regarding trademarks subject to such licensing agreement, including (i) the scope of rights granted under such license agreement and other interpretation-related issues; and (ii) our diligence obligations under the license agreement and what activities satisfy those diligence obligations. If disputes over trademarks that we have or may in the future license prevent or impair our ability to maintain our current or future licensing arrangements on acceptable terms, we may be unable to successfully commercialize the affected products. We are generally also subject to all of the same risks with respect to protection of trademarks that we may license as we are for trademarks that we own. If we or any of our current or future licensors fail to adequately protect these trademarks, our ability to commercialize our products could suffer.</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reputation and brand are vulnerable to many threats that can be difficult or impossible to predict, control, and costly or impossible to remediate. For example, from time to time, our vehicles are reviewed by media or other third parties. Any negative reviews or reviews that compare us unfavorably to competitors could adversely affect consumer perception about our vehicles. Negative publicity about us, such as alleged misconduct, unethical business practices, or other improper activities, or rumors relating to our business, directors, officers, employees, or shareholders, can harm our reputation, business, and results of operations, even if they are baseless or satisfactorily addressed. Such allegations, even if unproven or meritless, may lead to inquiries, investigations, or other legal or administrative actions against us by regulatory or government authorities as well as private parties. Any regulatory inquiries or investigations and lawsuits against us, perceptions of inappropriate business conduct by us or perceived wrongdoing by any member of our management team, among other things, could substantially damage our reputation, and cause us to incur significant costs to defend ourselves. Any negative market perception or publicity regarding our suppliers or other business partners that we closely cooperate with, or any regulatory inquiries or investigations and lawsuits initiated against them, may also have an impact on our brand and reputation, or subject us to regulatory inquiries or investigations or lawsuits. Moreover, any negative media publicity about the auto industry, especially the EV industry, or product or service quality problems of other automakers in the industry in which we operate, including our competitors, may also negatively impact our reputation and brand. In particular, given the popularity of social media, any negative publicity, whether true or not, such as road accidents, vehicle self-ignition, or other perceived or actual safety issues, could quickly proliferate and harm customer perceptions of, and confidence in, our brand. Perceived or actual concerns about battery deterioration that are often associated with EVs could also negatively impact customer confidence in EVs in general and our vehicles in particular. If we are unable to maintain and strengthen our reputation or further strengthen our brand recognition, our ability to attract and retain customers, third-party partners, and key employees could be harmed and, as a result, our business, financial position, and results of operations could be materially and adversely affected.</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have a limited operating history and our ability to develop, manufacture, and deliver automobiles of high quality and appeal to customers, on schedule, and on a large scale is unproven and still evolving.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EV business was founded in 2018. Our first vehicle model, Eletre, was launched in 2022. There is limited historical basis for making judgments on the demand for our vehicles or our ability to develop, manufacture, and deliver vehicles, or our profitability in the future. It is difficult to predict our future revenues and appropriately budget for our expenses, and we may have limited insight into trends that may emerge and affect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sustainability of our business depends, in large part, on our ability to timely execute our plan to develop, manufacture, and deliver on a large scale automobiles of high quality and appeal to customers. We have entered into an agreement with Geely Holding to manufacture our new models for the global market using the Wuhan manufacturing facility. We expect the Wuhan manufacturing facility will continue </w:t>
      </w:r>
      <w:r>
        <w:rPr>
          <w:rFonts w:ascii="Times New Roman;Times;serif" w:hAnsi="Times New Roman;Times;serif"/>
          <w:color w:val="231F20"/>
          <w:sz w:val="20"/>
        </w:rPr>
        <w:t xml:space="preserve">production </w:t>
      </w:r>
      <w:r>
        <w:rPr>
          <w:rFonts w:ascii="Times New Roman;Times;serif" w:hAnsi="Times New Roman;Times;serif"/>
          <w:sz w:val="20"/>
        </w:rPr>
        <w:t>and, with additional investment in necessary tooling and fixture upgrades, our planned Sedan and SUV. To date, we have limited automobile manufacturing experience, and therefore cannot assure you that we will be able to achieve our targeted production volume of commercially viable vehicles on a timely basis, or at all.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continued development, manufacturing, and delivery of high quality automobiles to achieve our targeted production volume are and will be subject to risks, including with respect to:</w:t>
      </w:r>
    </w:p>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our EV technology development;</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necessary funding;</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disruptions in our supply chain;</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control deficiencies;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adapt to changing market conditions and manage growth effectively;</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incompliance with environmental, workplace safety, and regulations; and</w:t>
            </w:r>
          </w:p>
        </w:tc>
      </w:tr>
    </w:tbl>
    <w:tbl>
      <w:tblPr>
        <w:tblW w:w="1656" w:type="dxa"/>
        <w:jc w:val="left"/>
        <w:tblInd w:w="0" w:type="dxa"/>
        <w:tblLayout w:type="fixed"/>
        <w:tblCellMar>
          <w:top w:w="28" w:type="dxa"/>
          <w:left w:w="28" w:type="dxa"/>
          <w:bottom w:w="28" w:type="dxa"/>
          <w:right w:w="28" w:type="dxa"/>
        </w:tblCellMar>
      </w:tblPr>
      <w:tblGrid>
        <w:gridCol w:w="124"/>
        <w:gridCol w:w="256"/>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overruns.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Historically, automakers are expected to periodically introduce new and improved models to stay abreast of the market. To remain competitive, we may be required to introduce new vehicle models and perform facelifts on existing vehicle models earlier or more frequently than originally planned, which would require us to invest to a larger extent in research and development. We cannot assure you that facelifts on </w:t>
      </w:r>
      <w:r>
        <w:rPr>
          <w:rFonts w:ascii="Times New Roman;Times;serif" w:hAnsi="Times New Roman;Times;serif"/>
          <w:color w:val="231F20"/>
          <w:sz w:val="20"/>
        </w:rPr>
        <w:t>our current and future models</w:t>
      </w:r>
      <w:r>
        <w:rPr>
          <w:rFonts w:ascii="Times New Roman;Times;serif" w:hAnsi="Times New Roman;Times;serif"/>
          <w:sz w:val="20"/>
        </w:rPr>
        <w:t xml:space="preserve"> will appeal to our customers as we expect, or that any introduction of new models or facelifts will not adversely affect the sales of existing models.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Furthermore, we rely on third-party suppliers for the provision and development of many of the key components and materials used in our vehicles. To the extent our suppliers experience any difficulties in providing us with or developing necessary components, we could experience delays in delivering vehicles. See also “—Risks Relating to our Business and Industry—We are dependent on suppliers, many of whom are our single source suppliers for the components they supply.” Any delay in the development, manufacturing, and delivery of our current or future models, or in performing facelifts to existing models, could subject us to customer complaints and materially and adversely affect our reputation, demand for our vehicles, and our growth prospects.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Any of the foregoing could materially and adversely affect our business, financial condition, and results of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not been profitable and had negative net cash flows from operations. If we do not effectively manage our cash and other liquid financial assets, execute our plan to increase profitability and obtain additional financing, we may not be able to continue as a going concern.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not been profitable since our inception. We incurred net loss of US$464.2 million, US$1,107.3 million and US$750.3 million in 2025, 2024 and 2023, respectively. In addition, we had negative net cash flows from operating activities of US$333.9 million, US$848.5 million and US$386.9 million in 2025, 2024 and 2023, respectively. As of December 31, 2025 and 2024, our accumulated deficit was US$3.2 billion and US$2.7 billion, respectively. We incurred capital expenditures of US$79.4 million, US$57.3 million and US$213.7 million in 2025, 2024 and 2023, respectively. Historically, we relied principally on proceeds from the issuance of equity securities, exchangeable notes, convertible notes, bank borrowings and related party borrowings to finance our operations and business expansion. We will require additional liquidity to continue our operations over the next 12 months. We are evaluating strategies to obtain the required additional funding for future operations. These strategies may include, but are not limited to obtaining additional loans from banks or related parties and renewal of existing loans when they are due and improving operational efficiency to grow revenues and control expenses. The feasibility of such plan is contingent upon many factors out of our control, and is highly uncertain and difficult to predict. We may also seek additional equity or debt financing in the future to satisfy capital requirements, respond to adverse developments or changes in our circumstances or unforeseen events or conditions, or fund organic or inorganic growth. We cannot assure you that financing will be available in amounts or on terms acceptable to us, if at all. In the event that additional financing is required from third party sources, we may not be able to raise it on acceptable terms or at all, and there could be potential significant negative impact on our ability to continue its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pressure on us to generate positive cash flow may be further exacerbated by our contractual obligations, including obligations under derivative arrangements, capital commitments, operating lease commitments, borrowings, and debts. We expect to continue to invest in the production ramp-up of our vehicle models, expansion of sales and servicing network, design and testing of new models, and research and development to further expand our business. These investments may not result in revenue increases or positive net cash flow on a timely basis, or at all. If we were not able to continue as a going concern, or if there were continued doubt about our ability to do so, additional financing may not be available to us on reasonable terms or at all. These factors give rise to substantial doubt over our ability to continue as a going concern. See “Item 5. Operating and Financial Review and Prospects—B. Liquidity and Capital Resources.”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not generate sufficient revenues and may incur substantial losses for a number of reasons, including lack of demand for our vehicles, increasing competition, and other risks discussed herein, and we may incur unforeseen expenses, or encounter difficulties, complications, or delays in deriving revenues or achieving profitability.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have received a limited number of orders for our vehicles, some of which may be cancelled by customers despite their deposit payment and online confirmation.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received a limited number of orders for our vehicles. Our customers may cancel their orders for many reasons outside of our control, and we have experienced cancellation of orders in the past. In addition, customers may terminate their orders even after such orders are deemed automatically confirmed on the expiry of two days after a customer has paid his or her deposit and has not cancelled the order during such period. The time lag between reservation to delivery could also impact customer decisions on whether to ultimately make a purchase, due to potential changes in preferences, competitive developments, and other factors. If we encounter delays in the deliveries of our current or future vehicle models, or if the finalized design and specifications do not match the prototypes we developed, a significant number of orders may be cancelled. As a result, we cannot assure you that orders will not be cancelled or that such orders will ultimately result in the final purchase, delivery, and sale of the vehicles. Such cancellations could harm our business, brand image, financial condition, results of operations, and prospects.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depend on revenues generated from a limited number of vehicle models.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business will initially depend substantially on the sales and distribution of Eletre, Emira, Evija and Emeya. Customers tend to expect OEMs to offer a wide range of product portfolio and continue to upgrade their existing products. To better meet our customers’ demand, we have introduced and plan to continue to introduce new models globally and plan to upgrade our existing models on an ongoing basis. To the extent our product variety and cycle does not meet consumer expectations, or we cannot achieve our projected timelines and cost and volume targets, our future sales may be adversely affected. Given that, for the foreseeable future, our business will depend on a limited number of vehicle models, to the extent a particular model is not well-received by the market, our sales volume could be materially and adversely affected, which, in turn, could materially and adversely affect our business, financial condition, and results of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Any delays in the manufacturing and launch of the commercial production vehicles in our pipeline could have a material adverse effect on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launched Eletre and Emeya in 2022 and 2023, respectively, and their deliveries commenced in 2023 and 2024, respectively. We also started deliveries of Evija in 2024. In March 2026, we unveiled For Me (also known as Eletre X in Europe) and commenced its delivery in China with global release to follow. In addition, we expect to launch new vehicle models in the near future as we ramp up our business. Automobile manufacturers often experience delays in the design, manufacture, and commercial release of new vehicle models. We plan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Furthermore, we rely on third-party suppliers for the provision and development of many of the key components and materials used in our vehicles. To the extent our suppliers experience any delays in providing us with or developing necessary components, we could experience delays in delivering on our timelines. Any delay in the manufacture and launch of our current or future models due to any factors, or in refreshing or performing facelifts to existing models, could subject us to customer complaints and materially and adversely affect our reputation, demand for our vehicles, results of operations, and growth prospects.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vehicles are subject to homologations and motor vehicle safety standards and the failure to acquire homologations or satisfy mandated safety standards in jurisdictions we operate would materially and adversely affect our business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All vehicles sold must comply with various standards governing the market in which the vehicles are sold. In particular, our vehicles must meet or exceed all mandated safety standards to be certified under applicable regulations in jurisdictions we plan to sell our vehicles. Rigorous testing and the use of approved materials and equipment are among the requirements for achieving these standards. We have incurred, and expect to continue to incur, significant costs in complying with these regulations.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the EU, vehicles must be type-approved under EU Regulation 2018/858, or the Whole Vehicle Type Approval, and must comply with vehicles safety standard under EU Regulation 2019/2144. In the U.K., vehicles must be type-approved under the GB Type Approval Scheme from February 1, 2024 or under the Provisional GB Type Approval Scheme up until February 1, 2024, and must conform with the EU Regulation 661/2009 which was adopted as retained EU law by virtue of the European Union (Withdrawal) Act 2018 and implemented by the Road Vehicles (Approval) Regulations 2020. In the U.S., vehicles must be to certified to meet all applicable Federal Motor Vehicle Safety Standards, federal bumper standards, and federal anti-theft standards issued and administered by the National Highway Traffic Safety Administration. In addition, each state in the U.S. may impose additional vehicle safety requirements with respect to vehicle equipment or components that are not regulated by a federal standard. For more discussion, see “Item 4. Information on the Company—B. Business Overview—Regulations— Global Government Regulations—Regulations on Type Approval” and “Item 4. Information on the Company—B. Business Overview—Regulations—Global Government Regulations—Regulations on Safety.” As of the date of this annual report, each of Eletre and Emeya has received type approval in the EU and the U.K., and Eletre has received certification in the 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China, each vehicle model must pass various tests and undergo a certification process and be affixed with the China Compulsory Certification, or CCC, before we receive delivery of vehicles from the factory, import or sell such vehicles, or use such vehicles for commercial activities, and such certification is also subject to periodic renewal. Although we have obtained the CCC for Eletre, Emira and Emeya, there is no guarantee that we will be able to renew such certification upon expiry in the future or to obtain CCC for our future vehicles. To the extent that it takes us longer to acquire or we eventually fail to acquire the CCC certification for any of our future vehicles or we are unable to renew the CCC certification for any vehicle, we could experience delays in delivering or fail to deliver at all, which would have a material and adverse effect on our reputation, business, financial condition, and results of operations. Furthermore, the PRC government and issuing agencies of such certification may carry out supervisory activities on certified vehicles, including routine and unscheduled, and impromptu inspections. In the event that a certified vehicle has a defect resulting in quality or safety accidents, or consistent failure of certified vehicles to comply with certification requirements is discovered during follow-up inspections, the certification could be revoked. With effect from the date of revocation or during suspension of the certification, any vehicle that fails to satisfy the requirements for certification may not continue to be delivered, sold, imported, or used in other commercial activities.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These laws and standards are subject to change from time to time, and we could become subject to additional safety regulations in jurisdictions we operate in the future, which would increase the effort and expense of compliance. To the extent that it takes us longer to acquire or we eventually fail to acquire or renew safety standard certification in jurisdictions we plan to sell any of our existing or future vehicles, we could experience delays in delivering or fail to deliver at all, which would have a material and adverse effect on our reputation, business, financial condition, and results of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future growth is dependent on the demand for, and upon consumers’ willingness to adopt luxury electric vehicles, which is associated with consumers’ demand for automobile and luxury vehicles, and adoption of new energy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Demand for automobile sales depends to a large extent on general, economic, political and social conditions in a given market and the introduction of new vehicles and technologies. As our business grows, economic conditions and trends will impact our business, prospects, and operating results. A weak or uncertain macroeconomic environment, high or increasing inflation (including in relation to energy prices) and interest rates, stagnant or declining wages and restrictive lending policies may reduce consumers’ net purchasing power and lead existing and potential customers to refrain from purchasing a new vehicle. Demand for our vehicles may also be affected by factors directly impacting automobile price or the cost of purchasing and operating automobiles, such as sales and financing incentives, prices of raw materials and parts and components, and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future growth also depend on consumers’ demand for luxury vehicles. The economic environment and macroeconomic conditions influence levels of disposable income and consumer spending, thereby impacting demand for luxury vehicles, and defer a purchase further or to purchase a more affordable model with fewer optional features at a lower price. Further, a weak or uncertain economic environment, especially when combined with low consumer confidence, may disproportionately reduce demand for luxury vehicles, due to the discretionary nature of such purchases. A decrease in potential customers’ disposable income or their financial flexibility, an increase in the overall cost of financing or consumer concerns about the social perception of purchasing luxury products will therefore generally have a negative impact on demand for our vehicles.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Demand for our luxury EVs will also highly depend upon the adoption by consumers of new energy vehicles in general and electric vehicles in particular. The market for new energy vehicles is still rapidly evolving, characterized by rapidly changing technologies, price and other competition, evolving government regulation and industry standards, and changing consumer demands and behaviors. Other factors that may influence the adoption of alternative fuel vehicles, and specifically electric vehicles,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about electric vehicle quality, safety, design, performance, and cost, especially if adverse events or accidents occur that are linked to the quality or safety of electric vehicles, whether or not such vehicles are produced by us or other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about vehicle safety in general, in particular safety issues that may be attributed to the use of advanced technology, including electric vehicle and regenerative braking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range over which electric vehicles may be driven on a single battery charge and the speed at which batteries can be recharged;</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decline of an electric vehicle’s range resulting from deterioration over time in the battery’s ability to hold a charge;</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about electric grid capacity and reliability;</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new energy vehicles;</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the fuel economy of traditional ICE;</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service for electric vehicles;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consciousness of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charging stations, standardization of electric vehicle charging systems, and consumers’ perceptions about convenience and cost to charge an electric vehicle;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tax and other governmental incentives to purchase and operate electric vehicles or future regulation requiring increased use of nonpolluting vehicles;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about and the actual cost of alternative fuel; and</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factors.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Any of the factors described above may cause current or potential customers not to purchase our luxury electric vehicles and use our services. If the market for luxury electric vehicles does not develop as we expect or develops more slowly than we expect, our business, prospects, financial condition, and operating results will be affected.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sales depend in part on our ability to establish and maintain confidence in our business prospects among consumers, analysts and others within our industry.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Consumers may be less likely to purchase our vehicles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business prospects. Maintaining such confidence may be particularly difficult as a result of many factors, including our limited operating history, others’ unfamiliarity with our vehicles,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business prospects, even if exaggerated or unfounded, would likely harm our business and make it more difficult to raise additional capital in the future. In addition, a significant number of new electric vehicle companies have recently entered the automotive industry.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business prospects.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industry and its technology are rapidly evolving and may be subject to unforeseen changes. Developments in alternative technologies or improvements in electric vehicle technology may materially and adversely affect the demand for our electric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operate in the electric vehicle market, which is rapidly evolving and may not develop as we anticipate. The regulatory framework governing the industry in various countries is currently uncertain and may remain uncertain for the foreseeable future. As our industry and our business develop, we may need to modify our business model or change our services and solutions. Such changes may not achieve expected results, which could have a material adverse effect on our results of operations and prospects.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equip our vehicles with the latest technology, in particular battery cell technology. Such upgrades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Developments in alternative technologies, such as advanced diesel, ethanol, fuel cells or compressed natural gas, or improvements in the fuel economy of the ICE, may materially and adversely affect our business and prospects in ways we do not currently anticipate. For example, compressed natural gas may emerge as consumers’ preferred alternative to petroleum-based propulsion. Any failure by us to successfully react to changes in existing technologies could materially harm our competitive position and growth prospects.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associated with intelligent driving technology and uncertain and evolving regulations pertaining to intelligent driving in jurisdictions we operate.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rely on third-party suppliers for certain technologies and components used in our ADAS, and any defects in or quality issues with those technologies and components could result in actual or perceived quality issues with our vehicles. We plan to enhance and expand the intelligent driving capabilities of our vehicles through ongoing research and development. However, we cannot guarantee that our vehicles will achieve its targeted assisted or intelligent driving functionality within the projected timeframe, if ever. In addition, intelligent driving as an evolving and complex technology is subject to risks, and from time to time there have been accidents associated with such technology. The safety of such technology depends in part on user interaction and users may not be accustomed to using such technology. To the extent accidents associated with our future intelligent driving technology occur, we could be subject to liability, government scrutiny, and further regulation. Any of the foregoing could materially and adversely affect our brand image, financial condition, results of operations, and growth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ADAS technology is subject to considerable international regulatory uncertainty as the laws in different jurisdictions we operate evolve to catch up with the rapidly evolving nature of the technology itself, all of which is beyond our control. There is a variety of international, federal and state regulations that may apply to intelligent driving and driver-assisted vehicles. For example, in the EU, certain vehicle safety regulations apply to intelligent driving braking and steering systems, and certain treaties also restrict the legality of certain higher levels of self-driving vehicles. In the U.K., The Automated and Electric Vehicles Act 2018 provides a framework for ADAS regulations in the U.K. In the U.S., there are currently no federal U.S. regulations imposing additional mandatory safety or performance requirements on intelligent driving vehicles. Certain states have legal restrictions on intelligent driving vehicles, and many other states are considering them. See “Item 4. Information on the Company—B. Business Overview—Regulations—Global Government Regulations—Regulations on Automated Driving/Advanced Driver Assistance System (AD/ADAS).” For discussion on regulations on ADAS technology in China, see “Item 4. Information on the Company—B. Business Overview—Regulations—PRC Government Regulations—Regulations on Intelligent Connected Vehicles and Autonomous Driving.”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Intelligent driving laws and regulations are expected to continue to evolve globally, which increases the likelihood of a patchwork of complex or conflicting regulations that may delay products or restrict intelligent driving features and availability, which could adversely affect our business. Our vehicles may not achieve the requisite level of autonomy that may be required in some countries or jurisdictions for certification and rollout to consumers or may not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on suppliers, many of whom are our single source suppliers for the components they supply.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upon our and our manufacturing partner’s ability to enter into new supplier agreements and maintain our relationships with suppliers who are critical and necessary to the output and production of our vehicles. We rely on suppliers to provide key components and technology for our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Many of our suppliers are currently single source suppliers for components of our vehicles, and we expect that this to be similar for any other future vehicle we may produce. While we try to obtain components from multiple sources whenever possible, similar to other automobile providers, many of the components used in our vehicles are purchased from a single source, which exposes us to multiple potential sources of delivery failure or component shortages. To date, we have no qualified alternative sources for most of the single sourced components used in our vehicles and we generally do not maintain long-term agreements with our single source suppliers. Agreements for the purchase of battery cells and other components contain or are likely to contain pricing provisions that are subject to adjustment based on changes in market prices of key commodities. Substantial increases in the prices for such components, materials and equipment, whether due to supply chain or logistics issues or due to inflation, would increase our operating costs and could reduce our margins if it cannot recoup the increased costs. Any attempts to increase the announced or expected prices of our vehicles in response to increased costs could be viewed negatively by our customers or potential customers and could adversely affect our business, prospects, financial condition, and results of operations. Furthermore, qualifying alternate suppliers or developing our own replacements for certain highly customized components of our existing and future vehicles may be time consuming and costly. A recent supply chain disruption related to certain EV components could expose us to delayed deliveries and component shortages in 2026. There can be no assurance that our business, financial condition, and results of operations will not be materially and adversely affected by future supply chain disruptions. Any disruption in the supply of components, whether or not from a single source supplier, could temporarily disrupt production of our vehicles until an alternative supplier is fully qualified by us or is otherwise able to supply us the required material. There can be no assurance that we would be able to successfully retain alternative suppliers or supplies on a timely basis, on acceptable terms or at all. Changes in business conditions, force majeure, governmental changes, and other factors beyond our control or which we do not presently anticipate, could also affect our suppliers’ ability to deliver components to us on a timely basis. Any of the foregoing could materially and adversely affect our results of operations, financial condition, and prospects.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supplier agreements for our current or future vehicles may have provisions where such agreements can be terminated in various circumstances, including potentially without cause. If the suppliers and strategic partners become unable to provide, or experience delays in, providing components or technology, or if the supplier agreements we have in place are terminated, it may be difficult to find replacement components and technology. Changes in business conditions, pandemics, governmental changes, and other factors beyond our control or that we do not presently anticipate could affect our ability to receive components or technology from our suppliers.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 we rely on Geely Holding’s bargaining power derived from its volume and reputation in negotiating supply agreements for the production of our vehicles and we may be at a disadvantage due to our limited operating history as a standalone business. There is the possibility that finalizing the supply agreements for the parts and components of our vehicles will cause significant disruption to our operations, or such supply agreements could be priced in manners that make it difficult for us to operate profitably.</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could experience cost increases or disruptions in supply of raw materials or other components used in our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Significant costs are incurred related to procuring raw materials required to manufacture and assemble our vehicles. Various raw materials are used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battery cells for our vehicles. Battery cell manufacturers may refuse to supply electric vehicle manufacturers to the extent they determine that the vehicles are not sufficiently safe. We are exposed to multiple risks relating to availability and pricing of quality lithium-ion battery cells. These risks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or unwillingness of current battery cell manufacturers to build or operate battery cell manufacturing plants to supply the numbers of lithium-ion cells required to support the growth of the electric vehicle industry as demand for such cells increases;</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in the supply of cells due to quality issues or recalls by the battery cell manufacturers; and</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cost of raw materials, such as lithium, nickel, and cobalt, used in lithium-ion cells.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do not control our suppliers or their business practices. Accordingly, we cannot guarantee that the quality of the components manufactured by them will be consistent and maintained to a high standard. Any defects of or quality issues with these components or any noncompliance incidents associated with these third-party suppliers could result in quality issues with our vehicles and hence compromise our brand image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or impact our prospects.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hold our suppliers to high ethical standards of code of conducts in areas such as human rights, labor conventions such as prohibition of forced labor and child labor, environmental protection and anti-corruption. However, violations of any of the foregoing by our major suppliers could have material impacts on our operations caused by supply chain disruptions and human rights-based trade restrictions.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The global shortage in the supply of semiconductor chips may disrupt our operations and adversely affect our business, results of operations, and financial condition.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Since October 2020, the supply of semiconductor chips used for automotive manufacturing has experienced a global shortage following the disruption to semiconductor manufacturers due to, among other factors, the COVID-19 pandemic, an increase in global demand for personal computers for work-from-home economies, and controls and restrictions on the import or export of semiconductor chips imposed or intended to be imposed by the U.S. and various foreign governments. We cannot assure you that we will be able to continue to obtain sufficient quantity of chips or other semiconductor components at a reasonable cost. In addition, similar to other components, many of the semiconductor components used in our vehicles are purchased from limited sources although we reserve the flexibility to obtain the components from multiple sources. If the suppliers of the semiconductor components become unable to meet our demand on acceptable terms, or at all, we may be required to switch to other suppliers, which could be time consuming and costly. If we fail to find alternative suppliers in time, or at all, our production and deliveries could be materially disrupted, which may materially and adversely affect our business, results of operations, and financial condition.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plan to expand our business and operations internationally to various jurisdictions in which we do not currently operate and where we have limited operating experience, all of which exposes us to business, regulatory, political, operational and financial risk.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worldwide. One of our key business strategies is to pursue international expansion of our business operations and market our products in multiple jurisdictions, and the global nature of our business could have a material adverse effect on our business, financial condition, and results of operations. As a result, our business is and we expect that our business will be subject to a variety of risks and challenges associated with doing business internationally and entering into new markets, including an increase in our expenses and diversion of the management’s attention from other aspects of our business. Accordingly, our business and financial results in the future could be adversely affected due to a variety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impositions of, legislative or regulatory requirements on automotive industry and supply chain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issues related to export or import restrictions, including deemed export restrictions, tariffs, quotas, and other trade barriers and restrictions, as well as overseas shipment schedules and custom clearance requirements and processes;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economic and political conditions, and other political tensions between countries in which we do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burdens of conforming our vehicles to various international regulatory requirements where our vehicles are sold, and unexpected changes in such regulatory requirements and enforcement, in connection with type approval, safety, data protection and privacy, automated driving, environmental protection, recall, distribution, government incentives, batteries regulations, and end-of-life regulations, among others. See “Item 4. Information on the Company—B. Business Overview—Regulations—Global Government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complexities and difficulties in obtaining intellectual property protection and reduced protection for intellectual property rights in some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global operations and the increased travel, infrastructure and le-gal compliance costs associated with multiple international locations and subsidiaries;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conforming to foreign labor laws, regulations and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business and cultural factors that differ from our normal standards and practices, including business practices that we are prohibited from engaging in by the Foreign Corrupt Practices Act and other anticorruption laws and regulations;</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localized supply chains and managing international supply chain and logistics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sufficient charging points for our customers in those jurisdictions, via partnerships or, if necessary, via development of our own charging networks;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attracting customers in new jurisdictions;</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levels of credit risk and payment fraud;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diplomatic and trade relationships, including political risk and customer perceptions based on such changes and risks;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of capital and trading markets and currency fluctuations;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tax consequences and compliance;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 due to imposition of climate change regulations, such as carbon taxes, fuel or energy taxes, and pollution limits; and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challenges caused by distance, language, and cultural differences, making it harder to do business in certain international jurisdictions.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If our sales are delayed or cancelled because of any of the above factors, our revenue may be adversely affected. In addition, we may be subject to increased regulatory risks and local competition in various jurisdictions where we plan to expand operations but has limited operating experience. Such increased regulatory burden and competition may limit the available market for our products and services and increase the costs associated with marketing the products and services where we are able to offer our products.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also face local protectionism in some of our target markets that could hinder our ability to execute our business strategies and put us at a competitive disadvantage relative to domestic automotive manufacturers. For example, in October 2023, the European Commission formally initiated an ex-officio anti-subsidy investigation on imports of BEVs for passengers originating in China. In October 2024, the European Commission imposed definitive countervailing duties on imports of BEVs from China pursuant to Commission Implementing Regulation (EU) 2024/2754, which entered into force on October 31, 2024 and applies for a period of five years. The definitive countervailing duties are levied on a company-specific basis, in addition to the EU’s standard 10% import duty on vehicles. The anti-subsidy tax on the electric vehicles of Geely group, including ourselves, remains at 18.8% as of the date of this annual report. The EU and China have engaged in ongoing negotiations since the imposition of the definitive duties regarding possible alternative solutions, including price undertaking arrangements that would allow individual Chinese manufacturers to commit to minimum export prices in lieu of paying the countervailing duties. It remains unclear whether any Chinese BEV manufacturers will successfully negotiate price undertakings with the European Commission and on what terms, and there can be no assurance that any undertaking available to us would be on commercially acceptable terms. In May 2024, President Joe Biden directed the Office of the U.S. Trade Representative to add or increase tariffs on a range of goods originating from China, including EVs., and U.S. and tariffs on imports of EVs from China has quadrupled to 100%. In 2025, the Trump administration has also imposed additional tariffs on Chinese imports. As of the date of this filing, Chinese BEVs exported to the U.S. are subject to over 100% of tariffs, resulting in a very high aggregate tariff burden that effectively precludes commercially viable direct sales of Chinese-manufactured EVs into the U.S. market. New and additional investigations have also been initiated into alleged structural excess capacity and unfair trade practices by China and certain other trading partners. In addition to tariff measures, U.S. domestic tax law significantly restricts the eligibility of Chinese-manufactured EVs and EV components for federal clean energy tax incentives, which adversely affects the competitive position of our vehicles relative to non-Chinese competitors in the U.S. market. The regulatory and legislative landscape in the U.S., EU and elsewhere continues to evolve rapidly, and we cannot predict whether further measures will be imposed, whether existing measures will be extended, modified or withdrawn, or what the ultimate impact of these measures on our business, financial condition and results of operations will be. If additional tariffs, duties or policy shifts inconducive to our operations are to be introduced in the EU, U.S. or elsewhere, we may suffer a significant increase in our costs and be required to increase the price of our products, which may decrease our sales, and our operations and planned future expansion in these regions may be materially and adversely affected.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manage the complexity of global operations successfully, or fail to comply with any of the regulations in other jurisdictions, our financial performance and operating results could suffer.</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unable to adequately control the costs associated with our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devoted significant capital to developing and growing our business, including developing our vehicle models, expanding our sales and servicing network and building our headquarters in Wuhan. In addition, we plan to introduce two new models the near future. We expect to further incur significant costs that will impact our profitability, including research and development expenses as we roll out new models and improve existing models, additional operating costs and expenses for production ramp-up, selling and distribution expenses as we continue to build our brand and market our vehicles, and additional costs associated with being a public company. Furthermore, currency fluctuations, tariffs or shortages in petroleum and other economic or political conditions may result in significant increases in freight charges and raw material costs. In addition, we may also face increased costs in connection with the services we provide, including after-sale services. Our ability to become profitable in the future will not only depend on our ability to successfully market our vehicles and other products and services but also to control our costs. If we are unable to design, develop, market, sell, and service our vehicles and provide services, or if the manufacturing of our vehicles could not be conducted in a cost-efficient manner, our margins, profitability, and prospects would be materially and adversely affected.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manage our growth effectively, we may not be able to market and sell our vehicles successfully.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expanded our operations, and as we ramp up our production, significant expansion will be required, especially in connection with potential increases in sales, providing our customers with high-quality servicing, expansion of our retail, delivery, and servicing center network, and managing different models of vehicles. Our future operating results depend to a large extent on our ability to manage this expansion and growth successfully. Risks that we face in undertaking this expansion include, among others:</w:t>
      </w:r>
    </w:p>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our supply chain to support fast business growth;</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our partnership with Geely Holding to manufacture our vehicles;</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 larger organization with a greater number of employees in different divisions;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expenses and investments in anticipation of expanded operations;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or expanding design, sales, and service facilities;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enhancing administrative infrastructure, systems, and processes; and</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new markets and potentially unforeseen challenges as they arise.</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Any failure to manage our growth effectively could materially and adversely affect our business, financial condition, results of operations, and prospects.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plans require a significant amount of capital. In addition, our future capital needs may require us to obtain additional equity or debt financing that may dilute our shareholders or introduce covenants that may restrict our operations or our ability to pay dividends.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will need significant capital to, among other things, conduct research and development, expand our production capacity, and roll out our sales network, and delivery and servicing centers. As we ramp up our production capacity and operations we may also require significant capital to maintain our property, plant, and equipment and such costs may be greater than what we currently anticipate. We expect that our level of capital expenditures will be significantly affected by consumer demand for our products and services. The fact that we have a limited operating history means we have limited historical data on the demand for our products and services. As a result, our future capital requirements may be uncertain and actual capital requirements may be significantly different from what we currently anticipate. We may need to seek equity or debt financing to finance a portion of our capital expenditures. Such financing might not be available to us in a timely manner or on terms that are acceptable, or at all. If we cannot obtain sufficient capital on acceptable terms, our business, financial condition, and prospects may be materially and adversely affected.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may need to significantly reduce our spending, delay or cancel our planned investment or expansion activities, or substantially change our corporate structure. We might not be able to obtain any funding or service any of the debts we incurred, and we might not have sufficient resources to conduct our business as projected, both of which could mean that we would be forced to curtail or discontinue our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We have entered into a put option agreement with each of Geely HK and Etika, pursuant to which each of Geely and Etika had an option to require us to purchase at a pre-agreed price, the equity interests held by Geely HK and Etika in Lotus Advance Technologies Sdn Bhd. The put options are exercisable during the period from April 1, 2025 to June 30, 2025 upon satisfaction of the condition, or the LAT Put Option Exercise Condition, that the total number of vehicles sold by Lotus Advance Technologies Sdn Bhd and its subsidiaries exceeds 5,000 in 2024 (with the exercise of such options by Geely HK and Etika not cross-conditioned on one another). As of December 31, 2024, the Put Option Exercise Condition had been satisfied. On April 14, 2025, Geely HK exercised its put option, requiring us to purchase 51% of the equity interests in Lotus Advance Technologies Sdn Bhd. On June 30, 2025, Etika also exercised its put option, requiring us to purchase 49% of the equity interests in Lotus Advance Technologies Sdn Bhd. As a result, we are expected to acquire 100% of the equity interests of Lotus UK through non-cash transactions based on pre-agreed prices. Closing of the Geely HK put option and Etika put option could be subject to approvals of governmental authorities in various jurisdictions and is currently expected to take place in 2026. The exercise of the Geely HK put option and Etika put option to require us to purchase the equity interests held by Geely HK and Etika in Lotus Advance Technologies Sdn Bhd may represent a significant financial obligation that could have a material adverse impact on our liquidity, results of operations, and financial condition.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addition, our future capital needs and other business reasons could require us to issue additional equity or debt securities or obtain a credit facility. The issuance of additional equity or equity-linked securities could dilute our shareholders. The incurrence of indebtedness would result in an increase in debt service obligations and could result in operating and financing covenants that would restrict our operations or our ability to pay dividends to our shareholders.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If our suppliers fail to use ethical business practices and comply with applicable laws and regulations, our brand image could be harmed due to negative publicity.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 in delayed delivery of our products, product shortages or other disruptions of our operations.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we, or other manufacturers in our industry, encounter similar problems in the future, it could harm our brand image, business, prospects, results of operations, and financial condition.</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face risks relating to our distribution models and networks.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Some of our vehicles are sold either directly to users (rather than through dealerships) or through city partners that act as our sales agents and collect sales commissions on such sales. We plan to further expand our physical sales network through a balanced combination of company-operated stores and partner stores. This planned expansion may not have the desired effect of increasing sales and enhancing our brand recognition in a cost-efficient manner. We may need to invest significant capital and management resources to operate existing company-operated stores and open new ones, and there can be no assurance that we will be able to improve the operational efficiency of our company-operated stores. Our direct-to-consumer approach to vehicle distribution is relatively new and its long-term effectiveness is unproven. It thus subjects us to substantial risks as it requires, in the aggregate, significant expenditures and provides for slower expansion of our distribution and sales systems as compared to the traditional dealership system. For example, we will not be able to utilize long established sales channels developed through a dealership system to increase our sales volume. Moreover, we will be competing with automakers with well established distribution channels and we may not be able to satisfy customer expectations. We also leverage our network of city partners as a pipeline of potential sales partners. However, we may not be able to identify, attract, and retain a sufficient number of city partners with the requisite experience and resources to operate our partner stores. Our city partners are responsible for the day-to-day operation of their stores. Although we offer the same training and implement the same service standards for staff from both company-operated stores and partner stores, we have limited control over how our city partners’ businesses are run. If our city partners fail to deliver high quality customer service and resolve customer complaints in a timely manner, or if any of their misconduct damages our brand image and reputation, our business could be adversely affected. Furthermore, we may experience disagreements or disputes in the course of our relationship with our city partners or upon termination of our relationships with city partners, which may lead to financial costs, disruptions, and reputational harm.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adopt a dealer model for our distribution in the UK, European, American and ROW markets. By relying on third-party dealerships, we may have limited influence over sales processes, pricing consistency, and brand representation, potentially leading to a fragmented or suboptimal customer experience that could harm brand reputation and customer loyalty. Inconsistent dealer practices, including pricing markups, add-on fees, or inadequate service support, could undermine our premium brand positioning and customer satisfaction levels. Unlike a direct sales model, where production can be more closely aligned with demand, dealerships may push for higher inventory levels, leading to potential overstocking, increased working capital needs, or discounting pressures that erode margins. Additional conflicts may arise between our strategic objectives and dealer incentives, including with regard to promotional strategies, and EV education. If we fail to effectively manage our relationships with dealerships, our operations and financial condition could be materially and adversely affected.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vehicles may not perform in line with customer expectations and may contain defects.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vehicles may not perform in line with customer expectations. Any product defect or any other failure of our vehicles to perform or operate as expected could harm our reputation and result in negative publicity, lost revenue, delivery delays, product recalls, product liability claims, harm to our brand, significant expenses including warranty claims, and other consequences that could materially and adversely affect our business, financial condition, results of operations, and prospects.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vehicles may have design and manufacturing defects. The design and manufacturing of our vehicles are complex and could have latent defects and errors, which may cause our vehicles not to perform or operate as expected or even result in property damage or personal injury. Furthermore, our vehicles use a substantial amount of third-party and in-house software code and complex hardware to operate. Advanced technologies are inherently complex, and defects and errors may only be revealed over time. Our control over the long-term consistent performance of third-party services and systems is limited. While we have performed extensive internal testing on the software and hardware systems and we plan to do so on our future models, we have a limited frame of reference by which to assess the long-term performance of our systems and vehicles. We cannot assure you that we will be able to detect and fix any defects in the vehicles we design and produce on a timely basis, or at all.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limited operating history in testing, delivering, and servicing our vehicles. Although we have established rigorous protocols for each manual operational process, such as testing, vehicle delivery, and servicing of our vehicles, there may be instances of, operational mistakes, negligence, failures to follow protocols or other human errors by our employees or third-party service providers. Such human error could result in failure of our vehicles to perform or operate as expected. We cannot assure you that we will be able to completely prevent human errors.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if any of our vehicles fail to perform or operate as expected, whether as a result of human error or otherwise, we may need to delay deliveries, initiate product recalls, provide servicing or updates under warranty at our expense, and face potential lawsuits, which could adversely affect our brand, business, financial condition, and results of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vehicles currently make use of lithium-ion battery cells, which have been observed to catch fire or vent smoke and flame.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battery packs that we produce make use of lithium-ion cells, which we purchase from third-party suppliers. On rare occasions, lithium-ion cells can rapidly release the energy they contain by venting smoke and flames in a manner that can ignite nearby materials as well as other lithium-ion cells. We have implemented a battery management system that automatically monitors temperature, power output, and other status of the battery pack, including a thermal management system that keeps the temperature of the battery pack within an ideal range. However, our vehicles or their battery packs may still experience failure, which could subject us to lawsuits, product recalls, or redesign efforts, all of which would be time consuming and expensive. In addition, negative public perceptions regarding the suitability of lithium-ion cells for automotive use or any future incident involving lithium-ion cells such as a vehicle or other fire, even if not involving our vehicles, could seriously harm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any mishandling of battery cells may cause disruption to our business operations. While we have implemented safety procedures related to the handling of the cells, a safety issue or fire related to the cells could result in damage or injury, which could further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financial condition, results of operations, and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face challenges providing our charging solutions.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Demand for our vehicles depend in part on the availability of charging infrastructure. Customers may charge through home charging, flash charging and on-the-go charging provided by our designated partners.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Historically, we provided charging solutions to our users directly. We currently and expect to continue to rely primarily on our affiliates for the provision of charging solutions to users which could be subject to challenges and uncertainties, which include the logistics of rolling out network and teams in appropriate areas, inadequate capacity or over capacity in certain areas, security risks or risk of damage to vehicles during charging services, and the potential for lack of user acceptance of charging services. In addition, although the PRC government has supported the roll-out of a public charging network, the current charging facility infrastructure is generally considered to be insufficient. Our affiliates face significant challenges as they roll out their charging solutions, including access to sufficient charging infrastructure, obtaining any required permits, land use rights and filings, and, to a certain extent, such roll out is subject to the risk that the government support may discontinue.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Because the charging network is managed by our affiliates, we do not have direct control over the day-to-day operations, maintenance schedules, or customer service quality at charging sites. If our affiliates fail to maintain charging infrastructure in good working order, experience network outages, or provide poor customer support, our customers’ ability to charge their vehicles will be affected. Such failures could damage the reputation of our brand, and materially reduce customer satisfaction and vehicle sales, even if our vehicles themselves perform as intended.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Furthermore, the business priorities of our affiliates may diverge from our own over time. Decisions regarding the distribution and geographic expansion of the network, pricing structures for charging sessions, and the allocation of capital for upgrades are made by our affiliates. If the affiliate prioritizes margins or other business lines or objectives over the expansion and reliability of the charging network we rely on, it could hinder the adoption of our vehicles and increase the total cost of ownership for our customers.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the extent we are reliant on this single affiliated network, we also face a concentration risk. Any failure of our affiliates to establish and maintain a sufficient and performing charging network, or a dispute or disruption in our relationship could leave our customers without adequate charging support.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There could also be other unanticipated challenges which may hinder our or our affiliates’ ability to provide charging solutions or make the provision of charging solutions costlier than anticipated. To the extent we are unable to meet user expectations or experience difficulties in providing charging solutions, our ability to generate customer loyalty and grow our business could be impaired by a lack of satisfactory access to charging infrastructure, demand for our vehicles may suffer, and our reputation and business may be materially and adversely affected.</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Our services, including those provided through third parties, may not be generally accepted by our customers. If we are unable to provide or arrange adequate services for our customers, our brand, business and reputation may be materially and adversely affected.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We cannot assure you that our services or our efforts to engage with our customers using both our online and offline channels, will be successful, which could affect our revenues as well as our customer satisfaction and marketing. Moreover, we are unable to ensure the availability or quality of services provided by third parties, such as road assistance, vehicle logistics, and automobile financing and insurance. If any of the services provided by third parties becomes unavailable or inadequate, our customers’ experience may be adversely affected, which in turn may materially and adversely affect our business and reputation.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addition to our delivery and servicing centers, some of our after-sales services are carried out by third-party service providers. Some of these third-party service providers have limited experience in servicing EVs. We cannot assure you that our service arrangements will adequately address the service requirements of our customers to their satisfaction, or that we and our authorized body and paint shops will have sufficient resources to meet these service requirements in a timely manner as the volume of vehicles we deliver increases.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addition, if we are unable to roll out and establish a widespread service network through a combination of our delivery and servicing centers and authorized body and paint shops, customer satisfaction could be adversely affected, which in turn could materially and adversely affect our sales, results of operations, and prospects.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may become subject to product liability claims, which could harm our financial condition and liquidity if we are not able to successfully defend or insure against such claims.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We may become subject to product liability claims, which could harm our business, financial condition, results of operations, and prospects.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in the operation of our vehicles. A successful product liability claim against us could require us to pay substantial monetary compensation. Moreover, a product liability claim could generate substantial negative publicity about our vehicles and business and inhibit or prevent commercialization of our future vehicles, which would materially and adversely affect our brand, business, prospects, and results of operations. Our insurance coverage might not be sufficient to cover all potential product liability claims. Any lawsuit seeking significant monetary damages may materially and adversely affect our reputation, business, financial condition, and results of operations.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may be compelled to undertake product recalls or other actions, which could adversely affect our brand image, financial condition, results of operations, and growth prospects.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Our vehicles are subject to recalls, which may cause adverse publicity, damage to our brand, and liability for costs.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could involve significant expense and could adversely affect our brand image in our target markets, as well as our business, financial condition, results of operations, and growth prospects.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Our warranty reserves may be insufficient to cover future warranty claims and repair needs, which could adversely affect our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currently provide a 5-year or 150,000-kilometer limited warranty and an 8-year or 200,000-kilometer limited warranty for battery packs, electric motors, and electric motor controllers for Eletre and Emeya. In addition to warranty mandated by applicable laws and regulations, we also provide an extended warranty subject to certain conditions. We believe our warranty program is similar to other automakers’ warranty programs and is intended to cover all parts and labor to repair defects in material or workmanship in the body, chassis, suspension, interior, electric systems, battery, powertrain, and brake system. We plan to record and adjust warranty reserves based on changes in estimated costs and actual warranty costs. However, because we commenced initial deliveries of our vehicles in 2023, we have little experience with warranty claims regarding our vehicles or with estimating warranty reserves. We cannot assure you that our warranty reserves will be sufficient to cover future warranty claims. We could, in the future, become subject to a significant and unexpected warranty claims, resulting in significant expenses, which would in turn materially and adversely affect our financial condition, results of operations, and prospects.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If our vehicle owners modify our vehicles regardless of whether third-party aftermarket products are used, the vehicle may not operate properly, which may create negative publicity and could harm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Automobile enthusiasts may seek to modify our vehicles, including using third-party aftermarket products, to alter their appearance or change their performance, which could jeopardize vehicle safety systems. We do not test, nor do we endorse, such modifications or third-party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adversely affect our brand and harm our business, financial condition, results of operations, and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Any unauthorized control or manipulation of our vehicle systems could result in loss of confidence in us and our vehicles and harm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our networks, vehicles, and systems to gain control of, or to change, our vehicles’ functionality, user interface, and performance characteristics, or to gain access to data stored in or generated by the vehicles. Vulnerabilities could be identified in the future and our remediation efforts may not be successful. Any unauthorized access to or control of our vehicles or their systems or any loss of data could result in legal claims or proceedings against us.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financial condition, results of operations, and prospects.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retain certain information about our customers, which may subject us to complex and evolving laws and regulations regarding cybersecurity, privacy, data protection and information security in various jurisdictions we operate.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use our vehicles’ electronic systems to log, with necessary permission, certain information about each vehicle’s use in order to aid us in vehicle diagnostics and repair and maintenance, as well as to help us optimize the driving and riding experiences. Our customers may object to the use of this data, which may harm our business. We have adopted strict information security policies and deployed advanced security measures to comply with these requirements and to prevent data loss and other security breaches, including, among others, advanced encryption technologies. Further, such security measures of our contractors, consultants, and collaborators are also vulnerable to breakdown or other damage or interruption from such attacks.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Nonetheless, information stored on our systems may be targeted in cyber-attacks, including computer viruses, worms, phishing attacks, malicious software programs, and other information security breaches, which could result in the unauthorized release, gathering, monitoring, misuse, loss, or destruction of such information. If cybercriminals are able to circumvent our security measures, or if we are unable to detect and prevent an intrusion into our systems, data stored with us may be compromised and susceptible to unauthorized access, use, disclosure, disruption, modification, or destruction, which could subject us to liabilities, fines and other penalties. Additionally, if any of our employees accesses, converts, or misuses any sensitive information, we could be liable for damages, and our business reputation could be materially damaged. Because the techniques used to obtain unauthorized access or to sabotage systems change frequently, we may not be able to anticipate these techniques and implement adequate preventative or protective measures.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Due to our data collection practices, products, services and technologies, we are subject to or affected by a number of laws and regulations in jurisdictions we operate,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 third parties with whom we conducts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global data protection landscape is rapidly evolving, and implementation standards and enforcement practices are likely to remain uncertain for the foreseeable future. We may not be able to monitor and react to all developments in a timely manner. For example, the EU adopted the General Data Protection Regulation, or the GDPR, which became effective on May 25, 2018. The U.K. adopted the GDPR as retained EU law at the end of the Brexit transition period, and a U.K.-specific General Data Protection Regulation, or the U.K. GDPR, which is based on the EU GDPR came into force from January 1, 2021. In the U.S., there is no overarching generally applicable federal law in the U.S. that governs personal data. Instead, more narrow and specific federal laws apply to the processing or other use or treatment of certain types of personal data, and U.S. Federal Trade Commission may bring enforcement actions against companies that engage in processing of personal data in a manner that constitutes an unfair or deceptive trade practice. In addition, the overwhelming majority of states have enacted laws related to data privacy. For instance, California adopted the California Consumer Privacy Act of 2018, which became effective in January 2020. Other jurisdictions have begun to propose similar laws. Failure to comply with applicable cybersecurity, privacy, data protection and information security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 For more risks relating to laws and regulations of mainland China regarding cybersecurity, privacy, data protection and information security, see “—Risks Relating to Doing Business in China—We are subject to regulations of mainland China regarding cybersecurity, privacy, data protection and information security. Any privacy or data security breach or any failure to comply with these laws and regulations could damage our reputation and brand, result in negative publicity, legal proceedings, increased cost of operations, warnings, fines, service or business suspension, confiscation of illegal gains, revocation of business permits or licenses, or otherwise harm our business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Compliance with applicable cybersecurity, privacy, data protection and information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addition, changes in existing laws or regulations or adoption of new laws and regulations in these fields, particularly any new or amended laws or regulations that require enhanced protection for certain types of data or new obligations with regard to data retention, transfer or disclosure, could greatly increase our cost in providing our service offerings, require significant changes to our operations or even prevent us from providing certain service offerings in jurisdictions in which we currently operate or in which we may operate in the future.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generally comply with industry standards and are subject to the terms of our own privacy policies. We have incurred, and will continue to incur, significant expenses in an effort to comply with privacy, data protection and information security standards and protocols imposed by laws, regulations, and industry standards in jurisdictions we operate, or contractual obligations. Nonetheless, certain emerging laws and regulations in these fields are still subject to a high degree of uncertainty as to their interpretation and application.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Despite our efforts to comply with applicable laws, regulations and other obligations relating to cybersecurity, privacy, data protection and information security, it is possible that our practices, offerings, services or platform could fail to meet all of the requirements imposed on us by such laws, regulations or obligations, which may in turn result in the suspension of our app and thus restrict our use of such information, and hinder our ability to acquire new customers or market to existing customers.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cannot assure you that we will or will be able to comply with such laws and regulations regarding cybersecurity, privacy, data protection and information security in all respects and any failure or perceived failure to comply with the same may result in inquiries or other proceedings being instituted against, or other actions, decisions or sanctions being imposed on us by governmental authorities, users, consumers or other parties, including warnings, fines, penalties, directions for rectifications, service suspension or removal of our application from application stores, as well as in negative publicity on us and damage to our reputation, any of which could cause us to lose users and business partners and have a material adverse effect on our operations, revenues and profits.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growth depends significantly on the availability and extent of government subsidies, economic incentives, and government policies that support the growth of new energy vehicles.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vehicles benefit from government incentives for electric vehicles in the EU, the U.K., and the U.S., see “Item 4. Information on the Company—B. Business Overview—Regulations—Global Government Regulations—Regulations on Incentives.” In China, we also benefit from favorable government incentives and subsidies, including one-time government subsidies, exemption from vehicle purchase tax, exemption from license plate restrictions in certain cities, preferential utility rates for charging facilities and more. Changes in government subsidies, economic incentives, and government policies to support electric vehicles in any jurisdictions we operate could adversely affect the results of our operations. If government incentives for electric vehicles gradually phase out in any jurisdictions we operate, there is no assurance that the alternative fuel vehicle industry generally or our electric vehicles in particular could maintain their competitiveness as compared to ICE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vehicles sales may also be impacted by government policies such as tariffs on imported vehicles and foreign investment restrictions in the industry. The tariff in China on imported passenger vehicles (other than those originating in the U.S.) was reduced to 15% starting from July 1, 2018. As a result, pricing advantage of domestically manufactured vehicles could be diminished. Historically, there had been a certain limit on foreign ownership of automakers in China, but for automakers of NEVs, such limit was lifted in 2018. Further, pursuant to the Special Administrative Measures (Negative List) for Foreign Investment Access (2024 Version), or 2024 Negative List, jointly promulgated by the PRC Ministry of Commerce and the PRC National Development and Reform Commission, or NDRC, on September 6, 2024 and became effective on November 1, 2024, the limit on foreign ownership of automakers for ICE passenger vehicles was also lifted. As a result, foreign NEV competitors could build wholly-owned facilities in China without the need for a domestic joint venture partner. These changes could affect the competitive landscape of the NEV industry and reduce our pricing advantage, which may adversely affect our business, results of operations, and financial condition.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Apart from vehicle purchase subsidies, China’s central government has adopted an NEV credit scheme that incentivizes OEMs to increase the production and sale of NEVs. Excess positive NEV credits are tradable and may be sold to other enterprises through a credit trading scheme established by the PRC Ministry of Industry and Information Technology. For further information relating to these credits, please refer to “Item 4. Information on the Company—B. Business Overview—Regulations—PRC Government Regulations—Favorable Government Policies Relating to New Energy Vehicles in mainland China—Corporate Average Fuel Consumption and New Energy Vehicle Credit Schemes for Vehicle Manufacturers and Importers.” Any changes in government policies to restrict or eliminate such credits trading could adversely affect our business,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Such negative influence could continue. Furthermore, China’s central government provides certain local governments with funds and subsidies to support the roll-out of charging infrastructure. See “Item 4. Information on the Company—B. Business Overview—Regulations—PRC Government Regulations—Favorable Government Policies Relating to New Energy Vehicles in mainland China.” These policies are subject to change and beyond our control. We cannot assure you that any changes would be favorable to our business. Furthermore, any reduction, elimination, delayed payment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Any of the foregoing could materially and adversely affect our business, results of operations, financial condition and prospects.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results of operations may vary significantly from period to period due to the seasonality of our business and fluctuations in our operating costs.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results of operations may vary significantly from period to period due to many factors, including seasonal factors that may affect the demand for our vehicles. Automotive manufacturers typically experience seasonality with comparatively low sales in the first quarter, and comparatively high in fourth quarter of the calendar year. Our limited operating history makes it difficult for us to judge the exact nature or extent of the seasonality of our business. Also, any unusually severe weather conditions in certain regions may impact demand for our vehicles. Our results of operations could also suffer if we do not achieve revenue consistent with our expectations for this seasonal demand because many of our expenses are based on anticipated levels of annual revenue.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also expect our period-to-period results of operations to vary based on our operating costs, which we anticipate will increase significantly in future periods as we, among other things, design and develop new models and have them manufactured, build and equip new manufacturing facilities to produce such components, open new retail stores and delivery centers, increase our sales and marketing activities, and increase our general and administrative functions to support our growing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factors, we believe that period-to-period comparisons of our results of operations are not necessarily meaningful and that these comparisons cannot be relied upon as indicators of future performance. Moreover, our results of operations may not meet expectations of equity research analysts or investors. If this occurs, the trading price of our securities could fall substantially either suddenly or over time.</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Pandemics and epidemics, natural disasters, terrorist activities, political unrest, and other outbreaks could disrupt our production, delivery, and operations, which could materially and adversely affect our business,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Global pandemics, epidemics in any jurisdictions we operate, or fear of spread of contagious diseases, such as Ebola virus disease (EVD), COVID-19, Middle East respiratory syndrome (MERS), severe acute respiratory syndrome (SARS), H1N1 flu, H7N9 flu, and avian flu, as well as hurricanes, earthquakes, tsunamis, or other natural disasters could disrupt our business operations, reduce or restrict our supply of materials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impede our production and delivery efforts and adversely affect our sales results, or even for a prolonged period of time, which could materially and adversely affect our business,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Beginning in 2020, outbreaks of COVID-19 resulted in the temporary closure of many corporate offices, retail stores, and manufacturing facilities across China. Normal economic life throughout China was sharply curtailed. The population in most of the major cities was locked down to a greater or lesser extent at various times and opportunities for discretionary consumption were extremely limited. China began to modify its zero-COVID policy at the end of 2022, and most of the travel restrictions and quarantine requirements were lifted in December 2022. There were surges of cases in many cities during this time which caused disruption to our and our suppliers’ operations, and there remains uncertainty as to the future impact of the virus, especially in light of this change in policy. The extent to which the pandemic impacts our results of operations going forward will depend on future developments which are highly uncertain and unpredictable, including the frequency, duration and extent of outbreaks of COVID-19, the appearance of new variants with different characteristics, the effectiveness of efforts to contain or treat cases, and future actions that may be taken in response to these developments. China may experience lower domestic consumption, higher unemployment, severe disruptions to exporting of goods to other countries and greater economic uncertainty, which may impact our business in a negative way. Consequently, the COVID-19 pandemic may continue to adversely affect our business, financial condition and results of operations in the current and future years.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software or hardware as well as adversely affect our business, financial condition, and results of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insurance coverage, which could expose us to significant costs and business disruption.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While we carry commercial insurance, including employee benefit insurance, employer’s liability insurance, household property insurance, medical insurance, test drive insurance, overseas business trip insurance, and property insurance (including property all risks, public liability insurance, and cargo transportation insurance), such liability insurance coverage for our products and business operations is limited. A successful liability claim against us, regardless of whether due to injuries suffered by our customers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or may be subject to risks associated with strategic alliances or acquisitions.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third parties, and increases in expenses in integrating and realizing synergies, any of which may materially and adversely affect our business. We may have limited ability to monitor or control the actions of these third parties and, to the extent any of these third parties suffers negative publicity or harm to their reputation from events relating to their businesses, we may also suffer negative publicity or harm to our reputation by virtue of our association with any such third party.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if appropriate opportunities arise, we may acquire additional assets, products, technologies, or businesses that are complementary to our existing business. In addition to possible shareholder approval, we may have to obtain approvals and clearances from government authorities for such acquisitions in order to comply with any applicable laws and regulations of mainland China, which could result in increasing delay and costs, and may derail our business strategy if we fail to do so. Moreover, the costs of identifying and consummating acquisitions may be significant.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synergies or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Any acquired business may be involved in legal proceedings originating from historical periods prior to the acquisition, and we may not be fully indemnified, or at all, for any damage to us resulting from such legal proceedings, which could materially and adversely affect our financial position and results of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appropriately maintain effective internal control over financial reporting in accordance with Section 404 of the Sarbanes-Oxley Act of 2002, we may be unable to accurately report our financial results and the market price of the ADSs may be adversely affected.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reporting obligations under the U.S. securities laws. The SEC, as required under Section 404 of the Sarbanes-Oxley Act of 2002, adopted rules requiring every public company to include a management report on such company’s internal control over financial reporting in its annual report, which contains management’s assessment of the effectiveness of the company’s internal control over financial reporting. In addition, an independent registered public accounting firm must attest to and report on the effectiveness of the company’s internal control over financial reporting. Our management has concluded that our internal control over financial reporting was effective as of December 31, 2025. See “Item 15. Controls and Procedures.”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2012 relating to internal controls over financial reporting. Our independent registered public accounting firm, after conducting its own independent testing, may issue an adverse report if it is not satisfied with our internal controls or the level at which our controls are documented, designed, operated or reviewed, or if it interprets the relevant requirements differently from 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we fail to maintain effective internal control over financial reporting in the future, our management and our independent registered public accounting firm may not be able to conclude that we have effective internal control over financial reporting at a reasonable assurance level. This could in turn result in the loss of investor confidence in the reliability of our financial statements and negatively impact the trading price of the ADSs. Furthermore, we have incurred and may need to incur additional costs and use additional management and other resources in an effort to comply with Section 404 of the Sarbanes-Oxley Act and other requirements going forward.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Interruption or failure of our information technology and communications systems could affect our ability to effectively provide our services.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in-car technology system, and other digitalized sales, service, customer relationship, internal information and knowledge management systems depend on the continued operation of our information technology and communications systems. These systems are vulnerable to damage or interruption from, among others, fire, terrorist attacks, natural disasters, power loss, telecommunications failures, computer viruses, computer denial of service attacks, or other attempts to harm our systems. The occurrence of any of the foregoing events could result in damage to or failure of our systems. These risks may be heightened for operations at facilities outside of our direct control. Any network interruption or inadequacy that causes interruptions to our products or the access to our product operating systems, or failure to maintain the network and server or solve such problems in a timely manner, could reduce our user satisfaction, which, in turn, will adversely affect our reputation, user base and future operations, and financial condition. Our data centers are also subject to break-ins, sabotage, hackings, malfunctions, loss or corruption of data, software, hardware or other computer equipment, the intentional or inadvertent transmission of computer viruses, software errors, malware, security attacks, fraud, and intentional or accidental human actions or omissions,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The construction and operation of our headquarters in Wuhan is subject to regulatory approvals and may be subject to delays, cost overruns or may not produce expected benefits.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currently building, and expect to continue to develop, our headquarters in Wuhan, on land over which we have acquired land use right certificates. Major construction projects, such as the construction of our headquarters in Wuhan, require significant capital, and are subject to numerous risks and uncertainties, including, delays, cost overruns, disputes with builders and contractors, construction quality issues, safety considerations, which are factors that we cannot control. Any failure to complete these projects on schedule and within budget could adversely impact our financial condition and results of operations. Under laws of mainland China, construction projects are subject to broad and strict government supervision and approval procedures, including but not limited to project approvals and filings, construction land and project planning approvals, environment protection approvals, the pollution discharge permits, work safety approvals, fire protection approvals, and the completion of inspection and acceptance by the authorities. The construction projects being or to be carried out by us are undergoing necessary approval procedures as required by law. As a result, the entities operating such construction projects may be subject to administrative uncertainty construction projects in question within a specified time frame, fines or the suspension of use of such projects. Any of the foregoing could have a material adverse impact on our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and our manufacturing partner, Geely Holding, are subject to various environmental laws and regulations in jurisdictions we operate that could impose substantial costs upon 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an automobile developer, our operations and the operations of our manufacturing partner, Geely Holding, are subject to various environmental laws and regulations in jurisdictions we operate, including laws relating to the use, handling, storage, and disposal of, and human exposure to, hazardous materials, fuel economy and emissions, and with respect to constructing, expanding and maintaining manufacturing facilities among other things. Environmental laws and regulations can be complex, and our business and operations and those of Geely Holding may be affected by future amendments to such laws or other new environmental laws which may require us to change our operations, potentially resulting in a material adverse effect on our business. These laws can give rise to liability for administrative oversight costs, cleanup costs, property damage, bodily injury, and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laws, regulations and regulatory agencies regarding environmental protection like EU Regulation 715/2007 in the EU and the U.K., federal level requirements of the Clean Air Act and laws and regulations administered by the National Highway Traffic Safety Administration and the Environmental Protection Agency and other state level regulations in the United State, and the Provisions on the Administration of Investments in the Automotive Industry in China. The costs of compliance to environmental laws and regulations, including remediating contamination if any is found on our properties and any changes to our operations mandated by new or amended laws, may be significant. We may also face unexpected delays in obtaining environmental permits and approvals required by such laws in connection with the manufacturing and sale of our vehicles, which would hinder our ability to conduct our operations. Such costs and delays may adversely impact our business prospects and results of operations. Furthermore, any violations of these environmental laws and regulations may result in litigation, substantial fines and penalties, remediation costs, third party damages or a suspension or cessation of our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legal proceedings in the ordinary course of our business. If the outcomes of such proceedings are adverse to us, it could have a material adverse effect on our business, results of operations, and financial condition.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customers, our competitors, governmental entities in civil or criminal investigations and proceedings, or other entities. These claims could be asserted under a variety of laws, including but not limited to product liability laws, consumer protection laws, intellectual property laws, labor and employment laws, securities laws, tort laws, contract laws, property laws, data compliance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Such actions could also expose us to negative publicity and to substantial monetary damages and legal defense costs, injunctive relief, and criminal, civil, and administrative fines and penalties.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revenues and financial results may be adversely affected by economic slowdown globally and in any jurisdictions we operate.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success of our business ultimately depends on consumer spending. Our revenues and financial results are impacted to a significant extent by economic conditions globally and in any jurisdictions we operate. The global macroeconomic environment is facing numerous challenges. Any slowdown could significantly reduce domestic commerce in jurisdictions we operate, including through the automobile market generally and through us. In addition, there is considerable uncertainty over the long-term effects of the expansionary monetary and fiscal policies adopted by the central banks and financial authorities of some of the world’s leading economies, including the U.S. and China. The conflicts in Ukraine and the imposition of broad economic sanctions on Russia could raise energy prices and disrupt global markets. Unrest, terrorist threats and the potential for war in the Middle East, the Red Sea and elsewhere may increase market volatility across the globe. Most recently, the military conflict between Israel and Iran (including U.S. participation) have heightened geopolitical tensions across the world and the Israel-Iran conflict and the disruption to the Strait of Hormuz have contributed to significant volatility in global energy markets.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There have also been concerns about the relationship between China and other countries, including the surrounding Asian countries, which may potentially have economic effects. In particular, there is significant uncertainty about the future relationship between the U.S. and China with respect to trade policies, treaties, government regulations, and tariffs. In addition, the COVID-19 pandemic had negatively impacted the economies of China, the U.S., and numerous other countries around the world. Economic conditions in jurisdictions we operate may be sensitive to global economic conditions, as well as changes in domestic economic and political policies and the expected or perceived overall economic growth rate in specific jurisdiction. Any severe or prolonged economic slowdown globally and in any jurisdictions we operate may materially and adversely affect our business, results of operations, and financial condition.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The current tensions in international trade and rising international political tensions may adversely affect our business,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In the past, the U.S. government has imposed higher tariffs on certain products imported from China to penalize China for what it characterizes as unfair trade practices. China has responded by imposing higher tariffs on certain products imported from the United States. On April 2, 2025, President Trump announced that the United States would impose a 10% tariff on most countries, effective on April 5, 2025, and individualized higher tariff rates on countries with which the United States has proportionately large trade deficits in goods, including, among others, a 34% additional tariff on goods imported from China. Following this action, China responded by imposing an additional tariff on goods imported from the United States, and the two countries sequentially further increased the additional tariff charged on each other, bringing the cumulative tariffs imposed on each other to over 100%. A 90-day truce was agreed on May 12, 2025, reducing tariffs, and was subsequently extended. A broader framework deal was reached on October 26, 2025 and a framework agreement was announced on November 1, 2025, under which the U.S. International Emergency Economic Powers Act (IEEPA) “fentanyl” tariff on Chinese imports was reduced to 10%, and certain Chinese retaliatory measures were suspended. The arrangement runs through November 10, 2026. On February 20, 2026, the U.S. Supreme Court struck down the IEEPA-based tariffs, holding that IEEPA does not authorize the President to impose tariffs. Immediately following the ruling, the Trump administration announced a temporary 15% global tariff under Section 122 of the Trade Act of 1974, effective February 24, 2026, for an initial 150-day period pending Congressional approval for any extension. Other economies that are affected by increased tariffs by the United States have and continue to consider imposing or increasing tariffs on goods from the United States. As of the date of this annual report, there is still a high degree of uncertainty surrounding U.S. tariff policy, how it will be implemented, and how other countries will react to it. It also remains uncertain whether increased tariffs and trade tensions will create further disruptions and uncertainties to the international trade and lead to a downturn to the global economy.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depend on parts and components from suppliers, some of which are overseas. In addition, certain of our technologies could be subject to restrictions by the government of the United States and other jurisdictions in the future. Therefore, government policies restricting international trade and investments may affect the demand for our vehicles, impact the competitive position of our products and services, and prevent us from being able to sell products in certain countries.</w:t>
      </w:r>
    </w:p>
    <w:p>
      <w:pPr>
        <w:pStyle w:val="TextBody"/>
        <w:bidi w:val="0"/>
        <w:spacing w:lineRule="atLeast" w:line="220" w:before="0" w:after="160"/>
        <w:ind w:left="0" w:right="0" w:firstLine="720"/>
        <w:jc w:val="both"/>
        <w:rPr>
          <w:rFonts w:ascii="Times New Roman;Times;serif" w:hAnsi="Times New Roman;Times;serif"/>
          <w:sz w:val="20"/>
        </w:rPr>
      </w:pPr>
      <w:r>
        <w:rPr>
          <w:rFonts w:ascii="Times New Roman;Times;serif" w:hAnsi="Times New Roman;Times;serif"/>
          <w:sz w:val="20"/>
        </w:rPr>
        <w:t>If any new tariffs, legislation, or regulations are implemented, or if existing trade agreements are renegotiated, such changes could adversely affect our business, financial condition, and results of operations. In recent years, the U.S. Department of Commerce has introduced restrictions related to semiconductor, semiconductor manufacturing, supercomputer, and advanced computing items and end uses in China. These sanctions and export controls could adversely affect us and our supply chain, business partners, or customers. For example, on January 14, 2025, the U.S. Department of Commerce’s Bureau of Industry and Security announced a final rule prohibiting certain transactions involving the sale or import of connected vehicles integrating specific pieces of hardware and software, or those components sold separately, with a sufficient nexus to the PRC or Russia. The term of “connected vehicles” is broadly defined to include most passenger vehicles with smart functions. The United States government has also increased the tariff rate on Chinese EVs from 25% to 100% since September 2024. In addition, the European Commission also increased the tariffs on Chinese EVs with individualized rates for different brands to up to 45.3% in October 2024. Such restrictions in the United States, the European Union and elsewhere due to trade or political tensions may adversely affect us and our supply chain, business partners, or customers.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160"/>
        <w:ind w:left="0" w:right="0" w:firstLine="720"/>
        <w:jc w:val="both"/>
        <w:rPr>
          <w:rFonts w:ascii="Times New Roman;Times;serif" w:hAnsi="Times New Roman;Times;serif"/>
          <w:sz w:val="20"/>
        </w:rPr>
      </w:pPr>
      <w:r>
        <w:rPr>
          <w:rFonts w:ascii="Times New Roman;Times;serif" w:hAnsi="Times New Roman;Times;serif"/>
          <w:sz w:val="20"/>
        </w:rPr>
        <w:t>Export control measures may also affect our supply chain and technology development. The U.S. government has issued new rules that expanded the definition of military end use and eliminated the applicability of certain license exceptions for exports to countries including China, thereby expanding the export license requirements for U.S. companies to sell certain items to companies in China that have operations that could support military end uses. The U.S. government has also broadened the restrictions on the sale of goods manufactured outside the United States that are produced using certain controlled U.S.-origin technology or software to companies on a special list, and the restrictions on the use of U.S.-origin semiconductor manufacturing equipment that produces semiconductor devices for companies on the special list. As we depend on parts and components from suppliers, some of which are overseas, tariffs and export control measures by the PRC, U.S., or any other government or other trade tensions or unfavorable trade policies may affect the costs or performance of our products. For example, as the restrictions on the use of certain controlled U.S.-origin technology or software and other U.S. export control laws and regulations continue to expand and evolve, future U.S. export controls may materially affect or target some of our significant suppliers or customers, in which event our business may be affected if we fail to promptly secure alternative sources of supply or demand on terms acceptable to us.</w:t>
      </w:r>
    </w:p>
    <w:p>
      <w:pPr>
        <w:pStyle w:val="TextBody"/>
        <w:bidi w:val="0"/>
        <w:spacing w:lineRule="atLeast" w:line="220" w:before="0" w:after="160"/>
        <w:ind w:left="0" w:right="0" w:firstLine="720"/>
        <w:jc w:val="both"/>
        <w:rPr>
          <w:rFonts w:ascii="Times New Roman;Times;serif" w:hAnsi="Times New Roman;Times;serif"/>
          <w:sz w:val="20"/>
        </w:rPr>
      </w:pPr>
      <w:r>
        <w:rPr>
          <w:rFonts w:ascii="Times New Roman;Times;serif" w:hAnsi="Times New Roman;Times;serif"/>
          <w:sz w:val="20"/>
        </w:rPr>
        <w:t>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Lotus Technology Inc.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On December 18, 2025, the Comprehensive Outbound Investment National Security Act of 2025, or the COINS Act, was signed into law. The COINS Act will keep the core of the Outbound Investment Rule while expanding its scope and coverage and clearly including underwriting services as an exception and amending certain key definitions such as Covered Foreign Person. The COINS Act will not take effect until the Department of Treasury issues new regulations (subject to notice and comment), which it must do by March 13, 2027, providing Department of Treasury with the opportunity to further amend or expand existing prohibitions and restrictions in accordance with the COINS Act. In the meantime, the existing Outbound Investment Rule will remain in effect. The content of the implementation regulations remain uncertain. If our ability to raise such capital is significantly and negatively affected, it could be detrimental to our business, financial condition and prospects, and our ADSs may significantly decline in value. If our ability to raise capital is significantly and negatively affected, it could be detrimental to our business, financial condition and prospects, and our ADSs may significantly decline in value.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vehicles, and thus negatively affect our business, prospects, financial condition, and results of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have exposure to greater than anticipated tax liabilities.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Due to shifting economic and political conditions, tax policies and laws, tax rates in jurisdictions in which we operate may be subject to significant changes that could impair our financial results. 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Various tax jurisdictions in which we operate have either enacted legislation to adopt certain components of the Pillar Two Model Rules with the adoption of additional components in later years, or announced their plans to enact such legislation in future years. We will continue to evaluate the impact of such legislative initiatives in the tax jurisdictions in which we operate. There are uncertainties regarding the rules and implementations, and there is no guarantee that these changes will not affect our financial results.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Unexpected termination of leases, failure to renew the lease of our existing premises or to renew such leases at acceptable terms could materially and adversely affect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lease premises for research and development, company-operated stores, delivery and servicing centers, charging stations and offices. We cannot assure you that we would be able to renew these lease agreements without substantial additional costs or increases in the rental cost payable by us. If a lease agreement is renewed at a rent substantially higher than the current rate, or currently existing favorable terms granted by the lessor are not extended, our business and results of operations may be adversely affected.</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have granted, and may continue to grant options and other types of awards under our share incentive plan, which may result in increased share-based compensation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adopted a share incentive plan in September 2022, or the 2022 Share Incentive Plan, for the purpose of attracting and retaining the best available personnel, providing additional incentives to employees, directors and consultants, and promoting the success of our business. Under the 2022 Share Incentive Plan, we are authorized to grant options. The maximum aggregate number of ordinary shares that may be issued pursuant to all awards under the 2022 Share Incentive Plan is 51,550,661 (after giving effect to the recapitalization upon the business combination with LCAA). As of February 28, 2026, a total of awards to purchase 11,707,266 ordinary shares have been granted under the 2022 Share Incentive Plan and outstanding, excluding awards that were forfeited or cancelled after the grant dates and after giving effect to the recapitalization upon the business combination with LCAA. See “Item 6. Directors, Senior Management and Employees—B. Compensation—Share Incentive Plan.” The plan administrator determines the exercise price for each award.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believe the granting of share-based awards is of significant importance to our ability to attract and retain key personnel and employees, and we may continue to grant share-based compensation to employees in the future. As a result, our expenses associated with share-based compensation may increase, which may have an adverse effect on our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depends substantially on the continued efforts of our executive officers, key employees and qualified personnel, and our operations may be severely disrupted if we lose their services.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substantially on the continued efforts of our executive officers and key employees with expertise in various areas. If one or more of our executive officers or key employees were unable or unwilling to continue their services with us, we may not be able to replace them easily in a timely manner, or at all. As we build up our brand awareness and become more well-known, the risk that competitors or other companies may poach our talent increases.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industry is characterized by high demand and intense competition for talent, in particular with respect to qualified talent in the areas of automotive intelligence technologies, and therefore, we cannot assure you that we will be able to continue to attract or retain qualified staff or other highly skilled employees. In addition, because we are operating in a new and challenging industry that requires continuous innovations of technologies and solutions, we may not be able to hire qualified individuals with sufficient training in a timely manner, and we may need to spend significant time and resources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If any of our executive officers or key employees joins a competitor or forms a competing company, we may lose customers, know-how, and key professionals and staff members. While each of our executive officers and key employees has entered into an employment agreement with non-compete clauses with us, if any dispute arises between our executive officers or key employees and us, the non-competition provisions may not be enforceable, especially under laws of mainland China, on the ground that we have not provided adequate compensation to them for their non-competition obligations.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anti-corruption, anti-bribery, anti-money laundering, financial and economic sanctions, and similar laws, and noncompliance with such laws can subject us to administrative, civil, and criminal penalties, collateral consequences, remedial measures, and legal expenses, all of which could adversely affect our business, results of operations, financial condition, and reputation.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be subject to anti-corruption, anti-bribery, anti-money laundering, financial and economic sanctions, and similar laws and regulations in various jurisdictions in which we conduct activities, including the U.S. Foreign Corrupt Practices Act, or FCPA, and other anti-corruption laws and regulations.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reputation,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direct or indirect interactions with officials and employees of government agencies and state-owned affiliated entities in the ordinary course of business. We also have business collaborations with government agencies and state-owned affiliated entities. These interactions subject us to an increasing level of compliance-related concerns. We are in the process of implementing policies and procedures designed to ensure compliance by us and our directors, officers, employees, consultants, agents, and business partners with applicable anti-corruption, anti-bribery, anti-money laundering, financial and economic sanctions, and similar laws and regulations. However, our policies and procedures may not be sufficient and our directors, officers, employees, consultants, agents, and business partners could engage in improper conduct for which we may be held accountable.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reputation, financial condition, and results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Doing Business in China</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meet the PRC government’s complex regulatory requirements on and significant oversight over our business operation could result in a material adverse change in our operations and the value of our securities.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major part of our operations is located in China. The PRC government has significant authority to influence and intervene in the China operations of an offshore holding company, such as Lotus Technology Inc., at any time. Accordingly, our business, prospects, financial condition, and results of operations may be influenced to a significant degree by political, economic, and social conditions in China generally.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Chinese economy differs from the economies of most developed countries in many respects, including the degree of government involvement, level of development, growth rate, control of foreign exchange and allocation of resources. Although the PRC government has implemented measures to underscore the importance of the utilization of market forces for economic reform, the divestment of state ownership in productive assets and the establishment of improved corporate governance in business enterprises, a substantial portion of productive assets in China are still owned by the government. In addition, the PRC government continues to play a significant role in regulating industry development by imposing industrial policies. The PRC government also exercises significant control over China’s economic growth through strategically allocating resources, controlling payment of foreign currency-denominated obligations, setting monetary policy and providing preferential treatment to selected industries or companies. Furthermore, PRC government’s certain administrative measures in regulating (i) our operations and (ii) offerings conducted overseas by, and foreign investment in, China-based issuers, could significantly limit or completely hinder our ability to offer or continue to offer securities to investors and cause the value of such securities to significantly decline.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While the Chinese economy has experienced significant growth over the past decades, growth has been uneven, both geographically and among different sectors of the economy. The PRC government has implemented various measures to generate economic growth and strategically allocate resources. Some of these measures may benefit the Chinese economy overall, but may have a negative effect on us. Any slowdown in the Chinese economy may reduce the demand for our products and services and materially and adversely affect our business and results of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adversely affected by the complexity, uncertainties and changes in regulations of mainland China on automotive as well as internet-related businesses and companies.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operate in highly regulated industries. In particular, our vehicle manufacturing is subject to extensive regulations in China, including but not limited to regulations relating to manufacturing passenger vehicles, regulations on compulsory product certification, regulations on intelligent connected vehicles and autonomous driving, regulations on automobile sales, regulations on the recall of defective automobiles, regulation on import and export of goods, regulations on product liability and consumer protection, and regulations relating to battery recycling for electric vehicles, see “Item 4. Information on the Company—B. Business Overview—Regulations—PRC Government Regulations.” Several PRC regulatory authorities, such as the State Administration for Market Regulation, NDRC, the Ministry of Industry and Information Technology, and the Ministry of Commerce, oversee different aspects of our operations, including but not limited to:</w:t>
      </w:r>
    </w:p>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assessment of vehicle manufacturing enterprises;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admission of NEVs;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compulsory product certification;</w:t>
            </w:r>
          </w:p>
        </w:tc>
      </w:tr>
    </w:tbl>
    <w:tbl>
      <w:tblPr>
        <w:tblW w:w="2046" w:type="dxa"/>
        <w:jc w:val="left"/>
        <w:tblInd w:w="0" w:type="dxa"/>
        <w:tblLayout w:type="fixed"/>
        <w:tblCellMar>
          <w:top w:w="28" w:type="dxa"/>
          <w:left w:w="28" w:type="dxa"/>
          <w:bottom w:w="28" w:type="dxa"/>
          <w:right w:w="28" w:type="dxa"/>
        </w:tblCellMar>
      </w:tblPr>
      <w:tblGrid>
        <w:gridCol w:w="124"/>
        <w:gridCol w:w="256"/>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sales model;</w:t>
            </w:r>
          </w:p>
        </w:tc>
      </w:tr>
    </w:tbl>
    <w:tbl>
      <w:tblPr>
        <w:tblW w:w="2046" w:type="dxa"/>
        <w:jc w:val="left"/>
        <w:tblInd w:w="0" w:type="dxa"/>
        <w:tblLayout w:type="fixed"/>
        <w:tblCellMar>
          <w:top w:w="28" w:type="dxa"/>
          <w:left w:w="28" w:type="dxa"/>
          <w:bottom w:w="28" w:type="dxa"/>
          <w:right w:w="28" w:type="dxa"/>
        </w:tblCellMar>
      </w:tblPr>
      <w:tblGrid>
        <w:gridCol w:w="124"/>
        <w:gridCol w:w="256"/>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liabilities;</w:t>
            </w:r>
          </w:p>
        </w:tc>
      </w:tr>
    </w:tbl>
    <w:tbl>
      <w:tblPr>
        <w:tblW w:w="1836" w:type="dxa"/>
        <w:jc w:val="left"/>
        <w:tblInd w:w="0" w:type="dxa"/>
        <w:tblLayout w:type="fixed"/>
        <w:tblCellMar>
          <w:top w:w="28" w:type="dxa"/>
          <w:left w:w="28" w:type="dxa"/>
          <w:bottom w:w="28" w:type="dxa"/>
          <w:right w:w="28" w:type="dxa"/>
        </w:tblCellMar>
      </w:tblPr>
      <w:tblGrid>
        <w:gridCol w:w="124"/>
        <w:gridCol w:w="256"/>
        <w:gridCol w:w="1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vehicle;</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protection system; and</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safety and occupational health requirements.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obtain a wide range of government approvals, licenses, permits, and registrations in connection with our operations as well as to follow multiple mandatory standards or technical norms in our manufacturing and our vehicles. However, the interpretation of these regulations may change and new regulations may come into effect, which could disrupt or restrict our operations, reduce our competitiveness, or result in substantial compliance costs. For example, pursuant to the Administrative Rules on the Admission of New Energy Vehicle Manufacturers and Products which was promulgated by the Ministry of Industry and Information Technology on January 6, 2017 (with its latest amendment taking effect on September 1, 2020), our vehicles must meet the requirements set forth in the New Energy Vehicle Products Special Examination Project and Standards stipulated and amended by the Ministry of Industry and Information Technology from time to time based on the development of the NEV industry and its standards. In addition, certain filings must be made by automobile dealers through the information system for the national automobile circulation operated by the commerce department within 90 days after the receipt of a business license and the information must be updated within 30 days after the change of basic information recorded. Moreover, our direct sales model is relatively new and uncommon in the automotive industry, and there can be no assurance that this model will not be subject to further regulations. As we are expanding our sales and distribution network and setting up additional retail stores in China, we cannot assure you that we will be able to complete such filings in a timely manner. If any of our current or future sales subsidiaries or branches fail to make the necessary filings, such sales subsidiaries or branches may be subject to orders to promptly rectify the non-compliance or fines up to RMB10,000. Furthermore, the NEV industry is relatively new in China, and the PRC government has not adopted a clear regulatory framework to regulate the industry yet. As some of the laws, rules, and regulations that we may be subject to were primarily enacted with a view toward application to ICE vehicles, or are relatively new, there are significant uncertainties regarding their interpretation and application with respect to our business. We cannot assure you that we have satisfied or will continue to satisfy all of the laws, rules, and regulations in a timely manner or at all.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PRC regulatory authorities’ interpretation of such laws, rules, and regulations may change, which could materially and adversely affect the validity of the approvals, qualifications, licenses, permits, and registrations we obtained or completed. Any failure to comply may result in fines, restrictions, and limits on our operations, as well as suspension or revocation of certain certificates, approvals, permits, licenses, or filings we have already obtained or made.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PRC government imposes foreign ownership restriction and the licensing and permit requirements for companies in the internet industry. See “Item 4. Information on the Company — B. Business Overview — Regulations — PRC Government Regulations — Regulations on Foreign Investment in China” and “PRC Government Regulations — Regulations on Value-added Telecommunications Services.”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The approval of and/or filing with CSRC or other PRC government authorities may be required in connection with our future offshore offerings under PRC law, and, if required, we cannot predict whether or for how long we will be able to obtain such approval or complete such filing.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Regulations on Mergers and Acquisitions of Domestic Companies by Foreign Investors, or the M&amp;A Rules, adopted by six different PRC regulatory authorities in 2006 and amended in 2009, purports to require offshore special purpose vehicles that are controlled by PRC companies or individuals and that have been formed for the purpose of seeking a public listing on an overseas stock exchange through acquisitions of PRC domestic companies or assets to obtain an approval of the China Securities Regulatory Commission, or CSRC prior to publicly listing their securities on an overseas stock exchange. The interpretation and application of the regulations remain unclear, and our offshore offerings may ultimately require approval from CSRC. If CSRC approval is required, it is uncertain whether we are able to and how long it will take for us to obtain such approval, and, even if we obtain such CSRC approval, the approval could be rescinded. Any failure to obtain or any delay in obtaining CSRC approval for our listing, or a rescission of such approval may subject us to sanctions imposed by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has recently sought to exert more oversight and control over offerings that are conducted overseas or foreign investment in China-based issuers. The Opinions, among others, emphasizes the need to strengthen cross-border regulatory cooperation and the administration and supervision of China-based issuers, and to establish a comprehensive regulatory system for the application of PRC capital market laws and regulations outside China. On February 17, 2023, CSRC promulgated the Overseas Listing Filing Rules, which became effective on March 31, 2023. According to the Overseas Listing Filing Rules, the offering or listing of shares, depository receipts, convertible corporate bonds, or other equity-like securities by a PRC domestic company in an overseas stock market, whether directly or indirectly through an offshore holding company, should be filed with CSRC. If a PRC domestic company intends to complete a direct or indirect overseas (i) initial public offering and listing, or (ii) listing of shares in the name of an overseas enterprise on the basis of the equity, assets, income or other similar rights of the PRC domestic company through a single or multiple acquisitions, share swaps, shares transfers or other means, the issuer (if the issuer is a PRC domestic company) or its designated major PRC domestic operating entity (if the issuer is an offshore holding company), in each applicable event, the reporting entity, shall complete the filing procedures with CSRC within three business days after the issuer submits its application documents relating to the initial public offering and/or listing or after the first public announcement of the transaction (if the submission of application documents is not required). The determination of whether any offering or listing is “indirect” will be made on a “substance over form” basis. An offering or listing of an issuer will be considered as an overseas indirect offering or listing by PRC domestic companies if both of the following conditions are met with respect to such issuer: (i) the revenues, profit, total assets, or net assets of PRC domestic companies in the most recent fiscal year constitute more than 50% of the line item in the issuer’s audited consolidated financial statements for that year; and (ii) the majority of the senior management personnel responsible for its business operations and management are PRC citizens or have their ordinary residence in China, or if its main place of business is in China or if its business operation is primarily conducted in China. In addition, according to the Overseas Listing Filing Rules and a set of Q&amp;A published on CSRC’s official website in connection with the release of the Overseas Listing Filing Rules, if it is explicitly required (in the form of institutional rules) by any regulatory authority having jurisdiction over the industry and field that regulatory procedures should be performed prior to the overseas listing of a PRC domestic company, such company must obtain the regulatory opinion, approval and other documents from and complete any required filing with such competent authority before submitting a CSRC filing. The reporting entity shall make a timely report to CSRC and update its CSRC filing within three business days after the occurrence of any of the following material events, if any of them occurs after obtaining its CSRC filing and before the completion of the offering and/or listing: (i) any material change to principal business, licenses or qualifications of the issuer; (ii) a change of control of the issuer or any material change to equity structure of the issuer; and (iii) any material change to the offering and listing plan. Once listed overseas, the reporting entity will be further required to report the occurrence of any of the following material events within three business days after the occurrence and announcement thereof to CSRC: (i) a change of control of the issuer; (ii) the investigation, sanction or other measures undertaken by any foreign securities regulatory agencies or competent authorities in respect of the issuer; (iii) change of the listing status or transfer of the listing board; and (iv) the voluntary or mandatory delisting of the issuer. In addition, the completion of any overseas follow-on offerings by an issuer in the same overseas market where it has completed its public offering and listing would necessitate a filing with CSRC within three business days thereafter. Failure to comply with the applicable filing requirements may result in fines being imposed on the PRC domestic companies and their controlling shareholders and other responsible person. For more details of the Opinions and the Overseas Listing Filing Rules, see “Information about Lotus Tech—PRC Government Regulations—Regulations on Mergers and Acquisitions and Overseas Listing.”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Based on the Notice on Administration for the Filing of Overseas Offering and Listing by Domestic Companies published by CSRC on February 17, 2023, or the Notice on the Overseas Listing Filing, and the set of Q&amp;A which are in connection with the release of the Overseas Listing Filing Rules, CSRC clarifies that (i) on or prior to the effective date of the Overseas Listing Filing Rules, domestic companies that have already submitted valid applications for overseas offering and listing but have not obtained approval from overseas regulatory authorities or stock exchanges may reasonably arrange the timing for submitting their filing applications with CSRC, and must complete the filing before the completion of their overseas offering and listing; (ii) a transition period until September 30, 2023 will be granted to domestic companies which have already obtained the approval from overseas regulatory authorities or stock exchanges but have not completed the indirect overseas listing prior to the effective date of the Overseas Listing Filing Rules; if domestic companies fail to complete the overseas listing prior to September 30, 2023, they shall file with CSRC according to the requirements.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Further, according to the Overseas Listing Filing Rules, for an issuer which is already listed, it should make filing in accordance with the Overseas Listing Filing Rules if: (i) it issues additional convertible bonds, exchangeable bonds or preferred shares, (ii) it issues additional securities in the same overseas market, excluding securities issued for the purpose of implementing equity incentive, distribution of stock dividends, share split, etc., (iii) it issues additional securities in several offerings within its authorized scope; or (iv) it conducts a secondary listing or primary listing in any other overseas market. The reporting entity will also be required to report the occurrence of any of the following material events within three business days after the occurrence and announcement thereof to CSRC: (i) a change of control of the issuer; (ii) the investigation, sanction or other measures undertaken by any foreign securities regulatory agencies or competent authorities in respect of the issuer; (iii) change of the listing status or transfer of the listing board; and (iv) the voluntary or mandatory delisting of the issuer. In addition, the completion of any overseas follow-on offerings by an issuer in the same overseas market where it has completed its public offering and listing would necessitate a filing with CSRC within three business days thereafter.</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addition, on December 28, 2021, the Cyberspace Administration of China, or CAC and several other administrations jointly issued the revised Measures for Cybersecurity Review, which became effective and replaced the existing Measures for Cybersecurity Review on February 15, 2022. According to the revised measures, if an “online platform operator” that is in possession of personal data of more than one million users intends to list in a foreign country, it must apply for a cybersecurity review. Based on a set of Q&amp;A published on the official website of CAC in connection with the issuance of the revised measures, an official of CAC indicated that an online platform operator should apply for a cybersecurity review prior to the submission of its listing application with non-PRC securities regulators. After the receipt of all required application materials, the authorities must determine, within ten business days thereafter, whether a cybersecurity review will be initiated, and issue a written notice to the applicant of its determination. If a review is initiated and the authorities conclude after such review that the listing will affect national security, the listing of the applicant will be prohibited. Given the recency of the issuance of the revised measures, there is a general lack of guidance and substantial uncertainties exist with respect to its interpretation and implementation.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Additionally, the PRC Cybersecurity Law requires companies to implement certain organizational, technical and administrative measures and other necessary measures to ensure the security of their networks and data stored on their networks. Specifically, the Cybersecurity Law provides that China adopts a multi-level protection scheme, under which network operators are required to perform obligations of security protection to ensure that the network is free from interference, disruption or unauthorized access, and prevent network data from being disclosed, stolen or tampered. Under this scheme,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cybersecurity. The grading result will determine the set of security protection obligations that entities must comply with. Entities classified as Level 2 or above should report the grade to the government authority for examination and approval.</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September 24, 2024, the State Council of China published the Regulations on Network Data Security Administration, which became effective on January 1, 2025. These regulations provide that data processing operators engaging in network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24, 2023, CSRC and several other administrations jointly released the revised Provisions on Strengthening Confidentiality and Archiving Administration of Overseas Securities Offering and Listing by Domestic Companies, or the Archives Rules, which came into effect on March 31, 2023. The Archives Rules apply to both overseas direct offerings and overseas indirect offerings. The Archives Rules provides that, among other things, (i) in relation to the overseas listing activities of PRC domestic enterprises, the PRC domestic enterprises are required to strictly comply with the requirements on confidentiality and archives management, establish a sound confidentiality and archives system, and take necessary measures to discharge their confidentiality and archives management responsibilities; (ii) if a PRC domestic enterprise is required to publicly disclose or provide to any securities companies or other securities service providers or overseas regulators or individuals, any materials that contain state secrets or government work secrets (where there is ambiguity or dispute on whether it is state secret or government work secret, a request shall be submitted to the competent government authority for determination), during the course of its overseas offering or listing, the PRC domestic enterprise shall apply for approval from competent authorities and file with the secrecy administrative department at the same level; and (iii) working papers produced in China by securities companies and other securities service institutions, who provide such PRC domestic enterprises with securities services during their overseas issuance and listing, should be stored in the PRC, and the transmission of any such working papers to recipients outside China must be approved following the applicable PRC regulations.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have not been involved in any investigations on cybersecurity review initiated by CAC and we have not received any official inquiry, notice, warning, or sanctions regarding cybersecurity and overseas listing from CAC, CSRC or any other PRC authorities, except for official inquiries and notices received from CSRC during the process of the CSRC filing made in connection with (i) the Business Combination,(ii) the issuance of ADSs to Westwood under the ELOC Purchase Agreement entered into between LTC and Westwood on September 16, 2024, (iii) the issuance of the ATW 2025 CB, the Geely 2024 CB, the Geely 2025 CB, and the Geely 2</w:t>
      </w:r>
      <w:r>
        <w:rPr>
          <w:rFonts w:ascii="Times New Roman;Times;serif" w:hAnsi="Times New Roman;Times;serif"/>
          <w:sz w:val="15"/>
        </w:rPr>
        <w:t>nd</w:t>
      </w:r>
      <w:r>
        <w:rPr>
          <w:rFonts w:ascii="Times New Roman;Times;serif" w:hAnsi="Times New Roman;Times;serif"/>
          <w:sz w:val="20"/>
        </w:rPr>
        <w:t xml:space="preserve"> 2025 CB, and (iv) the issuance of ADSs to ECARX Holdings Inc. pursuant to the share subscription agreement entered into between LTC and ECARX Holdings Inc. on December 23, 2025. However, given (i) the uncertainties with respect to the enactment, implementation, and interpretation of the Overseas Listing Filing Rules and laws and regulations relating to data security, privacy, and cybersecurity; and (ii) that the PRC government authorities have significant discretion in interpreting and implementing statutory provisions in general, it cannot be assured that the PRC government authorities will not take a contrary position or adopt different interpretations, or that there will not be changes in the regulatory landscape. In other words, a cybersecurity review and the approval from or filing with CSRC, CAC, or other government authorities may be required in connection with our future offshore offering.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(i) we do not receive or maintain any required permission, or fail to complete any required review or filing, (ii) we inadvertently conclude that such permission, review or filing is not required, or (iii) applicable laws, regulations, or interpretations change such that it becomes mandatory for us to obtain any permission, review or filing in the future, we may have to expend significant time and costs to comply with these requirements. If we are unable to do so, on commercially reasonable terms, in a timely manner or otherwise, we may become subject to sanctions imposed by the PRC regulatory authorities, which could include fines and penalties, proceedings against us, and other forms of sanctions, and our ability to conduct our business, invest into China as foreign investments or accept foreign investments, or list on a U.S. or other overseas exchange may be restricted, and our business, reputation, financial condition, and results of operations may be materially and adversely affected. Further, our ability to offer or continue to offer securities to investors may be significantly limited or completely hindered, and the value of our securities may significantly decline.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PCAOB had historically been unable to inspect our auditor in relation to their audit work.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an auditor of companies that are traded publicly in the U.S. and a firm registered with the PCAOB, is subject to laws in the U.S.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securities would be deprived of the benefits of such PCAOB inspections, which could cause investors and potential investors in the securities to lose confidence in our audit procedures and reported financial information and the quality of our financial statements.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Our securities may be prohibited from trading in the U.S. under the HFCAA if the PCAOB is unable to inspect or investigate completely auditors located in China. The delisting of our securities, or the threat of their being delisted, may materially and adversely affect the value of your investment.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U.S. 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 For this reason, we do not expect to be so identified after we file this annual report on Form 20-F for the fiscal year ended December 31, 2025.</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U.S. if we are identified as a Commission-Identified Issuer for two consecutive years in the future. If our securities are prohibited from trading in the U.S., there is no certainty that we will be able to list on a non-U.S. exchange or that a market for our shares will develop outside of the U.S. A prohibition of being able to trade in the U.S.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on terms acceptable to us, or at all, which would have a material adverse impact on our business, financial condition, and prospects.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China’s M&amp;A Rules and certain other regulations establish complex procedures for certain acquisitions of PRC companies by foreign investors, which could make it more difficult for us to pursue growth through acquisitions in China.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number of laws and regulations of mainland China have established procedures and requirements that could make merger and acquisition activities in China by foreign investors more time consuming and complex. In addition to the Anti-monopoly Law itself, these include the M&amp;A Rules, the Rules of the Ministry of Commerce on Implementation of Security Review System of Mergers and Acquisitions of Domestic Enterprises by Foreign Investors, or the Security Review Rules, promulgated in 2011, and the Measures for the Security Review of Foreign Investment promulgated by NDRC and the Ministry of Commerce in December 2020 which came into force on January 18, 2021. These laws and regulations impose requirements in some instances that the Ministry of Commerce be notified in advance of any change-of-control transaction in which a foreign investor takes control of a PRC domestic enterprise. In addition, pursuant to anti-monopoly laws and regulations, the State Administration for Market Regulation should be notified in advance of any concentration of undertaking if certain thresholds are triggered, and the State Administration for Market Regulation clearance is required to be obtained before completion of such transactions. In light of the uncertainties relating to the interpretation, implementation and enforcement of the PRC anti-monopoly laws and regulations, we cannot assure you that the anti-monopoly law enforcement agency will not deem our future acquisitions or investments to have triggered filing requirement for anti-monopoly review.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NDRC and the Ministry of Commerce, and prohibit any attempt to bypass a security review, including by structuring the transaction through a proxy or contractual control arrangement.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the future, we may grow our business by acquiring complementary businesses. Complying with the requirements of the regulations to complete such transactions could be time consuming, and any required approval processes, including clearance from the State Administration for Market Regulation and approval from the Ministry of Commerce or other PRC government authorities, may delay or inhibit our ability to complete such transactions, which could affect our ability to expand our business or maintain our market share.</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Substantial uncertainties exist with respect to the interpretation and implementation of newly enacted 2019 PRC Foreign Investment Law and its Implementation Rules.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PRC National People’s Congress approved the 2019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The 2019 PRC Foreign Investment Law and its Implementation Rules embody a regulatory trend in China that aims to bring its foreign investment regulatory regime in line with prevailing international practices, and represent the legislative endeavors to unify corporate legal requirements applicable to foreign and domestic investments. However, since the 2019 PRC Foreign Investment Law and its Implementation Rules are relatively new, substantial uncertainties exist with respect to their interpretations and implementations.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2019 PRC Foreign Investment Law specifies that foreign investments shall be conducted in line with the “negative list” to be issued by or approved to be issued by the State Council. A foreign invested enterprise would not be allowed to make investments in prohibited industries set out in the “negative list” while a foreign invested enterprise must satisfy certain conditions stipulated in the “negative list” for investment in restricted industries. None of our PRC subsidiaries or affiliates are currently subject to foreign investment restrictions as set forth in the presently effective Special Administrative Measures for Entry of Foreign Investment (Negative List) (2024 Version), or the 2024 Negative List. It is uncertain whether any of our business operations will be subject to foreign investment restrictions or prohibitions set forth in any subsequent or future “negative list.” If any part of our business operations falls within the scope of the “negative list” or if the interpretation and implementation of the 2019 PRC Foreign Investment Law and any future “negative list” mandates further actions, such as market entry clearance granted by the Ministry of Commerce, we face uncertainties as to whether such clearance can be obtained in a timely manner, or at all. We cannot assure you that the governmental authorities will not interpret or implement the 2019 PRC Foreign Investment Law in the future in a way that will materially impact the viability of our current corporate governance and business operations.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 of loans to and direct investment in PRC entities by offshore holding companies and governmental control of currency conversion may delay or prevent us from making loans to or make additional capital contributions to our PRC subsidiaries, which could materially and adversely affect our liquidity and our ability to fund and expand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an offshore holding company conducting our operations in China primarily through our PRC subsidiaries. We may make additional capital contributions or loans to our PRC subsidiaries, which are treated as foreign invested enterprises under laws of mainland China. Any loans by us to our PRC subsidiaries are subject to regulations and foreign exchange loan registrations in mainland China. For example, with respect to the registration, loans by us to our PRC subsidiaries to finance their activities cannot exceed statutory limits and must be registered with the local counterpart of the PRC State Administration of Foreign Exchange, or SAFE, or filed with SAFE in its information system; with respect to the outstanding amounts of loans, (i) if the PRC subsidiaries adopt the traditional foreign exchange administration mechanism, the outstanding amount of loans shall not exceed the difference between the total investment and the registered capital of the PRC subsidiaries; and (ii) if the PRC subsidiaries adopt the relatively new foreign debt mechanism, the risk-weighted outstanding amount of loans shall not exceed 350% (which may vary due to changes in national macro-control policy in China) of the net asset of the PRC subsidiaries. We may also finance our PRC subsidiaries by means of capital contributions. These capital contributions must be registered with the State Administration for Market Regulation or its local counterparts, and shall be concurrently reported to the Ministry of Commerce through its information reporting and submission system.</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Circular on the Reforming of the Management Method of the Settlement of Foreign Currency Capital of Foreign-Invested Enterprises, or SAFE Circular 19 (with its latest amendment taking effect on March 23, 2023), and the Circular of the State Administration of Foreign Exchange on Reforming and Regulating Policies on the Control over Foreign Exchange Settlement of Capital Accounts, or SAFE Circular 16, which was promulgated in June 2016 (with its latest amendment taking effect on December 4, 2023), foreign-invested enterprises may either continue to follow the current payment-based foreign currency settlement system or choose to follow the “conversion-at-will” system for foreign currency settlement. SAFE Circular 19 and SAFE Circular 16, therefore, have substantially lifted the restrictions on the use by a foreign-invested enterprise of its RMB registered capital, foreign debt and repatriated funds raised through overseas listing converted from foreign currencies. Nevertheless, SAFE Circular 19 and SAFE Circular 16 reiterate the principle that RMB converted from the foreign currency-denominated capital of a foreign invested company may not be directly or indirectly used for purposes beyond its business scope and prohibit foreign-invested companies from using such RMB fund to provide loans to persons other than affiliates unless otherwise permitted under their business scopes.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laws and regulations of mainland China, we are permitted to utilize the proceeds from any financing outside China to fund our PRC subsidiaries by making loans to or additional capital contributions to our PRC subsidiaries, subject to applicable government registration, statutory limitations on amount and approval requirements. These laws and regulations of mainland China may significantly limit our ability to use RMB converted from the net proceeds of any financing outside China to fund the establishment of new entities in China by our PRC subsidiaries, to invest in or acquire any other PRC companies through our PRC subsidiaries.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regulations of mainland China permit our PRC subsidiaries to pay dividends to us only out of their accumulated after-tax profits upon satisfaction of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reached 50% of its registered capital. For a detailed discussion of applicable regulations of mainland China governing distribution of dividends, see “Item 4. Information on the Company—B. Business Overview—Regulations—PRC Government Regulations—Regulation on Dividend Distribution.”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Additionally, if our PRC subsidiaries incur debt in the future, the instruments governing their debt may restrict their ability to pay dividends or make other distributions to us. In addition, the incurrence of indebtedness by our PRC subsidiaries could result in operating and financing covenants and undertakings to creditors that would restrict the ability of our PRC subsidiaries to pay dividends to 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Uncertainties with respect to the legal system and changes in laws and regulations in mainland China could adversely affect 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primarily through our mainland China subsidiaries. Our operations in mainland China are governed by laws and regulations of mainland China. Our mainland China subsidiaries are subject to laws and regulations applicable to foreign investment in mainland China. The legal system of mainland China is a civil law system based on written statutes. Unlike the common law system, prior court decisions under the civil law system may be cited for reference but have limited precedential value.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laws and regulations of mainland China have significantly enhanced the protections afforded to various forms of foreign investments in mainland China for the past decades. However, because certain recently enacted laws and regulations are relatively new, and because of the limited volume of published decisions and their nonbinding nature, the interpretation and enforcement of these laws and regulations involve uncertainties.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Furthermore, the legal system of mainland China is based in part on government policies, some of which are not published or not published on a timely basis, and can change quickly with little advance notice. As a result, we may not be aware of our potential violation of such policies and rules.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PRC government has complex regulatory requirements on the conduct of our business and it has recently promulgated certain regulations and rules to exert more oversight and control over offerings that are conducted overseas and/or foreign investment in mainland China-based issuers. Such action could significantly limit or completely hinder our ability to offer or continue to offer securities to investors and cause the value of such securities to significantly decline.</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Increases in labor costs and enforcement of stricter labor laws and regulations in China may adversely affect our business and our profitability.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China’s overall economy and the average wage in China have increased in recent years and are expected to continue to grow. The average wage level for our employees has also increased in recent years. We expect that our labor costs, including wages and employee benefits, will increase. Unless we are able to pass on these increased labor costs to those who pay for our products and services, our profitability and results of operations may be materially and adversely affected.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00"/>
        <w:ind w:left="0" w:right="0" w:firstLine="720"/>
        <w:jc w:val="both"/>
        <w:rPr>
          <w:rFonts w:ascii="Times New Roman;Times;serif" w:hAnsi="Times New Roman;Times;serif"/>
          <w:sz w:val="20"/>
        </w:rPr>
      </w:pPr>
      <w:r>
        <w:rPr>
          <w:rFonts w:ascii="Times New Roman;Times;serif" w:hAnsi="Times New Roman;Times;serif"/>
          <w:sz w:val="20"/>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pStyle w:val="TextBody"/>
        <w:bidi w:val="0"/>
        <w:spacing w:lineRule="atLeast" w:line="220" w:before="0" w:after="200"/>
        <w:ind w:left="0" w:right="0" w:firstLine="720"/>
        <w:jc w:val="both"/>
        <w:rPr>
          <w:rFonts w:ascii="Times New Roman;Times;serif" w:hAnsi="Times New Roman;Times;serif"/>
          <w:sz w:val="20"/>
        </w:rPr>
      </w:pPr>
      <w:r>
        <w:rPr>
          <w:rFonts w:ascii="Times New Roman;Times;serif" w:hAnsi="Times New Roman;Times;serif"/>
          <w:sz w:val="20"/>
        </w:rPr>
        <w:t>Companies registered and operating in China are required under the PRC Social Insurance Law (latest amended in 2018) and the Regulations on the Administration of Housing Funds (latest amended in 2019) to, apply for social insurance registration and housing fund deposit registration within 30 days of their establishment, and to pay for their employees different social insurances including pension insurance, medical insurance, work-related injury insurance, unemployment insurance, maternity insurance, and housing provident funds to the extent required by law.</w:t>
      </w:r>
    </w:p>
    <w:p>
      <w:pPr>
        <w:pStyle w:val="TextBody"/>
        <w:bidi w:val="0"/>
        <w:spacing w:lineRule="atLeast" w:line="220" w:before="0" w:after="200"/>
        <w:ind w:left="0" w:right="0" w:firstLine="720"/>
        <w:jc w:val="both"/>
        <w:rPr>
          <w:rFonts w:ascii="Times New Roman;Times;serif" w:hAnsi="Times New Roman;Times;serif"/>
          <w:sz w:val="20"/>
        </w:rPr>
      </w:pPr>
      <w:r>
        <w:rPr>
          <w:rFonts w:ascii="Times New Roman;Times;serif" w:hAnsi="Times New Roman;Times;serif"/>
          <w:sz w:val="20"/>
        </w:rPr>
        <w:t>As the interpretation and implementation of labor-related laws and regulations are still evolving, our employment practices may violate labor-related laws and regulations in China, which may subject us to labor disputes, government investigations, and imposition of sanctions. We cannot assure you that we have complied or will be able to comply with all labor-related law and regulations including those relating to obligations to make full social insurance payments and contribute to the housing provident funds. If we are found to have violated applicable labor laws and regulations, we could be required to provide additional compensation to our employees and our business, financial condition and results of operations could be adversely affected.</w:t>
      </w:r>
    </w:p>
    <w:p>
      <w:pPr>
        <w:pStyle w:val="TextBody"/>
        <w:bidi w:val="0"/>
        <w:spacing w:lineRule="atLeast" w:line="220" w:before="0" w:after="200"/>
        <w:ind w:left="0" w:right="0" w:hanging="0"/>
        <w:jc w:val="both"/>
        <w:rPr>
          <w:rFonts w:ascii="Times New Roman;Times;serif" w:hAnsi="Times New Roman;Times;serif"/>
          <w:b/>
          <w:i/>
          <w:sz w:val="20"/>
        </w:rPr>
      </w:pPr>
      <w:r>
        <w:rPr>
          <w:rFonts w:ascii="Times New Roman;Times;serif" w:hAnsi="Times New Roman;Times;serif"/>
          <w:b/>
          <w:i/>
          <w:sz w:val="20"/>
        </w:rPr>
        <w:t>You may experience difficulties in effecting service of legal process, enforcing foreign judgments or bringing actions in China against us or our management based on foreign laws.</w:t>
      </w:r>
    </w:p>
    <w:p>
      <w:pPr>
        <w:pStyle w:val="TextBody"/>
        <w:bidi w:val="0"/>
        <w:spacing w:lineRule="atLeast" w:line="220" w:before="0" w:after="20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We conduct a substantial portion of our operations in China, and a substantial portion of our assets are located in China. As a result, it may be difficult for our shareholders to effect service of process upon us or those persons inside China. In addition, mainland China does not have treaties providing for the reciprocal recognition and enforcement of judgments of courts with the Cayman Islands and many other countries and regions. Therefore, recognition and enforcement in mainland China of judgments of a court in any of these non-PRC jurisdictions in relation to any matter not subject to a binding arbitration provision may be difficult or impossible.</w:t>
      </w:r>
    </w:p>
    <w:p>
      <w:pPr>
        <w:pStyle w:val="TextBody"/>
        <w:bidi w:val="0"/>
        <w:spacing w:lineRule="atLeast" w:line="220" w:before="0" w:after="200"/>
        <w:ind w:left="0" w:right="0" w:hanging="0"/>
        <w:jc w:val="both"/>
        <w:rPr>
          <w:rFonts w:ascii="Times New Roman;Times;serif" w:hAnsi="Times New Roman;Times;serif"/>
          <w:b/>
          <w:i/>
          <w:sz w:val="20"/>
        </w:rPr>
      </w:pPr>
      <w:r>
        <w:rPr>
          <w:rFonts w:ascii="Times New Roman;Times;serif" w:hAnsi="Times New Roman;Times;serif"/>
          <w:b/>
          <w:i/>
          <w:sz w:val="20"/>
        </w:rPr>
        <w:t>Fluctuations in exchange rates could have a material and adverse effect on our results of operations.</w:t>
      </w:r>
    </w:p>
    <w:p>
      <w:pPr>
        <w:pStyle w:val="TextBody"/>
        <w:bidi w:val="0"/>
        <w:spacing w:lineRule="atLeast" w:line="220" w:before="0" w:after="200"/>
        <w:ind w:left="0" w:right="0" w:firstLine="720"/>
        <w:jc w:val="both"/>
        <w:rPr>
          <w:rFonts w:ascii="Times New Roman;Times;serif" w:hAnsi="Times New Roman;Times;serif"/>
          <w:sz w:val="20"/>
        </w:rPr>
      </w:pPr>
      <w:r>
        <w:rPr>
          <w:rFonts w:ascii="Times New Roman;Times;serif" w:hAnsi="Times New Roman;Times;serif"/>
          <w:sz w:val="20"/>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pStyle w:val="TextBody"/>
        <w:bidi w:val="0"/>
        <w:spacing w:lineRule="atLeast" w:line="220" w:before="0" w:after="200"/>
        <w:ind w:left="0" w:right="0" w:firstLine="720"/>
        <w:jc w:val="both"/>
        <w:rPr>
          <w:rFonts w:ascii="Times New Roman;Times;serif" w:hAnsi="Times New Roman;Times;serif"/>
          <w:sz w:val="20"/>
        </w:rPr>
      </w:pPr>
      <w:r>
        <w:rPr>
          <w:rFonts w:ascii="Times New Roman;Times;serif" w:hAnsi="Times New Roman;Times;serif"/>
          <w:sz w:val="20"/>
        </w:rPr>
        <w:t>There remains significant international pressure on the PRC government to adopt a more flexible currency policy. Any significant appreciation or depreciation of RMB may materially and adversely affect our revenues, earnings and financial position, and the value of, and any dividends payable on, our securities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securities.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Very limited hedging options are available in mainland China to reduce our exposure to exchange rate fluctuations. To date, we have not entered into any hedging transactions to reduce our exposure to foreign currency exchange risk except for certain swap transactions entered into with financial institutions in connection with certain US$ denominated loans extended to us by these financial institutions. While we may decide to enter into hedging transactions in the future, the availability and effectiveness of these hedges may be limited and we may not be able to adequately hedge our exposure or at all. In addition, our currency exchange losses may be magnified by exchange control regulations in mainland China that restrict our ability to convert RMB into foreign currency. As a result, fluctuations in exchange rates may have a material adverse effect on your investment.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Moreover, certain monetary amounts described in this annual report have been expressed in U.S. dollars for convenience only and, when expressed in U.S. dollars in the future, such amounts may be different from those set forth herein due to intervening exchange rate fluctuations.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Governmental control of currency conversion may limit our ability to utilize our revenues effectively.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imposes controls on the convertibility of RMB into foreign currencies and, in certain cases, the remittance of currency out of China. Under existing foreign exchange regulations in mainland China,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RMB is to be converted into a foreign currency and remitted out of China to pay capital expenses, such as the repayment of loans denominated in foreign currencies. See “Item 4. Information on the Company—B. Business Overview—Regulations—PRC Government Regulations—Regulations on Foreign Exchange.”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a portion of our revenues in RMB. If the foreign exchange control system prevents us from obtaining sufficient foreign currencies to satisfy our foreign currency demands, we may not be able to pay dividends in foreign currencies to our shareholder.</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Regulations of mainland China relating to offshore investment activities by PRC residents may limit our PRC subsidiaries’ ability to increase their registered capital or distribute profits to us or otherwise expose us or our PRC resident beneficial owners to liability and penalties under laws of mainland China.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Company—B. Business Overview—Regulations—PRC Government Regulations—Regulations on Foreign Exchange—Offshore Investment by PRC Residents.”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our direct or indirect stakeholders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laws and regulations in mainland China for evasion of applicable foreign exchange restrictions.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obtain, and update any applicable registrations or obtain any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Any failure to comply with regulations of mainland China regarding the registration requirements for employee stock incentive plans may subject the PRC plan participants or us to fines and other legal or administrative sanctions.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SAFE regulations, PRC residents who participate in a stock incentive plan in an overseas publicly listed company are required to register with SAFE or its local branches and complete certain other procedures. See “Item 4. Information on the Company—B. Business Overview—Regulations— PRC Government Regulations—Regulations on Employment and Social Welfare—Employee Stock Incentive Plan.” We and our PRC resident employees who participate in our share incentive plans are subject to these regulations since we became a public company listed in the U.S.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laws of mainland China.</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Discontinuation of any of the preferential tax treatments and government subsidies or imposition of any additional taxes and surcharges could adversely affect our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PRC subsidiaries have received various financial subsidies from PRC local government authorities. In 2025, 2024 and 2023, we recorded government grants of US$5.1 million, US$8.6 million and US$4.1 million, respectively. The financial subsidies result from discretionary incentives and policies adopted by PRC local government authorities. Local governments may decide to change or discontinue such financial subsidies at any time, or require us to repay part or all of the financial subsidies we previously received. The discontinuation, reduction, or repayment of such financial subsidies or imposition of any additional taxes could adversely affect our financial condition and results of operations.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If we are classified as a PRC resident enterprise for PRC income tax purposes, such classification could result in unfavorable tax consequences to us and our non-PRC shareholders.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China with a “de facto management body” within China is considered a PRC resident enterprise. The implementation rules define the term “de facto management body” as the body that exercises full and substantial control over and overall management of the business, productions, personnel, accounts and properties of an enterprise. The State Administration of Taxation, issued a circular in April 2009 and amended it in January 2014,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we may be required to withhold a 10% withholding tax from interest or dividends we pay to our shareholders that are non-PRC resident enterprises. In addition, non-PRC resident enterprise shareholders may be subject to PRC tax at a rate of 10% on gains realized on the sale or other disposition of ordinary shares, if such income is treated as sourced from within the PRC. Furthermore, if PRC tax authorities determine that we are a PRC resident enterprise for enterprise income tax purposes, interest or dividends paid to our non-PRC individual shareholders and any gain realized on the transfer of ordinary shares by such holders may be subject to PRC tax at a rate of 20% (which, in the case of interest or dividends, may be withheld at source by us), if such gains are deemed to be from PRC sources. These rates may be reduced by an applicable tax treaty, but it is unclear whether our non-PRC shareholders would be able to claim the benefits of any tax treaties between their country of tax residence and the PRC in the event that we are treated as a PRC resident enterprise.</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may not be able to obtain certain benefits under tax treaties on dividends paid by our PRC subsidiaries to us through our Hong Kong subsidiary.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Treaties, which became effective in January 2020, require non-resident enterprises to determine whether they are qualified to enjoy the preferential tax treatment under tax treaties and file report and materials with the tax authorities. There are also other conditions for enjoying the reduced withholding tax rate according to other tax rules and regulations. See “Item 4. Information on the Company—B. Business Overview—Regulations— PRC Government Regulations—Regulations on Taxation.”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tax authority and we may not be able to complete the necessary filings with the tax authority and enjoy the preferential withholding tax rate of 5% under the arrangement with respect to dividends to be paid by our PRC subsidiaries to our Hong Kong subsidiary.</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face uncertainty with respect to indirect transfers of equity interests in PRC resident enterprises by their non-PRC holding companies.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February 2015, the State Administration of Taxation issued the Circular on Issues of Enterprise Income Tax on Indirect Transfers of Assets by Non-PRC Resident Enterprises, or SAT Circular 7. SAT Circular 7 extends its tax jurisdiction to not only indirect transfers but also transactions involving transfer of other taxable assets, through the offshore transfer of a foreign intermediate holding company. In addition, SAT Circular 7 provides certain criteria on how to assess reasonable commercial purposes and has introduced safe harbors for internal group restructurings and the purchase and sale of equity through a public securities market. SAT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State Administration of Taxation issued Circular on Issues of Tax Withholding regarding Non-PRC Resident Enterprise Income Tax, or Circular 37, which came into effect on December 1, 2017 and was amended on June 15, 2018. Circular 37 further clarifies the practice and procedure of the withholding of nonresident enterprise income tax.</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non-PRC resident enterprises with respect to a filing or the transferees with respect to withholding obligations, and request our PRC subsidiaries to assist in the filing. As a result, we and non-PRC resident enterprises in such transactions may become at risk of being subject to filing obligations or being taxed under SAT Circular 7 and Circular 37, and may be required to expend valuable resources to comply with them or to establish that we and our non-PRC resident enterprises should not be taxed under these regulations, which may have a material adverse effect on our financial condition and results of operations.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laws of mainland China, legal documents for corporate transactions are executed using the chops or seal of the signing entity or with the signature of a legal representative whose designation is registered and filed with the State Administration for Market Regulation.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Although we usually utilize chops to enter into contracts, the designated legal representatives of each of our PRC subsidiaries have the apparent authority to enter into contracts on behalf of such entities without chops and bind such entities. In order to maintain the physical security of our chops and chops of our PRC entities, we generally store these items in secured locations accessible only by the authorized personnel in the legal or finance department of each of our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entities and experience significant disruption to our operations. If a designated legal representative acts in a manner contrary to the interests of any of our PRC subsidiaries, or obtains control of the chops in an effort to obtain control over any of our PRC subsidiaries, we or our PRC subsidiaries would need to pass a new shareholders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legal representative and acts in good faith.</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Our leased property interest or entitlement to other facilities or assets may be defective or subject to lien and our right to lease, own or use the properties affected by such defects or lien challenged, which could cause significant disruption to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laws of mainland China, all lease agreements are required to be registered with the local housing authorities. We presently lease several premises in China, some of which have not completed the registration of the ownership rights or the registration of our leases with the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Some of the ownership certificates or other similar proof of certain leased properties have not been provided to us by the lessors. Therefore, we cannot assure you that such lessors are entitled to lease the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Meanwhile, registered mortgage of property right exists over certain leased properties before such properties are leased to some of our PRC subsidiaries. In addition, some registered addresses of PRC subsidiaries are inconsistent with the actual operating addresses, and since the ownership certificates of certain leased properties have not been provided to us by the lessors, we cannot make sure whether the actual uses of such lands leased to some of our PRC subsidiaries are inconsistent with the planned use indicated on the ownership certificates of such lands. If our lease agreements are claimed as null and void by third parties who are the real owners of such leased real properties, we could be required to vacate the properties, in the event of which we could only initiate the claim against the lessors under lease agreements for indemnities for their breach of the leasing agreements. In addition, we may not be able to renew our existing lease agreements before their expiration dates, in which case we may be required to vacate the properties. We cannot assure you that suitable alternative locations are readily available on commercially reasonable terms, or at all, and if we are unable to relocate our operations in a timely manner, our operations may be adversely affected.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are subject to regulations of mainland China regarding cybersecurity, privacy, data protection and information security. Any privacy or data security breach or any failure to comply with these laws and regulations could damage our reputation and brand, result in negative publicity, legal proceedings, increased cost of operations, warnings, fines, service or business suspension, confiscation of illegal gains, revocation of business permits or licenses, or otherwise harm our business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operations in China are subject to a variety of laws and regulations of mainland China covering cybersecurity, privacy, data protection and information security and the PRC governmental authorities have recently heightened their supervision on the protection of data security by initiating investigations on certain PRC companies regarding their cybersecurity and use of personal information and data, and enacted and implemented laws and regulations and proposed additional regulatory agenda concerning data protection and privacy, under which internet service providers and other network operators are required to, amongst others, clearly indicate the purposes, methods and scope of any information collection and usage, to obtain appropriate user consent, to establish user information protection systems with appropriate remedial measures and to address national security concerns. For a comprehensive discussion on the aforementioned laws and regulations, see “Item 4. Information on the Company—B. Business Overview—Regulations— PRC Government Regulations—Regulations on Cyber Security and Privacy Protection.”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expect that PRC operations in the areas referenced above will receive greater public scrutiny and attention from regulators and more frequent and rigid investigation or review by regulators, which will increase our compliance costs and subject us to heightened risks. We are closely monitoring the development in the regulatory landscape and we are constantly in the process of evaluating the potential impact of the PRC Cybersecurity Law, the Civil Code, the Data Security Law, the Personal Information Protection Law and other laws and regulations on our current business practices. It also remains uncertain whether any future regulatory changes would impose additional restrictions on companies like us. If further changes to our business practices are required under the evolving regulatory framework governing cybersecurity, information security, privacy and data protection in China, our business, financial condition and results of operations may be adversely affected.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had not been informed that we are a critical information infrastructure operator or a “data handler” carrying out data processing activities that affect or may affect national security by any governmental authorities, and it is uncertain whether we would be categorized as such under laws of mainland China. As of the date of this annual report, we had not been involved in any investigations on cybersecurity review made by CAC and we have not received any official inquiry, notice, warning, or sanctions in this respect. We cannot rule out the possibility that the foregoing measures may be enacted, interpreted or implemented in ways that will negatively affect us. There is also no assurance that we would be able to accomplish any review (including the cybersecurity review), obtain any approval, complete any procedures, or comply with any other requirements applicable to us in a timely manner, or at all, if we are subject to the same. In the event of non-compliance, we may be subject to government investigations and enforcement actions, fines, penalties, and suspension of our noncompliant operations, among other sanctions, which could materially and adversely affect our business and results of operations.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Our business may be negatively affected by the potential obligations if we fail to comply with social insurance and housing provident fund related laws and regulations.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required by PRC labor laws and regulations to pay various statutory employee benefits, including pensions insurance, medical insurance, work-related injury insurance, unemployment insurance, maternity insurance and housing provident fund, to designated government agencies for the benefit of our employees and associates. In October 2010, the PRC Standing Committee of the National People’s Congress promulgated the Social Insurance Law of PRC, effective on July 1, 2011 and amended on December 29, 2018. On April 3, 1999, the State Council promulgated the Regulations on the Administration of Housing Provident Fund, which was amended on March 24, 2002 and March 24, 2019. Companies registered and operating in China are required under the Social Insurance Law of PRC and the Regulations on the Administration of Housing Provident Fund to apply for social insurance registration and housing provident fund deposit registration within 30 days of their establishment and to pay for their employees different social insurance including pension insurance, medical insurance, work-related injury insurance, unemployment insurance and maternity insurance to the extent required by law. We could be subject to orders by competent labor authorities for rectification if we fail to comply with such social insurance and housing provident fund related laws and regulations, and failure to comply with the orders may further subject us to administrative fines. The government agencies may examine whether an employer has made adequate payments of the requisite statutory employee benefits, and employers who fail to make adequate payments may be subject to late payment fees, fines and/or other penalties. If the PRC authorities determine that we shall make supplemental social insurance and housing provident fund contributions or that we are subject to fines and legal sanctions in relation to our failure to make social insurance and housing provident fund contributions in full for our employees, our business, financial condition and results of operations may be adversely affected.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Risks Relating to Intellectual Property and Legal Proceedings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may need to defend ourselves against intellectual property right infringement, misappropriation, or other claims, which may be time-consuming and would cause us to incur substantial costs.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Entities or individuals, including our competitors, may hold or obtain patents, copyrights, trademarks, or other proprietary rights that would prevent, limit, or interfere with our ability to make, use, develop, sell, or market our products, services, or technologies, which could make it more difficult for us to operate our business. From time to time, we may receive communications from intellectual property right holders regarding their proprietary rights. Companies holding patents or other intellectual property rights may bring suits alleging infringement, misappropriation, or other violation of such rights or otherwise assert their rights and urge us to take licenses. Our applications and uses of intellectual property relating to our design, software, or technologies could be found to infringe upon, misappropriate or otherwise violate existing intellectual property rights. If we are determined to have infringed upon, misappropriated or otherwise violated a third party’s intellectual property rights, we may be required to do one or more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selling or incorporating certain components into our products or services, or offering products or services that incorporate or use the challenged intellectual property;</w:t>
            </w:r>
          </w:p>
        </w:tc>
      </w:tr>
    </w:tbl>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 license from the holder of the infringed intellectual property right, which may not be available on reasonable terms or at all;</w:t>
            </w:r>
          </w:p>
        </w:tc>
      </w:tr>
    </w:tbl>
    <w:tbl>
      <w:tblPr>
        <w:tblW w:w="2556" w:type="dxa"/>
        <w:jc w:val="left"/>
        <w:tblInd w:w="0" w:type="dxa"/>
        <w:tblLayout w:type="fixed"/>
        <w:tblCellMar>
          <w:top w:w="28" w:type="dxa"/>
          <w:left w:w="28" w:type="dxa"/>
          <w:bottom w:w="28" w:type="dxa"/>
          <w:right w:w="28" w:type="dxa"/>
        </w:tblCellMar>
      </w:tblPr>
      <w:tblGrid>
        <w:gridCol w:w="124"/>
        <w:gridCol w:w="256"/>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products; or</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alternative branding for our products and services.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We may not be able to obtain any required license on commercially reasonable terms, or at all. Even if we are able to obtain a license, it could be non-exclusive, thereby giving our competitors access to the same technologies licensed to us and could require us to pay significant royalties and other fees. In the event of a successful claim of infringement, misappropriation or other violation of intellectual property rights against us and our subsequent failure or inability to obtain a license for such technology or other intellectual property right, our business, financial condition, results of operations, and prospects could be materially and adversely affected. In addition, parties making such claims may also obtain an injunction that can prevent us from selling our products or using technology that contains contents that allegedly violate their intellectual property rights. Any litigation or claims, whether or not valid, could result in substantial costs, negative publicity, and diversion of resources and management attention.</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may not be able to prevent others from unauthorized use of our intellectual property, which could harm our business and competitive position.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We regard our trademarks, service marks, patents, copyrights,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 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 Additionally, certain unauthorized use of our intellectual property may go undetected, or we may face legal or practical barriers to enforcing our legal rights even where unauthorized use is detected.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Implementation and enforcement of laws relating to intellectual property have historically been deficient and ineffective. Accordingly, protection of intellectual property rights in China may not be as effective as in the U.S. or other developed countries.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may not be able to adequately obtain or maintain our proprietary and intellectual property rights in our data or technology.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cannot guarantee our employees, consultants, or other parties will comply with confidentiality, non-disclosure, or invention assignment agreements or that such agreements will otherwise be effective in controlling access to and distribution of our products and services, or certain aspects of our products and services, and proprietary information. Additionally, we may be subject to claims from third parties challenging our ownership interest in or inventorship of intellectual property we regard as our own, for example, claims alleging that our agreements with employees or consultants obligating them to assign intellectual property to us are ineffective or in conflict with prior or competing contractual obligations to assign inventions to another employer, to a former employer, or to another person or entity. We rely on work-for-hire provisions to effectuate our ownership of intellectual property created by our employees; however, certain types of intellectual property could require separate documentation to validly assign ownership to us.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materially and adversely affect our business,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had 830 registered patents and 1,066 pending patent applications in various jurisdictions such as mainland China, the U.S., Japan, and the U.K., etc., including patents for our vehicle architecture, intelligent cabin, intelligent driving, and fast charging related technologies. We also had 545 registered trademarks, including “ELETRE” and “EMEYA,” registered copyrights to 55 software programs developed by us relating to various aspects of our operations, as well as 113 registered domain names as of December 31, 2025. Even if our patent applications are granted and we are issued patents accordingly, it is still uncertain whether these patents will be contested, circumvented, or invalidated in the future. In addition, the rights granted under any issued patents may not provide us with meaningful protection or competitive advantages. These legal measures afford only limited protection, and competitors or others may gain access to or use our intellectual property and proprietary information. The claims under any patents may not be broad enough to prevent others from developing technologies that are similar or that achieve results similar to ours. It is also possible that the intellectual property rights of others could bar us from licensing and exploiting our patents. Numerous patents and pending patent applications owned by others exist in the fields where we have developed and are developing our technologies. These patents and patent applications might have priority over our patent applications and could subject our patent applications to invalidation. Finally, in addition to those who may claim priority, any of our existing patents or pending patent applications may also be challenged by others on the basis that they are otherwise invalid or unenforceable. Our success depends in part on our ability to obtain, maintain, expand, enforce, and defend the scope of our intellectual property. The patent prosecution process is expensive and time-consuming,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Any failure to obtain or maintain patent and other intellectual property protection with respect to our products could harm our business, financial condition, and results of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In addition to patented technologies, we rely on our unpatented proprietary technologies, trade secrets, processes, and know-how.</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rely on proprietary information, such as trade secrets, know-how, and confidential information, to protect intellectual property that may not be patentable,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scientific advisors, and third parties. However, we cannot guarantee that we have entered into such agreements with every party that has or may have had access to our trade secrets or proprietary information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 If any of our trade secrets were to be lawfully obtained or independently developed by a competitor or other third party, we would have no right to prevent them from using that trade secret to compete with us. If any of our trade secrets were to be disclosed, whether lawfully or otherwise, to or independently developed by a competitor or other third party, it could have a material adverse effect on our business, operating results, and financial condition.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also rely on physical and electronic security measures to protect our proprietary information, but we cannot guarantee that these security measures provide adequate protection for such proprietary information or will never be breached. There is a risk that third parties may obtain unauthorized access to and improperly utilize or disclose our proprietary information, which would harm our competitive advantages. We may not be able to detect or prevent the unauthorized access to or use of our information by third parties, and we may not be able to take appropriate and timely steps to mitigate the damages, or the damages may not be capable of being mitigated or remedied.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Furthermore, others may independently discover our trade secrets and proprietary information.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Although we are given an opportunity to respond to such rejections, we may be unable to overcome them. In the event that our trademarks are successfully challenged, we could be forced to rebrand our products, which could result in loss of brand recognition, and could require us to devote resources to advertising and marketing new brands. In addition, third parties are given an opportunity to oppose pending trademark applications and to seek to cancel registered trademarks. Opposition or cancellation proceedings may be filed against our trademarks, which may not survive such proceedings. Furthermore, in many countries, owning and maintaining a trademark registration may not provide an adequate defense against a subsequent infringement claim asserted by the owner of a senior trademark. Some trademarks in the “Lotus” brand which are used elsewhere in the world are not registered in China. If we inadvertently use these trademarks in China, we might be subject to litigation or claims, which could result in substantial costs, negative publicity, and diversion of resources and management attention.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depend on information technology to conduct our business. Any significant disruptions to our information technology systems or facilities, or those of third parties with which we do business, such as disruptions caused by cyber-attacks, could adversely impact our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ability to keep our business operating effectively depends on the functional and efficient operation of information technology systems and facilities, both internally and externally. We rely on these systems to, among other things, make a variety of day-to-day business decisions as well as to record and process transactions, billings, payments, inventory, and other data, in many currencies, on a daily basis, and across numerous and diverse markets and jurisdictions. Our systems, as well as those of our customers, suppliers, partners, and service providers, also contain sensitive confidential information or intellectual property and are susceptible to interruptions, including those caused by systems failures, cyber-attacks, and other natural or man-made incidents or disasters, which may be prolonged or go undetected. Cyber-attacks, both domestically and abroad, are increasing in their frequency, sophistication, and intensity, and have become increasingly difficult to detect. Although we have and continue to take precautions to prevent, detect, and mitigate such events, a significant or large-scale interruption of our information technology systems or facilities could adversely affect our ability to manage and keep our operations running efficiently and effectively, and could result in significant costs, fines or litigation.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strive to maintain reasonable preventative and data security controls, it is not possible to prevent all cybersecurity threats to our information technology systems and information and those of our third-party service providers, over which we exert less control. An incident that results in a wider or sustained disruption to our business or products could have a material adverse effect on our business, financial condition, and 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Additionally, certain of our products contain complex information technology systems designed to support today’s increasingly connected vehicles, and could be susceptible to similar interruptions, including the possibility of unauthorized access. Further, as we transition to offering more cloud-based solutions which are dependent on the Internet or other networks to operate, we may increasingly be the target of cyber threats, including computer viruses or breaches due to misconduct of employees, contractors, or others who have access to our networks and systems, or those of third parties with which we do business. Although we have designed and implemented security measures to prevent and detect such unauthorized access or cyber threats from occurring, we cannot assure you that vulnerabilities will not be identified in the future, or that our security efforts will be successful. Any unauthorized access to our components could adversely affect our brand and harm our business, prospects, financial condition, and operating results. Further, maintaining and updating these systems may require significant costs and often involves implementation, integration, and security risks, including risks that we may not adequately anticipate the market or technological trends or that we may experience unexpected challenges that could cause financial, reputational, and operational harm. However, failing to properly respond to and invest in information technology advancements may limit our ability to attract and retain customers, prevent us from offering similar products and services as those offered by our competitors or inhibit our ability to meet regulatory or other requirements.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To date, we have not experienced a system failure, cyber-attack or security breach that has resulted in a material interruption in our operations or material adverse effect on our financial condition. While we continually seek to expand and improve our information technology systems and maintain adequate disclosure controls and procedures, we cannot assure you that such measures will prevent interruptions or security breaches that could adversely affect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use open source software, which may pose particular risks to our proprietary software and source code. We may face claims from open source licensors claiming ownership of, or demanding the release of, the intellectual property that we developed using or derived from such open source software.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use open source software in our proprietary software and will use open source software in the future. Companies that incorporate open source software into their proprietary software and products have, from time to time, faced claims challenging the use of open source software and compliance with open source license terms.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software, that our developers have not incorporated open source software into our proprietary software, or that they will not do so in the future. In addition, companies that incorporate open source software into their products have, in the past, faced claims seeking enforcement of open source license provisions and claims asserting ownership of open source software incorporated into their proprietary software. If an author or other third party that distributes such open source software were to allege that we have not complied with the conditions of an open source license, we could incur significant legal costs defending ourselves against such allegations. In the event such claims were successful, we could be subject to significant damages or be enjoined from the distribution of our proprietary software. In addition, the terms of open source software licenses may require us to provide software that we develop using such open source software to others on unfavorable license terms.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our current or future use of open source software, we may face claims or litigation, be required to release our proprietary source code, pay damages for breach of contract, re-engineer our proprietary software, discontinue making our proprietary software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the software. Any of these risks could be difficult to eliminate or manage, and, if not addressed, could have a negative effect on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Our Securities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publish inaccurate or unfavorable research or cease publishing research about us, the price for our ADSs and the trading volume could decline significantly.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ADSs will depend, in part, on the research and reports that securities or industry analysts publish about us or our business. We may be unable to sustain coverage by well-regarded securities and industry analysts. If either none or only a limited number of securities or industry analysts maintain coverage of us, or if these securities or industry analysts are not widely respected within the general investment community, the demand for our ADSs could decrease, which might cause the price for our ADSs and the trading volume to decline significantly. In the event that we obtain securities or industry analyst coverage, if one or more of the analysts who cover us downgrade their assessment of us or publish inaccurate or unfavorable research about our business, the market price and liquidity for our ADSs and Warrants could be negatively impacted.</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Resales of our securities by our securityholders may cause the market price of our securities to drop significantly, even if our business is doing well.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registered for the issuance of the ATW 2025 CB as well as ADSs issuable thereunder. We have registered for the resale by Westwood of ADSs that may be issued by us pursuant to the ELOC Purchase Agreement as well as the resale by certain shareholders of up to 680,957,495 ADSs pursuant to certain registration rights granted to such shareholders in connection with the Business Combination. Sales of a substantial number of our securities, or the perception that those sales might occur, could result in a significant decline in the public trading price of our securities and could impair our ability to raise capital through the sale or issuance of additional equity securities. We are unable to predict the effect that such sales may have on the prevailing market price of our securities.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The trading prices of our ADSs and Warrants may be volatile and a market for our ADSs may not develop, which would adversely affect the liquidity and price of our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 active trading market for our ADSs may never develop or, if developed, may not be sustained. You may be unable to sell your ADSs unless a market can be established and sustained.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trading prices of our ADSs and Warrants may be volatile and may fluctuate due to a variety of factors, some of which are beyond our control, including, but not limited to:</w:t>
      </w:r>
    </w:p>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or results of operations;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variance in our financial performance from expectations of securities analysts;</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projected operating and financial results;</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 our customers, suppliers, or our industry;</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services and expansions by us or our competitors;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innovate and bring products to market in a timely manner;</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involvement in actual or potential litigation or regulatory investigations;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about us, our products or our industry;</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senior management or key personnel;</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investments, acquisitions, strategic partnerships, or joint ventures by us or our competitors;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securities by us, our shareholders or our warrant holders, as well as the anticipation of lockup releases;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regulatory, industry, and market conditions;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or major catastrophic events;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those resulting from war, incidents of terrorism, natural disasters, pandemics or responses to these events.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These and other factors may cause the market price and demand for our ADSs and Warrants to fluctuate substantially, which may limit or prevent investors from readily selling their shares and may otherwise negatively affect the liquidity of our ADSs and Warrants. Following periods of such volatility in the market price of a company’s securities, securities class action litigation has often been brought against that company. Because of the potential volatility of our ADSs and Warrants, we may become the target of securities litigation in the future. Securities litigation could result in substantial costs and divert management’s attention and resources from our business.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Our issuance of additional share capital in connection with financings, acquisitions, investments, our equity incentive plans or otherwise will dilute all other shareholders.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expect to issue additional share capital in the future that will result in dilution to all other shareholders. ADSs may be issued by us pursuant to the ELOC Purchase Agreement based on a purchase price that fluctuates based on the price of the ADSs. ADSs are also issuable upon the conversion of the Geely 2025 CB, the Geely 2</w:t>
      </w:r>
      <w:r>
        <w:rPr>
          <w:rFonts w:ascii="Times New Roman;Times;serif" w:hAnsi="Times New Roman;Times;serif"/>
          <w:sz w:val="15"/>
        </w:rPr>
        <w:t>nd</w:t>
      </w:r>
      <w:r>
        <w:rPr>
          <w:rFonts w:ascii="Times New Roman;Times;serif" w:hAnsi="Times New Roman;Times;serif"/>
          <w:sz w:val="20"/>
        </w:rPr>
        <w:t xml:space="preserve"> 2025 CB and the ATW 2025 CB and other convertible notes issuable under the ATW 2025 CB Purchase Agreement.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expect to grant equity awards to key employees under our equity incentive plans. We also intend to raise capital through equity financings in the future. As part of our business strategy, we may acquire or make investments in companies, solutions or technologies and issue equity securities to pay for any such acquisition or investment. Any such issuances of additional share capital may cause shareholders to experience significant dilution of their ownership interests and the per ADS value of our ADSs to decline.</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Holders of our ADSs may not have the same voting rights as our registered shareholders and might not receive voting materials in time to be able to exercise their right to vote.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Except as described in this annual report and in the deposit agreement, holders of our ADSs will not be able to exercise voting rights attaching to the underlying Ordinary Shares evidenced by the ADSs on an individual basis. Under the deposit agreement, holders of our ADSs must vote by giving voting instructions to the depositary, including instructions to give a discretionary proxy to a person designated by us. Upon receipt of such holder’s voting instructions, the depositary will vote the underlying Ordinary Shares in accordance with these instructions. Holders of our ADSs will not be able to directly exercise their right to vote with respect to the underlying Ordinary Shares unless they withdraw the underlying Ordinary Shares. Holders of our ADSs may not receive voting materials in time to instruct the depositary to vote, and it is possible that holders of our ADSs, or persons who hold their ADSs through brokers, dealers or other third parties, will not have the opportunity to exercise their right to vote.</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The voting rights of holders of our ADSs are limited by the terms of the deposit agreement, and holders of our ADSs may not be able to exercise rights to direct how the Ordinary Shares represented by our ADSs are voted.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holder of our ADSs may only exercise the voting rights with respect to the underlying Ordinary Shares in accordance with the provisions of the deposit agreement. Upon receipt of voting instructions of a holder of our ADSs in the manner set forth in the deposit agreement, the depositary will endeavor to vote the underlying Ordinary Shares in accordance with these instructions. When a general meeting is convened, holders of our ADSs may not receive sufficient notice of a shareholders’ meeting to permit them to withdraw the Ordinary Shares underlying our ADSs to allow them to cast their votes with respect to any specific matter. In addition, the depositary and its agents may not be able to send voting instructions to holders of our ADSs or carry out their voting instructions in a timely manner. We will make all reasonable efforts to cause the depositary to extend voting rights to holders of our ADSs in a timely manner, but we cannot assure such holders that they will receive the voting materials in time to ensure that they can instruct the depositary to vote their shares. Furthermore, the depositary will not vote on any matter for which voting is conducted on a show of hands basis in accordance with our then effective memorandum and articles of association and will not have an obligation to demand voting on a poll basis. The depositary and its agents will not be responsible for any failure to carry out any instructions to vote, for the manner in which any vote is cast, or for the effect of any such vote. As a result, holders of our ADSs may not be able to exercise their right to vote and may lack recourse if their equity shares are not voted as requested.</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and the depository are entitled to amend the deposit agreement and to change the rights of ADS holders under the terms of such agreement, and we may terminate the deposit agreement, without the prior consent of the ADS 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and the depository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our ADSs or changes in the terms of our business relationship with the depositary. In the event that the terms of an amendment impose or increase fees or charges (other than charges in connection with foreign exchange control regulations, and taxes and/or other governmental charges, delivery and other such expenses) or that would otherwise prejudice any substantial existing right of the ADS holders, such amendment will not become effective as to outstanding ADSs until the expiration of 30 days after notice of that amendment has been disseminated to ADS holders, and no prior consent of the ADS holders is required under the deposit agreement. Furthermore, we may decide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our ADSs may be subject to limitations on transfer of their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ADSs are transferable on the books of the depositary. However, the depositary may close its transfer books at any time or from time to time when it deems necessary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Holders of our ADSs might not receive distributions on our equity shares, or any value for them at all, if it is unlawful or impracticable for us to make them available to such 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depositary of our ADSs has agreed to pay holders of our ADSs the cash dividends or other distributions it or the custodian for our ADSs receives on Ordinary Shares or other deposited securities after deducting its fees and expenses in accordance with the deposit agreement. Holders of our ADSs will receive these distributions in proportion to the number of the underlying Ordinary Shares that their ADSs represent. However, the depositary is not responsible if it is unlawful or impracticable to make a distribution available to any holders of our ADSs. For example, it would be unlawful to make a distribution to a holder of our ADSs if it consists of securities that require registration under the Securities Act but such securities are not properly registered or distributed pursuant to an applicable exemption from registration. The depositary is not responsible for making a distribution available to any holders of our ADSs if any government approval or registration is required for such distribution. We have no obligation to take any other action to permit the distribution of our ADSs, equity shares, rights or anything else to holders of our ADSs. This means that holders of our ADSs might not receive the distributions that we make on our Ordinary Shares or any value for them at all if it is unlawful or impracticable for us to make them available to you.</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Your rights to pursue claims against the depositary as a holder of ADSs are limited by the terms of the deposit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any action or proceeding against or involving the depositary, arising out of or based upon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the state courts in New York County, New York), and you, as a holder of our ADSs, will have irrevocably waived any objection which you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in its sole discretion, require that any dispute or difference arising from the relationship created by the deposit agreement be referred to and finally settled by an arbitration conducted under the terms described in the deposit agreement. These arbitration provisions govern such dispute or difference and do not, in any event, preclude you from pursuing claims under the Securities Act or the Exchange Act in federal courts.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ADS holders may not be entitled to a jury trial with respect to claims arising under the deposit agreement, which could result in less favorable outcomes to the plaintiff(s) in any such action.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deposit agreement governing the ADSs representing our ordinary shares provides that, subject to the depositary’s right to require a claim to be submitted to arbitration, the United States District Court for the Southern District of New York (or, if the United States District Court for the Southern District of New York lacks subject matter jurisdiction over a particular dispute, the state courts in New York County,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ordinary shares, the ADSs or the deposit agreement, including any claim under the U.S. federal securities laws.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The Warrants are exercisable for Ordinary Shares in the form of ADSs, which would increase the number of shares eligible for resale in the public market and result in dilution to shareholders.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Warrants to purchase an aggregate of 14,541,306 Ordinary Shares in the form of ADSs are exercisable in accordance with the terms of the Warrant Agreement governing those securities. The number of Warrants outstanding is equal to approximately 2.1% of our currently outstanding Ordinary Shares. The exercise price of the Warrants is US$11.50 per share, subject to adjustment. To the extent such Warrants are exercised, additional Ordinary Shares in the form of ADSs will be issued, which will result in dilution to the existing holders of Ordinary Shares or ADSs and increase the number of shares eligible for resale in the public market. Sales of substantial numbers of such ADSs in the public market or the fact that such Warrants may be exercised could adversely affect the market price of ADSs However, there is no guarantee that the Warrants will ever be in the money prior to their expiration, and as such, the Warrants may expire worthless.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may redeem unexpired Warrants held by holders other than the Sponsor or its permitted transferees prior to their exercise at a time that is disadvantageous to the warrantholders, thereby making the Warrants worthless.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redeem Warrants prior to their exercise at a time that is disadvantageous to the holders of such Warrants, thereby making such warrants worthless. More specifically: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outstanding Warrants (except as described herein with respect to the private placement warrants) at any time prior to their expiration, at a price of US$0.01 per warrant, provided that the last reported sales price of Ordinary Shares equals or exceeds US$18.00 per share (subject to adjustment) for any 20 trading days within a 30 trading-day period ending on the third trading day prior to proper notice of such redemption and provided that certain other conditions are met.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the ability to redeem outstanding Warrants at any time prior to their expiration, at a price of US$0.10 per warrant, provided that the last reported sales price of Ordinary Shares equals or exceeds US$10.00 per share (subject to adjustment) for any 20 trading days within a 30 trading-day period ending on the third trading day prior to proper notice of such redemption and provided that certain other conditions are met. If the last reported sales price of Ordinary Shares for any 20 trading days within a 30-trading day period ending on the third trading day prior to the date on which we send the notice of redemption to the warrant holders is less than US$18.00 per share (subject to adjustment), the private placement warrants must also be concurrently called for redemption on the same terms as the outstanding Public warrants, as described above. In each case, we may only call the Warrants for redemption upon a minimum of 30 days’ prior notice of redemption.</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Redemption of the outstanding Warrants could force the warrantholders (i) to exercise their Warrants and pay the exercise price therefor at a time when it may be disadvantageous for such warrantholders to do so, (ii) to sell the Warrants at the then-current market price when the warrantholders might otherwise wish to hold their Warrants, or (iii) to accept the nominal redemption price, which, at the time the outstanding Warrants are called for redemption, is likely to be substantially less than the market value of the Warrants.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The Warrant Agreement designates the courts of the State of New York or the United States District Court for the Southern District of New York as the sole and exclusive forum for certain types of actions and proceedings that may be initiated by holders of the warrants, which could limit the ability of warrantholders to obtain a favorable judicial forum for disputes with us in connection with such warrants.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Warrant Agreement provides that, subject to applicable law,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shall be the exclusive forum for any such action, proceeding or claim. We have waived any objection to such exclusive jurisdiction and that such courts represent an inconvenient forum. Notwithstanding the foregoing, these provisions of the Warrant Agreement do not apply to suits brought to enforce any liability or duty created by the Exchange Act or any other claim for which the federal district courts of the U.S. are the sole and exclusive forum. Any person or entity purchasing or otherwise acquiring any interest in any of warrants under the Warrant Agreement shall be deemed to have notice of and to have consented to the forum provisions of the Warrant Agreement. If any action, being referred to herein as a “foreign action,” the subject matter of which is within the scope the forum provisions of the Warrant Agreement, is filed in a court other than a court of the State of New York or the United States District Court for the Southern District of New York in the name of any holder of the warrants, such holder shall be deemed to have consented to: (x) the personal jurisdiction of the state and federal courts located in the State of New York in connection with any action brought in any such court to enforce the forum provisions, and (y) having service of process made upon such warrant holder in any such action to enforce the forum provisions by service upon such warrant holder’s counsel in the foreign action as agent for such warrant holder.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The requirements of being a public company may strain our resources, divert our management’s attention and affect our ability to attract and retain qualified board members.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reporting requirements of the Exchange Act, the Sarbanes-Oxley Act, the Dodd-Frank Act, Nasdaq listing requirements and other applicable securities rules and regulations. As such, we will incur additional legal, accounting and other expenses.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costs and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its board of directors, particularly to serve on our audit committee, and qualified executive officers.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We are an “emerging growth company,” and it cannot be certain if the reduced SEC reporting requirements applicable to emerging growth companies will make our ADSs less attractive to investors, which could have a material and adverse effect on us, including our growth prospects.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qualify as an “emerging growth company” as defined in the JOBS Act. We will remain an “emerging growth company” until the earliest to occur of (i) the last day of the fiscal year (a) following the fifth anniversary of the closing of the Business Combination, (b) in which we have total annual gross revenue of at least US$1.235 billion or (c) in which we are deemed to be a large accelerated filer, which means the market value of our shares held by non-affiliates exceeds US$700 million as of the last business day of our prior second fiscal quarter, and (ii) the date on which we issued more than US$1.0 billion in non-convertible debt during the prior three-year period. We intend to take advantage of exemptions from various reporting requirements that are applicable to most other public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our shareholders may not have access to certain information they deem important or at the same time if we were a non-foreign private issuer. We cannot predict if investors will find our ADSs less attractive because we rely on these exemptions. If some investors find our ADSs less attractive as a result, there may be a less active trading market and price for our ADSs may be more volatile.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We qualify as a foreign private issuer within the meaning of the rules under the Exchange Act, and as such we are exempt from certain provisions applicable to U.S. domestic public companies.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will be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if you hold our securities, you may receive less or different information about us than that you would receive about a U.S. domestic public company.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U.S.; or (iii) our business is administered principally in the U.S.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in the Cayman Islands, and listed on Nasdaq as a foreign private issuer. Nasdaq listing rules permit a foreign private issuer like us to follow the corporate governance practices of its home country. Certain corporate governance practices in the Cayman Islands, which is our home country, may differ significantly from Nasdaq corporate governance listing standards applicable to domestic U.S. companies. We rely on certain home country practice exemption available to foreign private issuers as described in details under “Item 16G. Corporate Governance”.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a “controlled company” as defined under the Nasdaq corporate governance rules because Mr. Shufu Li owns more than 50% of our total voting power. For so long as we remain a controlled company under that definition, we are permitted to elect to rely, and may rely, on certain exemptions from Nasdaq corporate governance rules, including (i) an exemption from the rule that a majority of our board of directors must be independent directors; (ii) an exemption from the rule that director nominees must be selected or recommended solely by independent directors; and (iii) an exemption from the rule that the compensation committee must be comprised solely of independent directors. Currently, we rely on all of the foregoing exemptions available to a controlled company.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you may not be provided with the benefits of certain corporate governance requirements of Nasdaq applicable to companies that are subject to these corporate governance requirements.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U.S. courts may be limited, because we are incorporated under the laws of the Cayman Islands, and we conduct a substantial portion of our operations, and a majority of our directors and executive officers reside, outside of the 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limited by shares incorporated under the laws of the Cayman Islands and conduct a majority of our operations through our subsidiaries in China. A substantial portion of our assets are located outside the U.S. A majority of our officers and directors reside outside the U.S. and a substantial portion of the assets of those persons are located outside of the U.S. As a result, it may be difficult for investors to effect service of process within the U.S. upon our directors or officers, or to enforce judgments obtained in the U.S. courts against our directors or officers. For more information regarding the laws of the Cayman Islands and China.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corporate affairs are governed by our memorandum and articles of association, as amend from time to time, the Cayman Islands Companies Act and the common law of the Cayman Islands. The rights of our shareholders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different from what they would be under statutes or judicial precedent in some jurisdictions in the U.S. In particular, the Cayman Islands has a different body of securities laws than the U.S. and some U.S. states, such as Delaware, may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(other than the memorandum and articles of association, special resolutions, and the register of mortgages and charges, of such companies, and a list of the names of the current directors of such companies upon a payment to the Cayman Registrar)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Certain corporate governance practices in the Cayman Islands, which is our home country, differ significantly from requirements for companies incorporated in other jurisdictions such as the U.S. If we choose to follow home country practice in the future, our shareholders may be afforded less protection than they otherwise would under rules and regulations applicable to U.S. domestic issuers.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do not expect to pay dividends in the foreseeable future.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expect to retain most, if not all, of our available funds and any future earnings to fund the development and growth of our business. As a result, we do not expect to pay any cash dividends in the foreseeable future.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Accordingly, you may need to rely on sales of our ADSs after price appreciation, which may never occur, as the only way to realize any future gains on your investment. There is no guarantee that our ADSs will appreciate in value or that the market price of our ADSs will not decline.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we will not be treated as a passive foreign investment company (a “PFIC”), for any taxable year, which could result in adverse U.S. federal income tax consequences to U.S. 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(or portion thereof) during which a U.S. Holder (as defined in “Item 10. Additional Information—E. Taxation—U.S. Federal Income Tax Considerations”) holds our ADSs, such U.S. Holder may be subject to adverse U.S. federal income tax consequences and may be subject to additional reporting requirements. A non-U.S. corporation will generally be a PFIC for U.S. federal income tax purposes if, in any taxable year, either (1) at least 75% of its gross income for such year is passive income or (2) at least 50% of the value of its assets (generally determined on the basis of a quarterly average) during such year is attributable to assets that produce or are held for the production of passive income.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Based on the nature and composition of our assets (including goodwill and other unbooked intangibles) and income, we do not believe that we were a PFIC for our taxable year ended December 31, 2025 and do not expect to be a PFIC for the current taxable year or foreseeable future taxable years. However, because the determination of PFIC status is based on the nature of our income and assets from time to time, and involves the application of complex tax rules, and because our view is not binding on the courts or the Internal Revenue Service, no assurances can be provided that we will not be considered a PFIC for the current, or any past or future taxable years. While we do not expect to be or become a PFIC in the current or future taxable years, the determination of whether we are or will become a PFIC is a fact-intensive inquiry made on an annual basis and will depend upon the composition of our assets and income, including our goodwill and other unbooked intangibles. No assurance can be given that we are not or will not become classified as a PFIC or that the composition of our income or assets will not change in a manner that could make us a PFIC in the future. U.S. Holders should consult their tax advisors regarding the application of the PFIC rules to us and the risks of owning equity securities in a company that may be a PFIC. See “Item 10. Additional Information—E. Taxation—U.S. Federal Income Tax Considerations—Passive Foreign Investment Company Considerations.”</w:t>
      </w:r>
    </w:p>
    <w:p>
      <w:pPr>
        <w:pStyle w:val="TextBody"/>
        <w:bidi w:val="0"/>
        <w:spacing w:lineRule="auto" w:line="285" w:before="0" w:after="240"/>
        <w:ind w:left="0" w:right="0" w:hanging="0"/>
        <w:jc w:val="left"/>
        <w:rPr>
          <w:rFonts w:ascii="Times New Roman;Times;serif" w:hAnsi="Times New Roman;Times;serif"/>
          <w:sz w:val="20"/>
        </w:rPr>
      </w:pPr>
      <w:bookmarkStart w:id="42" w:name="Item4InformationontheCompany_647516"/>
      <w:bookmarkStart w:id="43" w:name="_640d93cf_8389_46d6_9004_bb0ee0c2eef3"/>
      <w:bookmarkEnd w:id="42"/>
      <w:bookmarkEnd w:id="43"/>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History and Development of the Company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Lotus EV business, founded in 2018, was carried out by Wuhan Lotus Cars and the Lotus EV business unit of Ningbo Geely Automobile Research &amp; Development Co., Ltd., or Ningbo Geely R&amp;D, incorporated in the People’s Republic of China, Lotus Tech UK incorporated in the U.K. and Lotus Tech Innovation Centre GmbH, or Lotus GmbH, incorporated in Germany. For the periods ended prior to the Restructuring, we also carried out the Lotus EV business through the former VIE and its subsidiaries based in mainland China. However, we restructured our company beginning in 2023 such that we no longer have any VIE. We refer to this series of transactions in this annual report as the Restructuring.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August 9, 2021, LTC was incorporated as a limited liability company in the Cayman Islands.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Through a series of steps, including transferring the assets and employees in the Lotus EV business unit of Ningbo Geely R&amp;D into Wuhan Lotus Cars and transferring the equity of Wuhan Lotus Cars to the WFOE, the Company gained control over the WFOE through Lotus HK on December 15, 2021. The equity interests of Lotus Tech UK and Lotus GmbH were transferred to us on December 29, 2021 and June 24, 2022, respectively.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November 4, 2021, we entered into trademark licenses agreements with a related party, Group Lotus Limited, a wholly-owned subsidiary of Lotus Group International Limited, or LGIL, pursuant to which, we received the “Lotus” trademark licenses as long as we conduct the business in relation to lifestyle vehicles (excluding sports car). We issued 216,700,000 ordinary shares as consideration for such trademark. The above reorganization was completed on June 24, 2022.</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November 12, 2021, the former VIE and a third-party established Ningbo Robotics Co., Ltd., or Ningbo Robotics, in which the former VIE held 60% equity interest. In March 2022, the former VIE transferred its 60% legal equity interest of Ningbo Robotic to its then wholly-owned subsidiary, Ningbo Lotus Venture Capital Co., Ltd.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March 15, 2022, LTC declared a 10-for-1 stock split in the form of a stock dividend and such stock dividend is distributed to all the shareholders of LTC in proportion to their respective shareholdings in LTC. Before the stock dividend, LTC had 216,700,000 ordinary shares and 2,407,778 Series Pre-A Preferred Shares issued and outstanding with a par value of US$0.00001 per share. After the stock dividend, LTC had 2,167,000,000 ordinary shares and 24,077,780 Series Pre-A Preferred Shares issued and outstanding.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Since early 2023, LTC has been implementing the Restructuring. As of the date of this annual report, LTC’s operations in mainland China are conducted by its mainland China subsidiaries and LTC does not have any VIE structure.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January 2023, we entered into a put option agreement with each of Geely HK and Etika, pursuant to which each of Geely and Etika had an option to require us to purchase at a pre-agreed price, the equity interests held by Geely HK and Etika in Lotus Advance Technologies Sdn Bhd. The put options are exercisable during the period from April 1, 2025 to June 30, 2025 upon satisfaction of the condition, or the LAT Put Option Exercise Condition, that the total number of vehicles sold by Lotus Advance Technologies Sdn Bhd and its subsidiaries exceeds 5,000 in 2024 (with the exercise of such options by Geely HK and Etika not cross-conditioned on one another). As of December 31, 2024, the Put Option Exercise Condition had been satisfied. On April 14, 2025, Geely HK exercised its put option, requiring us to purchase 51% of the equity interests in Lotus Advance Technologies Sdn Bhd. On June 30, 2025, Etika also exercised its put option, requiring us to purchase 49% of the equity interests in Lotus Advance Technologies Sdn Bhd. As a result, we are expected to acquire 100% of the equity interests of Lotus UK through non-cash transactions based on pre-agreed prices. Upon completion, we will gain control over Lotus Advance Technologies Sdn Bhd and consolidate its financial results. The strategic transaction will enable us to integrate all businesses and operations under the Lotus brand. Lotus Advance Technologies Sdn Bhd controls the manufacturing operations of Lotus’ sportscars and hyper cars, and Lotus Engineering which provides comprehensive consultancy services to many of the OEMs and Tier 1 suppliers around the world. Closing of the Geely HK put option and Etika put option could be subject to approvals of governmental authorities in various jurisdictions and is currently expected to take place in 2026.</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22, 2024, we consummated the Business Combination with LCAA, pursuant to the Merger Agreement. LCAA was a blank check company incorporated for the purpose of effecting a merger, share exchange, asset acquisition, share purchase, reorganization or similar business combination with one or more businesses or entities. Our ADSs and Warrants have been listed on The Nasdaq Global Market since February 23, 2024 under the symbol “LOT” and “LOTWW,” respectively.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September 2024, LTIL entered into a share sale and transfer agreement with Geely UK Limited, pursuant to which LTIL sold 800,000 shares in Lotus Tech Innovation Center GmbH, or LTIC, a company incorporated in Germany and a wholly-owned subsidiary of LTIL, for an aggregate principal amount of EUR 10,880,000. Immediately upon completion of the transaction, Geely UK Limited beneficially owned 80% of the LTIC’s share capital. LTIC is principally engaged in auto-related research and development services.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mailing address of our principal executive office is No. 800 Century Avenue, Pudong District, Shanghai, People’s Republic of China. Our corporate website address is www.group-lotus.com. The information contained in, or accessible through, our website does not constitute a part of this annual report. The SEC maintains an internet site that contains reports, proxy and information statements, and other information regarding issuers, such as we, that file electronically, with the SEC at www.sec.gov.</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Business Overview</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We are a leading global intelligent and luxury mobility provider that designs, develops luxury lifestyle vehicles (non-sports car vehicles for daily usage) under the iconic British brand “Lotus” and sell all Lotus branded cars. We launched our first fully electric hyper-SUV, Eletre, in 2022, and our second lifestyle production vehicle and first hyper grand tourer (hyper-GT) vehicle, Emeya, in 2023. We also unveiled our first PHEV hyper-SUV, For Me (also known as Eletre X in Europe) in China in March 2026. In addition, we have introduced and plan to continue to introduce new models, to improve our product matrix. We manufacture all EV lifestyle models through a contract manufacturing partnership with Geely Holding, utilizing Geely Holding’s newly-constructed, state-of-the-art manufacturing facilities dedicated for EVs in Wuhan, China.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We bring customers a luxury retailing experience through a digital-first, omni-channel sales model to establish and develop direct relationship with customers and covers the entire spectrum of customer experience, both physically and virtually. As of December 31, 2025, we had over 200 stores in our global distribution network. </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2025, we delivered a total of 6,520 vehicles, consisting of our lifestyle vehicles and also Lotus-brand sports cars that were distributed through LTIL.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Our Vehicles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Our first lifestyle production vehicle, Eletre, is a new breed of pure electric SUV powered by Lotus’s proprietary 800-volt EPA. Deliveries of Eletre commenced in 2023. Our second lifestyle production vehicle, Emeya, was launched in September 2023 and we began deliveries of Emeya in March 2024. We also started deliveries of Evija in 2024. We also unveiled our first PHEV hyper-SUV, For Me (also known as Eletre X in Europe) in China in March 2026. In addition, we have introduced and plan to continue to introduce new models, to improve our product matrix. We also plan to upgrade our models on an ongoing basis.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Eletre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Eletre is the first of our new breed of pure electric SUV. It is our first lifestyle vehicle, which aims to set the standard for our future lifestyle vehicles. The five-seater (four-seater as optional) is 5,103 millimeters long with a 3,019-millimeter wheelbase, providing customers a spacious and comfortable riding experience. Eletre comes with standard five drive modes, switchable through adjusting the front and rear wheel steering, damper settings, chassis controls system, propulsion strategies, and accelerator pedal response.</w:t>
      </w:r>
    </w:p>
    <w:p>
      <w:pPr>
        <w:pStyle w:val="TextBody"/>
        <w:bidi w:val="0"/>
        <w:spacing w:lineRule="auto" w:line="285" w:before="0" w:after="240"/>
        <w:ind w:left="0" w:right="0" w:hanging="0"/>
        <w:jc w:val="center"/>
        <w:rPr/>
      </w:pPr>
      <w:r>
        <w:rPr/>
        <w:drawing>
          <wp:inline distT="0" distB="0" distL="0" distR="0">
            <wp:extent cx="5779135" cy="2880360"/>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3"/>
                    <a:stretch>
                      <a:fillRect/>
                    </a:stretch>
                  </pic:blipFill>
                  <pic:spPr bwMode="auto">
                    <a:xfrm>
                      <a:off x="0" y="0"/>
                      <a:ext cx="5779135" cy="2880360"/>
                    </a:xfrm>
                    <a:prstGeom prst="rect">
                      <a:avLst/>
                    </a:prstGeom>
                  </pic:spPr>
                </pic:pic>
              </a:graphicData>
            </a:graphic>
          </wp:inline>
        </w:drawing>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revamped the line-up for Eletre in April, 2025. Key novelty is the ‘600’ and ‘900’ model names, that clearly reflects the electrifying power output of the new models. Eletre 600 features a 450 kW (612 hp) all-electric dual-motor powertrain and all-wheel drive as standard. It accelerates from 0 to 62 mph (0 to 100 km/h) in just 4.5 seconds and achieves a top speed of 159 mph (256 km/h). Eletre 900 relies on a 675 kW (918 hp) strong dual-motor powertrain, providing the Eletre 900 with an acceleration from a standstill to 62 mph (100 km/h) in 2.95 seconds and the maximum speed of the Eletre 900 is 159 mph (265 km/h).</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Efficient aerodynamics have historically been at the heart of the Lotus brand. A significant element of the exterior design of Eletre is porosity, which essentially allows air to flow through the vehicle as opposed to being pushed around it, reducing air resistance and delivering a more efficient journey in terms of improved vehicle range, speed, performance and design aesthetics. Eletre’s interior brings a comfortable and luxurious feeling to passengers, configuring highly durable materials and an immersive infotainment system. Eletre is equipped with a 15.1-inch high definition OLED screen which works in tandem with the digital passenger display and provides access to its advanced infotainment system. Information is displayed to the driver via a head-up display (HUD) featuring augmented reality (AR) technology. Voice control is enabled through advanced speech recognition technology.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Lotus Hyper OS is an operating system powering our advanced digital cockpit cabin installed in Eletre, enabling us to create next-generation real-time 3D digital mapping and graphing experiences. Lotus Hyper OS includes two Qualcomm 8155 System-on-chips to provide accelerated graphic rendering and higher data transmission speeds. Eletre will also debut a next-generation digital head unit, which is expected to provide fully customizable displays, hosted on an advanced driver information module.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Eletre is equipped with the latest connectivity technology, including 5G compatibility, which enables the performance and features of the vehicle to be continually updated and enhanced via over-the-air (OTA) updates. Eletre owners can connect to the car via a smartphone app, and access driving logs, vehicle and charge status, remote features, location services and other functionalities. Eletre also comes with navigation services, including EV routing, EV range assistant, and predictive routing, and provides a series of safety functions. In addition to standard safety features, Eletre features collision mitigation support (front and rear), traffic sign information, front and rear cross traffic alert, children presence detection, lane departure warning, and emergency rescue call.</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Emeya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Emeya (Type 133), a four-door luxury and performance vehicle, is our second lifestyle vehicle and first hyper grand tourer (hyper-GT) vehicle. It is also one of the world’s most advanced electric hyper-GT vehicles.</w:t>
      </w:r>
    </w:p>
    <w:p>
      <w:pPr>
        <w:pStyle w:val="TextBody"/>
        <w:bidi w:val="0"/>
        <w:spacing w:lineRule="auto" w:line="285" w:before="0" w:after="240"/>
        <w:ind w:left="0" w:right="0" w:hanging="0"/>
        <w:jc w:val="center"/>
        <w:rPr/>
      </w:pPr>
      <w:r>
        <w:rPr/>
        <w:drawing>
          <wp:inline distT="0" distB="0" distL="0" distR="0">
            <wp:extent cx="5779135" cy="2880360"/>
            <wp:effectExtent l="0" t="0" r="0" b="0"/>
            <wp:docPr id="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 descr=""/>
                    <pic:cNvPicPr>
                      <a:picLocks noChangeAspect="1" noChangeArrowheads="1"/>
                    </pic:cNvPicPr>
                  </pic:nvPicPr>
                  <pic:blipFill>
                    <a:blip r:embed="rId4"/>
                    <a:stretch>
                      <a:fillRect/>
                    </a:stretch>
                  </pic:blipFill>
                  <pic:spPr bwMode="auto">
                    <a:xfrm>
                      <a:off x="0" y="0"/>
                      <a:ext cx="5779135" cy="2880360"/>
                    </a:xfrm>
                    <a:prstGeom prst="rect">
                      <a:avLst/>
                    </a:prstGeom>
                  </pic:spPr>
                </pic:pic>
              </a:graphicData>
            </a:graphic>
          </wp:inline>
        </w:drawing>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Emeya is developed based on the same advanced EPA architecture and adopting the same strong aerodynamics and intelligent driving system as Eletre. We offer two variants named Emeya 600 and Emeya 900. Powered by a 675 kW (918 hp) strong dual-motor powertrain, Emeya 900 can deliver an acceleration from zero to 100 km per hour in 2.78 seconds and a top speed of 155 mph (256 km/h). Equipped with our supercharging feature, Emeya can be charged from 10% to 80% in around 14 minutes (under perfect conditions) of charging time using a 400kW direct current fast charger. In addition, Emeya has been meticulously designed with the latest sustainable materials to reduce the carbon footprint of its production.</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both"/>
        <w:rPr>
          <w:rFonts w:ascii="Times New Roman;Times;serif" w:hAnsi="Times New Roman;Times;serif"/>
          <w:i/>
          <w:sz w:val="20"/>
        </w:rPr>
      </w:pPr>
      <w:r>
        <w:rPr>
          <w:rFonts w:ascii="Times New Roman;Times;serif" w:hAnsi="Times New Roman;Times;serif"/>
          <w:i/>
          <w:sz w:val="20"/>
        </w:rPr>
        <w:t>For Me (known as Eletre X in Europe)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Me is the first plug-in hybrid Hyper-SUV in Lotus’ 78-year history, which marks a key milestone in the brand’s electrification roadmap and reflects its commitment to meet growing consumer demand across diversified powertrain segments.</w:t>
      </w:r>
    </w:p>
    <w:p>
      <w:pPr>
        <w:pStyle w:val="TextBody"/>
        <w:bidi w:val="0"/>
        <w:spacing w:lineRule="auto" w:line="285" w:before="0" w:after="240"/>
        <w:ind w:left="0" w:right="0" w:firstLine="720"/>
        <w:jc w:val="center"/>
        <w:rPr/>
      </w:pPr>
      <w:r>
        <w:rPr/>
        <w:drawing>
          <wp:inline distT="0" distB="0" distL="0" distR="0">
            <wp:extent cx="5779135" cy="2679065"/>
            <wp:effectExtent l="0" t="0" r="0" b="0"/>
            <wp:docPr id="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 descr=""/>
                    <pic:cNvPicPr>
                      <a:picLocks noChangeAspect="1" noChangeArrowheads="1"/>
                    </pic:cNvPicPr>
                  </pic:nvPicPr>
                  <pic:blipFill>
                    <a:blip r:embed="rId5"/>
                    <a:stretch>
                      <a:fillRect/>
                    </a:stretch>
                  </pic:blipFill>
                  <pic:spPr bwMode="auto">
                    <a:xfrm>
                      <a:off x="0" y="0"/>
                      <a:ext cx="5779135" cy="2679065"/>
                    </a:xfrm>
                    <a:prstGeom prst="rect">
                      <a:avLst/>
                    </a:prstGeom>
                  </pic:spPr>
                </pic:pic>
              </a:graphicData>
            </a:graphic>
          </wp:inline>
        </w:drawing>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Powered by a 900V high-voltage platform and dual permanent magnet synchronous motors, For Me delivers a peak output of 952 PS, with 0–100 km/h acceleration in just 3.3 seconds. The acceleration performance in the middle and later stages is equally powerful with 0–200 km/h in 10.5 seconds and 0–400 meters in 11.16 seconds. It offers a combined range exceeding 1,400 km and a Worldwide Harmonized Light Vehicles Test Cycle (WLTC) combined fuel consumption of only 0.07 L/100 km (under ideal test conditions).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Beyond headline figures, For Me places a strong emphasis on sustainable, real-world performance. Official data demonstrates that the model can still accelerate from 0–100 km/h in 3.5 seconds even with only 10% battery remaining, ensuring consistent high performance across all scenarios and at all times. Equipped with the advanced X-Hybrid technology, the For Me boasts four core strengths: an ultra-high 11C discharge rate battery pack that enables a 70 kWh battery to fully discharge its energy in just five minutes, a 150 kW on-board generator system that keeps the battery operating within the highly efficient 30%–80% range, the ability to regenerate an additional 25 kWh per hour during 120 km/h cruise in charge-depleting mode, and a 4-minute extreme-cold battery wake-up function that quickly restores full vehicle performance.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To eliminate the intervention delay of conventional four-wheel drive (4WD), For Me uses a full-time 4WD system with 0ms response time. Through intelligent energy management, it offers four driving modes: EV (Electric Vehicle), ICEV (Internal Combustion Engine Vehicle), Force EV, and Hybrid. The system can also predict road conditions via navigation data to intelligently optimize power switching. Thanks to optimized vehicle weight distribution, For Me achieves stronger efficiency that under WLTC conditions, the four-wheel-drive version is more fuel-efficient than the two-wheel-drive version.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Our Global Commercial Platform</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 Global Commercial Platform for the sales and distribution of our vehicles and sports cars made by Lotus UK. As of December 31, 2025, we had over 200 stores in our global distribution network.</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Luxury Retailing Experience for Customers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Aiming to provide a future-proof, luxurious customer experience, we adopt a digital-first, omni-channel sales model for Eletre, Emeya, For Me and future lifestyle models to establish and develop direct relationship with customers, covering the entire spectrum of customer experience, both physically and virtually.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global sales digital platform provides a full suite of luxury retailing experience, including, a virtual showroom of our brand and products, an enquiry, order, purchasing and customization platform, and a reservation system for test drive, product delivery, aftersales services, among others. We also create online forums in various geographic markets for customers to engage, search, communicate and interact. Our customers are offered a wide range of options for customization, including exterior, interior, and other functions and features. Our customers can also reserve test-driving sessions and have access to our digital payment system and aftersales services and software updates.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Master Distribution Agreement with Lotus UK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Distribution Agreement entered into by and between Lotus Cars Limited, the entity carrying out Lotus UK’s sportscar manufacturing operations, and LTIL, we are the exclusive global distributor (excluding the U.S., where LTIL will act as the head distributor with the existing regional distributor continuing its functions) for Lotus Cars Limited to distribute vehicles, parts, and certain tools, and to provide aftersales services, branding, marketing, and public relations for such vehicles, parts, and tools distributed by it. The Distribution Agreement also provides that each year we and Lotus UK will prepare business plans and annual targets taking into account historical sales figures, forecast demand, national, regional, and local trends, and Lotus UK’s production capacity for the vehicles. Additionally, pursuant to the Distribution Agreement, existing stores and dealers of Lotus UK are transferred to us. As of December 31, 2025, we had over 200 stores in our global distribution network. In addition to Eletre, Emeya, For Me and future lifestyle models, major vehicle models under the Distribution Agreement include Evija (BEV sports car) and Emira (ICE sports car), both developed and manufactured by Lotus UK, and another EV sports car to be launched by Lotus UK in the near future.</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Emira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Launched in 2021 with average MSRP higher than US$85,000, Emira is built on a new Lotus sports car architecture. It uses the pioneering Lotus bonded extruded aluminum chassis technology. Emira is 4,412 millimeters long with a 2,575-millimeter wheelbase. It comes with a power output of 298 kilowatts. Emira can deliver a top speed of 290 km per hour and an acceleration from zero to 100 km per hour in 4.5 seconds, with a maximum of 420 Nm of torque.</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Evija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Launched in 2019 with an average MSRP exceeds US$2.2 million, Evija, the world’s first pure electric British hyper car and a 2020 MUSE Global Design Awards winner, is the first Lotus road car to feature a one-piece ultra-lightweight carbon fiber monocoque chassis. It is 4,459 millimeters long and weighs only 1,887 kilograms. Evija comes with 1,500 kilowatts power system, with a WLTP maximum range of 402 km. Evija can deliver a top speed of 320 km per hour and an acceleration from zero to 300 km per hour in 9.1 seconds, with a maximum of 1,700 Nm of torque. Evija is equipped with a 93-kilowatt-hour battery pack, with a fast charging time of around 18 minutes to 100% capacity.</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Distribution of vehicles and other products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responsible for establishing and maintaining a distribution network and an aftersales service network either selling directly, through Lotus UK’s subsidiaries, or by appointing sub-distributors. We are responsible for making sure that the sub-distributors will meet all the standards and abide by the guidelines as stipulated in the Distribution Agreement and achieve the minimum criteria for sales and aftersales service provisions, each as set out in the annual business plan. We are also responsible for providing branding, marketing, and public relations services in relation to Lotus-branded products.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Distribution Agreement, we are generally responsible for procuring licenses and permits and fulfilling other procedures and formalities required to import the vehicles, while Lotus UK is responsible for obtaining homologation, also referred to as vehicle approval or type approval, of new sports car vehicle models.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Aftersales services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also provide service and repair for vehicles manufactured or supplied by Lotus UK, in accordance with the applicable aftersales services and warranty services protocol. To provide customers with convenient and hassle-free aftersales experience, we pay close attention to customer requests and carry out testing and inspection that may be necessary to identify defects and ensure satisfactory functioning of vehicles.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Charging Solutions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dedicated to offering our customers a convenient and efficient charging experience and provide multiple solutions including home charging, flash charging and on-the-go charging provided by our designated partners who are also our affiliates.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Technology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taken a decisive path in developing EV-related technologies. We will further establish our strong technology identity, which will be reflected in future electrified models.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Architecture and Chassis Platform</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EPA Architecture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Eletre is built on an all-new proprietary 800-volt EPA architecture with integrated, high-voltage power distribution system. This architecture uses aluminum and high tensile steel for optimal structural rigidity. The EPA’s battery system enables intelligent heat management operating system for maximum energy conservation. Equipped with all-wheel drive and electric motor, Eletre can deliver a top speed of 265 km per hour with a maximum of 985 Nm of torque and it can reach up to 905 hp.</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EPA adopts a highly adaptable design and inherits our light-weight philosophy. The high energy density of the battery pack provides the optimal balance between performance and driving range. There are two electric motors, one driving the front wheels and another driving the rear wheels. Its three-in-one electric drive system integrates each motor with an inverter and a transmitter, an efficient design that makes the unit smaller and lighter. Our EPA enables drivers to enjoy stability, precision, and flexibility: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Stability. </w:t>
            </w:r>
            <w:r>
              <w:rPr>
                <w:caps w:val="false"/>
                <w:smallCaps w:val="false"/>
              </w:rPr>
              <w:t> </w:t>
            </w:r>
            <w:r>
              <w:rPr>
                <w:rFonts w:ascii="Times New Roman;Times;serif" w:hAnsi="Times New Roman;Times;serif"/>
                <w:b w:val="false"/>
                <w:i w:val="false"/>
                <w:caps w:val="false"/>
                <w:smallCaps w:val="false"/>
                <w:sz w:val="20"/>
              </w:rPr>
              <w:t>Our EPA system is equipped with active stabilizer bar systems to dynamically adjust stabilizer bars under various driving conditions, and deliver sports car-like experience and premium agility, cornering stability and controllability. The active suspension control system adjusts the height and damping rate of the suspension system to provide an optimal balance between comfort and handling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Precision. </w:t>
            </w:r>
            <w:r>
              <w:rPr>
                <w:caps w:val="false"/>
                <w:smallCaps w:val="false"/>
              </w:rPr>
              <w:t> </w:t>
            </w:r>
            <w:r>
              <w:rPr>
                <w:rFonts w:ascii="Times New Roman;Times;serif" w:hAnsi="Times New Roman;Times;serif"/>
                <w:b w:val="false"/>
                <w:i w:val="false"/>
                <w:caps w:val="false"/>
                <w:smallCaps w:val="false"/>
                <w:sz w:val="20"/>
              </w:rPr>
              <w:t>The active kinematics control available in EPA implemented by a rear-wheel steering system will optimize the cornering control and agility at all speeds. The active kinematics control technology adjusts the turning radius at various speeds and enhances the maneuverability at low speeds and agility at high speeds.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Flexibility. </w:t>
            </w:r>
            <w:r>
              <w:rPr>
                <w:caps w:val="false"/>
                <w:smallCaps w:val="false"/>
              </w:rPr>
              <w:t> </w:t>
            </w:r>
            <w:r>
              <w:rPr>
                <w:rFonts w:ascii="Times New Roman;Times;serif" w:hAnsi="Times New Roman;Times;serif"/>
                <w:b w:val="false"/>
                <w:i w:val="false"/>
                <w:caps w:val="false"/>
                <w:smallCaps w:val="false"/>
                <w:sz w:val="20"/>
              </w:rPr>
              <w:t>Lotus intelligent dynamic control system (LIDC) improves the flexibility of vehicles in complex road conditions, such as curved road conditions, therefore improving the overall stability. The one-box brake system is another highlight which increases vehicle flexibility where a de-coupled system design enables a sports car-like brake pedal feel in combination with improved energy regeneration during braking maneuvers.</w:t>
            </w:r>
          </w:p>
        </w:tc>
      </w:tr>
    </w:tbl>
    <w:p>
      <w:pPr>
        <w:pStyle w:val="TextBody"/>
        <w:bidi w:val="0"/>
        <w:spacing w:lineRule="auto" w:line="307" w:before="0" w:after="160"/>
        <w:ind w:left="360" w:right="0" w:hanging="0"/>
        <w:jc w:val="left"/>
        <w:rPr>
          <w:rFonts w:ascii="Times New Roman;Times;serif" w:hAnsi="Times New Roman;Times;serif"/>
          <w:b/>
          <w:i/>
          <w:sz w:val="20"/>
        </w:rPr>
      </w:pPr>
      <w:r>
        <w:rPr>
          <w:rFonts w:ascii="Times New Roman;Times;serif" w:hAnsi="Times New Roman;Times;serif"/>
          <w:b/>
          <w:i/>
          <w:sz w:val="20"/>
        </w:rPr>
        <w:t>X-Hybrid Architecture</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For Me is developed based on a new X-Hybrid architecture. The architecture integrates the DHE20 hybrid engine, dual-motor drive system, 70kWh high-performance power battery, and full-stack 900V high-voltage electrical architecture, to deliver improved driving range, while retaining driving control experience and overall performance.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Power</w:t>
            </w:r>
            <w:r>
              <w:rPr>
                <w:rFonts w:ascii="Times New Roman;Times;serif" w:hAnsi="Times New Roman;Times;serif"/>
                <w:b w:val="false"/>
                <w:i w:val="false"/>
                <w:caps w:val="false"/>
                <w:smallCaps w:val="false"/>
                <w:sz w:val="20"/>
              </w:rPr>
              <w:t>. Industry-leading hybrid powertrain with ≥46% thermal efficiency and low energy consumption. The dual-motor system delivers 700kW (952PS), enabling 3.3s 0-100 km/h acceleration. The 0-100km/h acceleration performance maintains at 3.5s under a lower-power reserve condition thank to our proprietary control strategy, which ensure consistent, non-degraded performance regardless of battery state of charge (SOC).</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Efficiency</w:t>
            </w:r>
            <w:r>
              <w:rPr>
                <w:rFonts w:ascii="Times New Roman;Times;serif" w:hAnsi="Times New Roman;Times;serif"/>
                <w:b w:val="false"/>
                <w:i w:val="false"/>
                <w:caps w:val="false"/>
                <w:smallCaps w:val="false"/>
                <w:sz w:val="20"/>
              </w:rPr>
              <w:t>. Full-stack 900V high-voltage architecture features high power density, high energy conversion efficiency, fast dynamic response, and low energy consumption, which comprehensively enhance the vehicle’s power performance and energy efficiency. It also supports 11C-rate discharging with a maximum discharge power of 770kW, meeting extreme power demand even at a 20% SOC. Advanced liquid cooling ensures thermal stability of battery performance under high-rate charging and demanding driving.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Dynamics</w:t>
            </w:r>
            <w:r>
              <w:rPr>
                <w:rFonts w:ascii="Times New Roman;Times;serif" w:hAnsi="Times New Roman;Times;serif"/>
                <w:b w:val="false"/>
                <w:i w:val="false"/>
                <w:caps w:val="false"/>
                <w:smallCaps w:val="false"/>
                <w:sz w:val="20"/>
              </w:rPr>
              <w:t>. Premium chassis system including independently developed dual-valve dampers, variable-section dual-chamber air springs, active anti-roll bars, and co-developed tires with Pirelli customized under Lotus Tuned Specification standard. It delivers exceptional handling precision, cornering stability, and ride comfort across all road conditions.</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Intelligent Driving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Lotus Intelligent Driving research and development commenced as early as 2018. We are committed to building the best platform for advanced intelligent driving technologies and have strong in-house research and development capabilities, which includes perception, decision, planning and control. We support end-to-end intelligent driving technologies with expertise in best-in-class hardware, advanced software and algorithms, and powerful cloud solutions. Our intelligent driving R&amp;D teams across Europe and China have extensive experience in homologation and deep understanding of the behaviors and preferences of local customers.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Intelligent driving hardware. </w:t>
            </w:r>
            <w:r>
              <w:rPr>
                <w:caps w:val="false"/>
                <w:smallCaps w:val="false"/>
              </w:rPr>
              <w:t> </w:t>
            </w:r>
            <w:r>
              <w:rPr>
                <w:rFonts w:ascii="Times New Roman;Times;serif" w:hAnsi="Times New Roman;Times;serif"/>
                <w:b w:val="false"/>
                <w:i w:val="false"/>
                <w:caps w:val="false"/>
                <w:smallCaps w:val="false"/>
                <w:sz w:val="20"/>
              </w:rPr>
              <w:t>We have invested significant resources into the development of hardware and we have L4-ready hardware embedded in our vehicles. Our deployable LiDAR technology is capable of all-around perception coverage with seven HD cameras of eight-megapixel, five long/short-range millimeter-wave radars, four 128-line LiDARs, 12 ultrasonic radars, one in-car camera, and four around-view cameras. By combining radars and LiDARs with camera sensors, our EV lifestyle models can capture the speed and other information on the road to support high-level intelligent driving functions. In addition, Eletre and Emeya are also powered and supported by dual NVIDIA DRIVE Orin X chips with more than 500 TOPS computing power to process complex data and image. The L4-ready hardware on the vehicles are capable of capturing significant amounts of high-quality information, which in turn could be used to optimize our key intelligent driving algorithms, thereby helping us remain as a leader in the development of such technology. We believe this top-class driving hardware distinguishes our models from our competitors’ vehicles and enables our models to evolve with the development of intelligent driving technology throughout its life-cycle.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Software capabilities. </w:t>
            </w:r>
            <w:r>
              <w:rPr>
                <w:caps w:val="false"/>
                <w:smallCaps w:val="false"/>
              </w:rPr>
              <w:t> </w:t>
            </w:r>
            <w:r>
              <w:rPr>
                <w:rFonts w:ascii="Times New Roman;Times;serif" w:hAnsi="Times New Roman;Times;serif"/>
                <w:b w:val="false"/>
                <w:i w:val="false"/>
                <w:caps w:val="false"/>
                <w:smallCaps w:val="false"/>
                <w:sz w:val="20"/>
              </w:rPr>
              <w:t>Our intelligent driving R&amp;D team has developed key intelligent driving algorithms including perception, decision, planning, and control. Our intelligent driving-related testing and simulation tools are also being developed to test and train algorithms and build a foundation of our cloud-based services. Our advanced intelligent driving software and algorithms take into account of various scenarios, including high-way, urban, and parking. Eletre and Emeya come with L2 intelligent driving solutions such as driving assistance, parking assistance, and active safety system, upon delivery. On top of these functions, we are developing end-to-end solutions for scenarios such as high-way, urban, and parking, which some of the solutions have been integrated into our models as premium functions through OTA. Further, our intelligent driving arm, Lotus Robotics, has been designated to license several leading automakers to provide them with its intelligent driving technology, software and intelligent driving-related tools.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Cloud services. </w:t>
            </w:r>
            <w:r>
              <w:rPr>
                <w:caps w:val="false"/>
                <w:smallCaps w:val="false"/>
              </w:rPr>
              <w:t> </w:t>
            </w:r>
            <w:r>
              <w:rPr>
                <w:rFonts w:ascii="Times New Roman;Times;serif" w:hAnsi="Times New Roman;Times;serif"/>
                <w:b w:val="false"/>
                <w:i w:val="false"/>
                <w:caps w:val="false"/>
                <w:smallCaps w:val="false"/>
                <w:sz w:val="20"/>
              </w:rPr>
              <w:t>We constructed a powerful cloud infrastructure to support cloud-based services to customers. Our cloud services fully empower intelligent driving in data compliance, model training, process optimization, and improve computing power and digital operation capabilities.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integrated these hardware, software and cloud capabilities to develop a full stack of advanced intelligent driving technologies, which enable our vehicles to perceive and intelligently react to their surroundings and thereby enhancing their driving experience. By combining our powerful algorithms, HD cameras, radars and LiDARs, our vehicles are able to precisely perceive their surroundings in stereoscopic display. Our vehicles then dynamically react to their perceived surroundings by leveraging our customized planning and control algorithms. Taken together, our intelligent driving solution offers smooth and intelligent driving experience to drivers, even under extreme road conditions.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E-mobility Platform</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 high-voltage electrical and control (HVEC) system, which enhances the efficiency and performance of BEV models. With the HVEC system, we are pioneering the release of 800-volt architecture and incorporating high-power motors into the e-mobility system. In addition, our supercharging design features significant charging efficiency to ensure the consistently strong performance of its e-mobility system.</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Pioneering 800-volt architecture. </w:t>
            </w:r>
            <w:r>
              <w:rPr>
                <w:caps w:val="false"/>
                <w:smallCaps w:val="false"/>
              </w:rPr>
              <w:t> </w:t>
            </w:r>
            <w:r>
              <w:rPr>
                <w:rFonts w:ascii="Times New Roman;Times;serif" w:hAnsi="Times New Roman;Times;serif"/>
                <w:b w:val="false"/>
                <w:i w:val="false"/>
                <w:caps w:val="false"/>
                <w:smallCaps w:val="false"/>
                <w:sz w:val="20"/>
              </w:rPr>
              <w:t>We have launched an 800-volt electric platform by doubling the voltage to meet customers’ high-power demand in BEV. This pioneering design can increase the efficiency of energy utilization and reduce the overall weight of vehicles.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High-power motors. </w:t>
            </w:r>
            <w:r>
              <w:rPr>
                <w:caps w:val="false"/>
                <w:smallCaps w:val="false"/>
              </w:rPr>
              <w:t> </w:t>
            </w:r>
            <w:r>
              <w:rPr>
                <w:rFonts w:ascii="Times New Roman;Times;serif" w:hAnsi="Times New Roman;Times;serif"/>
                <w:b w:val="false"/>
                <w:i w:val="false"/>
                <w:caps w:val="false"/>
                <w:smallCaps w:val="false"/>
                <w:sz w:val="20"/>
              </w:rPr>
              <w:t>Eletre and Emeya come with two electric motors, one driving front wheels and another driving the rear wheels. The high-power motor driving the rear wheels is developed by us with a maximum of 450 kw hp. Those motor also incorporates an 800- volt-SiC inverter and two-speed gearboxes to realize an acceleration from zero to 100 km per hour within three seconds and to maintain strong vehicle power performance at the highest speed of 265 km per hour.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Supercharging feature. </w:t>
            </w:r>
            <w:r>
              <w:rPr>
                <w:caps w:val="false"/>
                <w:smallCaps w:val="false"/>
              </w:rPr>
              <w:t> </w:t>
            </w:r>
            <w:r>
              <w:rPr>
                <w:rFonts w:ascii="Times New Roman;Times;serif" w:hAnsi="Times New Roman;Times;serif"/>
                <w:b w:val="false"/>
                <w:i w:val="false"/>
                <w:caps w:val="false"/>
                <w:smallCaps w:val="false"/>
                <w:sz w:val="20"/>
              </w:rPr>
              <w:t>Underpinned by our proprietary 800-volt architecture and high-power motors, we have developed a 420 kw supercharging solution. The supercharging feature can electrify the battery level from 10% to 80% within 20 minutes and reach 120 km range with five minutes of charging time. We are improving the performance of our supercharging solutions to further reduce the charging time.</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Digitalized Cabin and Connectivity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Adhering to our driver-centric design philosophy, we digitalized our cabin design and implemented connectivity features to meet the drivers’ expectations in vehicle digitalization and connectivity. By combining configuration and software systems together, we provide optimized intelligent cabin experiences in driving, entertainment, and interactions for our customers.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Cabin configuration. </w:t>
            </w:r>
            <w:r>
              <w:rPr>
                <w:caps w:val="false"/>
                <w:smallCaps w:val="false"/>
              </w:rPr>
              <w:t> </w:t>
            </w:r>
            <w:r>
              <w:rPr>
                <w:rFonts w:ascii="Times New Roman;Times;serif" w:hAnsi="Times New Roman;Times;serif"/>
                <w:b w:val="false"/>
                <w:i w:val="false"/>
                <w:caps w:val="false"/>
                <w:smallCaps w:val="false"/>
                <w:sz w:val="20"/>
              </w:rPr>
              <w:t>The cabin of Eletre and Emeya is equipped with the best-in-class hardware including latest chips and HUD screen technologies. We have onboarded dual Qualcomm 8155 chips to provide accelerated graphic rendering and higher data transmission speeds. Our multi-screens cabin setup provides customers convenient and immersive control over infotainment system.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Cabin operation system. </w:t>
            </w:r>
            <w:r>
              <w:rPr>
                <w:caps w:val="false"/>
                <w:smallCaps w:val="false"/>
              </w:rPr>
              <w:t> </w:t>
            </w:r>
            <w:r>
              <w:rPr>
                <w:rFonts w:ascii="Times New Roman;Times;serif" w:hAnsi="Times New Roman;Times;serif"/>
                <w:b w:val="false"/>
                <w:i w:val="false"/>
                <w:caps w:val="false"/>
                <w:smallCaps w:val="false"/>
                <w:sz w:val="20"/>
              </w:rPr>
              <w:t>Apart from top hardware configuration, we also develop our own Hyper OS cabin operating system with the “UNREAL Engine” to support real-time rendering and optimize 3D content and experiences. The operating system enables the screens to achieve a stable 60 frames per second refresh rate on screens and smooth switches among different cabin functions.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Vehicle Connectivity. </w:t>
            </w:r>
            <w:r>
              <w:rPr>
                <w:caps w:val="false"/>
                <w:smallCaps w:val="false"/>
              </w:rPr>
              <w:t> </w:t>
            </w:r>
            <w:r>
              <w:rPr>
                <w:rFonts w:ascii="Times New Roman;Times;serif" w:hAnsi="Times New Roman;Times;serif"/>
                <w:b w:val="false"/>
                <w:i w:val="false"/>
                <w:caps w:val="false"/>
                <w:smallCaps w:val="false"/>
                <w:sz w:val="20"/>
              </w:rPr>
              <w:t>The connectivity features are built for multi-vehicle connection scenarios, allowing for high-speed transmission of data among vehicles and with third parties. To enhance the connectivity functions within the vehicle, we onboarded 5G high-speed mobile networks for external downloads and gigabit ethernet for efficient internal connections among vehicle modules. The Bluetooth 5.2 and ultra-wideband digital keys are serving as critical supplements to vehicle connectivity functions for high-quality data transfer.</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Engineering Design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lightweight vehicle design and vehicle aerodynamics are the most noteworthy engineering features of our EV models design. We also provide engineering design consultancy services to external OEMs.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Aerodynamic efficiency. </w:t>
            </w:r>
            <w:r>
              <w:rPr>
                <w:caps w:val="false"/>
                <w:smallCaps w:val="false"/>
              </w:rPr>
              <w:t> </w:t>
            </w:r>
            <w:r>
              <w:rPr>
                <w:rFonts w:ascii="Times New Roman;Times;serif" w:hAnsi="Times New Roman;Times;serif"/>
                <w:b w:val="false"/>
                <w:i w:val="false"/>
                <w:caps w:val="false"/>
                <w:smallCaps w:val="false"/>
                <w:sz w:val="20"/>
              </w:rPr>
              <w:t>We have proprietary and patented technologies related to aerodynamics, including wedge-shaped car designs, air intakes, and airfoils, and our electric vehicle portfolio inherits the aerodynamics design heritage. For example, the unique porosity design together with the active aero devices can reduce the low drag coefficient of Eletre to 0.26, making it easier to pass through the surrounding air. In addition, the active rear spoiler and active air intake grille designs enable Eletre to reach a considerable vehicle downforce for optimal stability at high speeds.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Lightweight vehicle design. </w:t>
            </w:r>
            <w:r>
              <w:rPr>
                <w:caps w:val="false"/>
                <w:smallCaps w:val="false"/>
              </w:rPr>
              <w:t> </w:t>
            </w:r>
            <w:r>
              <w:rPr>
                <w:rFonts w:ascii="Times New Roman;Times;serif" w:hAnsi="Times New Roman;Times;serif"/>
                <w:b w:val="false"/>
                <w:i w:val="false"/>
                <w:caps w:val="false"/>
                <w:smallCaps w:val="false"/>
                <w:sz w:val="20"/>
              </w:rPr>
              <w:t>The “lightweight” design philosophy is key to our heritage and we keep innovating in the use of materials and in designing new processes to reduce vehicle’s weight. For example, we have designed 17 kinds of welding processes to realize aluminum-alloy and high strength steel mixed body lightweight vehicle mass production. The lightweight design enables EV models to have faster straight-line acceleration, increased range, and extraordinary handling.</w:t>
            </w:r>
          </w:p>
        </w:tc>
      </w:tr>
    </w:tbl>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Worldwide Research and Development Footprint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We have a dedicated global team to support our R&amp;D activities with a sizable scale and comprehensive functionalities, covering all major technological perspectives. Our approach to innovation demonstrates an inter-connected global collaboration among highly experienced and dedicated Lotus teams across Europe and China, each with different technological focuses.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Our research and development efforts are focusing on the development of key EV technologies while benefiting from the technological support from the Geely Holding ecosystem. We intend to continually develop cutting-edge technologies, including our 800-volt EPA architecture and hardware, X-Hybrid Architecture, algorithms, and software system to enhance the competitiveness of our vehicles. We also plan to monetize our R&amp;D capabilities by licensing our IPs and software via subscriptions to other luxury auto brands.</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Guided by our R&amp;D leaders, our global research and development team has extensive experience in automotive and technology industries. As of December 31, 2025, our R&amp;D team consisted of 582 professionals with extensive knowledge in automotive, engineering, software, AI as well as diversified working experiences from leading vehicle manufacturers globally. Such composition ensures solid technology development capabilities, especially in intelligence and digitalization. The diversified cultural and professional background promotes the exchange of ideas from different perspectives and ensures the generation of innovations.</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We established Lotus Robotics in China, the arm of our in-house intelligent driving competence. Lotus Robotics is committed to develop advanced intelligent driving technologies to foster global industry growth. Lotus Robotics has established itself as a global premier provider of comprehensive intelligent driving solutions, including advanced intelligent driving platform software, cloud toolchains, integrated hardware and software development, and intelligent driving operation solutions. Starting from 2024, Lotus Robotics has been providing end-to-end intelligent driving solutions to several leading automakers, including Lynk&amp;Co and Farizon Auto.</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We regard our patents, trademarks, copyrights, domain names, know-how, proprietary technologies and similar intellectual property as critical to our success. Our IP portfolio consists of intellectual property rights in, among others, vehicle architecture, intelligent cabin, intelligent driving, and fast charging.</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As of December 31, 2025, we had 830 registered patents and 1,066 pending patent applications in various jurisdictions such as mainland China, the U.S., Japan, and the U.K., etc., including patents for our vehicle architecture, intelligent cabin, intelligent driving, and fast charging related technologies. We also had 545 registered trademarks, including “ELETRE” and “EMEYA,” registered copyrights to 55 software programs developed by us relating to various aspects of our operations, as well as 113 registered domain names as of December 31, 2025.</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Manufacturing, Supply Chain, and Quality Control</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We view the manufacturers and suppliers we work with as key partners through our vehicle development process. We aim to leverage our partners’ industry expertise to ensure that each vehicle we produce meets our strict quality standards.</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Our Collaboration with Geely Holding</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We have established a strategic collaborative relationship with our major shareholder, Geely Holding, and our asset-light business model is supported by the Geely Holding ecosystem partners. We expect our relationship with Geely Holding to allow us to bring our vehicles to the market at an accelerated pace by leveraging Geely Holding’s manufacturing capacity, bargaining power in procurement and supply chain, capital investment, and operational support.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We entered into a manufacturing arrangement with Geely Holding, for the manufacture of our vehicles for 10 years starting from 2022. Pursuant to the manufacturing agreement, we commissioned Geely Holding for vehicle production and we agreed to authorize Geely Holding to access our technologies for the production of such models. We are mainly responsible for the design and development of the models, product announcement, and ensuring consistency with global standards of the Lotus brand. We also provide Geely Holding with the intellectual properties necessary for the vehicle production. Geely Holding is mainly responsible for the ordering and inspection of raw materials, production planning, production quality control, logistics and transportation of manufactured vehicles, and construction and operation of the manufacturing plant. Particularly, quality control is carried out in accordance with our quality assurance framework and approved by Geely Holding. In addition, Geely Holding is responsible for obtaining certificates for the manufactured vehicles.</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Manufacturing Plant</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We work with a EV manufacturing facility in Wuhan, China, which is owned and operated by Geely Holding. This manufacturing plant is purpose-built for EVs with advanced manufacturing technologies, covering an area of over one million square meters. The plant has been constructed to be a brand-new, world-class plant to produce electric vehicles. The plant has the capability of conducting stamping, welding, painting, and assembly, and is equipped with testing tracks, a quality inspection center and a utility power and sewage treatment center. It features an advanced system whereby vehicles can be transported into workshops using intelligent driving technology without any human intervention. The plant is also facilitated with an approximately three km-length track for quality inspection. Customers can experience driving experience such as racing, drifting and off-road on the track. It has nine left turns and seven right turns and can accommodate vehicles driving at speeds up to 230 km per hour through straight line.</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Our Suppliers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seek to partner with reputable suppliers. We leverage the Geely Holding ecosystem for the order of basic auto parts. </w:t>
      </w:r>
      <w:r>
        <w:rPr>
          <w:rFonts w:ascii="Times New Roman;Times;serif" w:hAnsi="Times New Roman;Times;serif"/>
          <w:color w:val="231F20"/>
          <w:sz w:val="20"/>
        </w:rPr>
        <w:t>We intend to use most of the same core suppliers for our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close relationships with key suppliers. These include NVIDIA, a global leader in AI computing, which provides its chips for the ADAS used in our vehicles; Qualcomm, a world’s leading developer of semiconductor technologies, which provides 8155 smart cockpit chips; and CATL, a world’s leading manufacturer of lithium-ion battery, which provides batteries for our EVs. Most of these suppliers are key partners in the Geely Holding ecosystem with years of strong partnership with Geely Holding.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follow Geely’s process to select suppliers taking into account quality, cost, and timing. We have a part quality management team which is responsible for managing and ensuring that suppliers meet quality standards. Our method for selecting suppliers depends on the nature of the supplies needed. For general parts which are widely available, we examine proposals from multiple suppliers and choose based on quality and price competitiveness, among other factors. For parts requiring special designs, we review design proposals and choose largely based on design-related factors. However, in certain cases we have limited choices given our scale, such as battery cell packages, so in such circumstances we typically partner with suppliers that we believe to be well-positioned to meet our needs. In addition, when part suppliers are selected, we have established certain environmental guidelines in accordance with our Environmental, Social and Governance (ESG) strategies and goals.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Quality Assurance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aim to deliver high-quality products and services to our customers in line with our core values and commitments. We believe that quality assurance is key to ensuring the delivery of high-quality products and services, and to minimize waste and to maximize efficiency. Quality management has been strongly emphasized across all business functions including product development, manufacturing, supplier quality management, procurement, charging solutions, customer experience, servicing, and logistics. Our quality management groups are responsible for our overall quality strategy, quality systems and processes, quality culture, and general quality management implementation. During the product development, several phases of testing have been implemented to verify our design and production quality. Our quality standards are guided by industry standards, including ISO9001, R155 CSMS, R156 SUMS, ISO27001/27701, Aspice L2, ISO26262 and ISO/SAE 21434.</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Now we have three volume-manufactured vehicles, Eletre, Emeya and For Me, which are manufactured at a new plant operated by Geely Holding with quality standards. All lines including stamping, welding, painting, and general assembly are developed in accordance with industry standards with a higher degree of automation. We apply more than 4,000 standards across all phases of product development and supplier quality management. Through the plant automated system, the manufacturing process parameters and parts information are monitored for process control and traceability.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Our Environmental, Social and Governance Charter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Guided by the same principle of the Lotus brand and in collaboration with Lotus UK, our new ESG Charter formalizes the activities that we have been carrying out. As we transform rapidly to become a global pioneer of electric performance vehicles, we recognize our responsibility to do so in ways that lead our industry in minimizing its impact on the environment, benefitting society and the planet as a whole.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Focus on electric vehicles</w:t>
            </w:r>
            <w:r>
              <w:rPr>
                <w:rFonts w:ascii="Times New Roman;Times;serif" w:hAnsi="Times New Roman;Times;serif"/>
                <w:b w:val="false"/>
                <w:i w:val="false"/>
                <w:caps w:val="false"/>
                <w:smallCaps w:val="false"/>
                <w:sz w:val="20"/>
              </w:rPr>
              <w:t>.   Eletre</w:t>
            </w:r>
            <w:r>
              <w:rPr>
                <w:caps w:val="false"/>
                <w:smallCaps w:val="false"/>
              </w:rPr>
              <w:t xml:space="preserve"> </w:t>
            </w:r>
            <w:r>
              <w:rPr>
                <w:rFonts w:ascii="Times New Roman;Times;serif" w:hAnsi="Times New Roman;Times;serif"/>
                <w:b w:val="false"/>
                <w:i w:val="false"/>
                <w:caps w:val="false"/>
                <w:smallCaps w:val="false"/>
                <w:sz w:val="20"/>
              </w:rPr>
              <w:t>and Emeya, our new generation of vehicles, marks our transition to a great line-up of electric vehicles. In 2024, Lotus has also unveiled its first concept car, Theory</w:t>
            </w:r>
            <w:r>
              <w:rPr>
                <w:caps w:val="false"/>
                <w:smallCaps w:val="false"/>
              </w:rPr>
              <w:t xml:space="preserve"> </w:t>
            </w:r>
            <w:r>
              <w:rPr>
                <w:rFonts w:ascii="Times New Roman;Times;serif" w:hAnsi="Times New Roman;Times;serif"/>
                <w:b w:val="false"/>
                <w:i w:val="false"/>
                <w:caps w:val="false"/>
                <w:smallCaps w:val="false"/>
                <w:sz w:val="20"/>
              </w:rPr>
              <w:t xml:space="preserve">1, centered on advanced technology, material minimization, and sustainable development. In contrast to mainstream industry models that utilize hundreds of surface materials, Theory 1 sets a </w:t>
            </w:r>
            <w:r>
              <w:rPr>
                <w:caps w:val="false"/>
                <w:smallCaps w:val="false"/>
              </w:rPr>
              <w:t>“</w:t>
            </w:r>
            <w:r>
              <w:rPr>
                <w:rFonts w:ascii="Times New Roman;Times;serif" w:hAnsi="Times New Roman;Times;serif"/>
                <w:b w:val="false"/>
                <w:i w:val="false"/>
                <w:caps w:val="false"/>
                <w:smallCaps w:val="false"/>
                <w:sz w:val="20"/>
              </w:rPr>
              <w:t>Challenge of 10</w:t>
            </w:r>
            <w:r>
              <w:rPr>
                <w:caps w:val="false"/>
                <w:smallCaps w:val="false"/>
              </w:rPr>
              <w:t xml:space="preserve">” </w:t>
            </w:r>
            <w:r>
              <w:rPr>
                <w:rFonts w:ascii="Times New Roman;Times;serif" w:hAnsi="Times New Roman;Times;serif"/>
                <w:b w:val="false"/>
                <w:i w:val="false"/>
                <w:caps w:val="false"/>
                <w:smallCaps w:val="false"/>
                <w:sz w:val="20"/>
              </w:rPr>
              <w:t>goal, employing only 10 core surface materials characterized by durability, lightweight properties, and renewability. By reducing material variety in the vehicle, the aim is to promote resource circularity, decrease reliance on virgin resources, and further mitigate environmental impact.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Carbon-neutral sustainable development</w:t>
            </w:r>
            <w:r>
              <w:rPr>
                <w:rFonts w:ascii="Times New Roman;Times;serif" w:hAnsi="Times New Roman;Times;serif"/>
                <w:b w:val="false"/>
                <w:i w:val="false"/>
                <w:caps w:val="false"/>
                <w:smallCaps w:val="false"/>
                <w:sz w:val="20"/>
              </w:rPr>
              <w:t>.  Our commitment to “Driving Change” includes significant reduction in carbon emissions throughout the business, substantial elimination of waste, driving efficient and sustainable use of resources in both operations and supply chains, and protecting and preserving natural environments. We target to achieve carbon neutrality across the entire value chain by 2038. We have completed carbon footprint assessments at the organizational level for five consecutive years (2021-2025). Manufacturing sustainability is of high importance to us and minimizing environmental impacts is one of the most important targets of the manufacturing plant from the very beginning. We have worked with Geely Holding to carry out a series of energy-saving and emission reduction measures at Geely Holding’s manufacturing plant. The photovoltaic power generation system at Lotus Global Smart Factory generated more than 22,263 MWh in 2025. Lotus Global Smart Factory was honored the “Leading Zero-Carbon Factory.” Moreover, our Raw Material Natural Capital Assessment Project was recognized as a leading industry practice in the World Economic Forum’s Nature Positive Transition Report series.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Inspiring the next generation</w:t>
            </w:r>
            <w:r>
              <w:rPr>
                <w:rFonts w:ascii="Times New Roman;Times;serif" w:hAnsi="Times New Roman;Times;serif"/>
                <w:b w:val="false"/>
                <w:i w:val="false"/>
                <w:caps w:val="false"/>
                <w:smallCaps w:val="false"/>
                <w:sz w:val="20"/>
              </w:rPr>
              <w:t>.  To help engage the next generation of Lotus colleagues, we leverage Lotus’s unique global appeal and stimulate the ambitions of next generation, especially in the creative science, technology, engineering, art, and mathematics subjects. We help carry out educational outreach programs and work with our communities outside the core business to provide support and stability within its environments. We also adopt and align our strategy to external frameworks including the UN Global Compact, including commitments to transparent, responsible, and ethical business management.</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release ESG Report annually to document our ESG strategy and highlight our ESG achievements as part of Lotus’s advancement into an intelligent, and sustainable luxury mobility provider under the brand’s Vision80 strategy. Our strategy focuses on six key fields: Nature Positive, Climate Neutrality, Sustainable Supply Chain, Inclusion and Equality, Community Commitment, and Transparent Governance. We joined the United Nations Global Compact (UNGC) and became the supporter of ISSB in 2023. We have set targets aligned with the United Nations Sustainable Development Goals (SDGs) for each field, embedding actionable frameworks into its operations to achieve the global goals. In 2024, we were granted the Highly Commends honor at the Reuters Sustainability Awards 2024 and were awarded the Green Apple Environment Award by the Green Organization for our innovation and exceptional commitment to sustainability and responsible business practices. Additionally, we were honored the Decarbonization Leader by European Union Chamber of Commerce in China, demonstrating global recognition of our holistic approach to sustainability. In 2025, we were awarded the “Green Development” honor in the 2025 China Automotive Industry Sustainable Development Practice Cases guided by the China Association of Automobile Manufacturers (CAAM).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Branding and Marketing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By building up on our iconic sportscar reputation, together with the ambition to invest in a lifestyle business, we have established a strong commercial organizational competence.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one of the most effective forms of marketing is to continually improve our customers’ experience. Our omni-channel sales model is customer-oriented, where our customers can both access our online platform to customize their vehicles, make payments, and order for aftersales services, and come visit us in person, consult our sales team, and reserve for test-driving sessions.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continue to build consumer community and enhance brand awareness globally. In 2025, Lotus Cup GT Racing Series successfully concluded after four intense rounds held in Chengdu (China), Ningbo (China), and Sepang (Malaysia). It has marked a breakthrough in international participation, bringing together drivers and teams from multiple countries and regions, forming a uniquely global racing lineup. On November 16th, drivers Lu Wenlong and Liu Kai Shun, piloting the Lotus Emira GT4, claimed the championship and third place respectively in the 72nd Macau Grand Prix Greater Bay Area GT Cup (GT4), adding further glory to Lotus sports cars. It reinforces the brand’s high-performance image through track proven reliability.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Cybersecurity and Privacy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prioritize the trust of our customers and employees and place great emphasis on systems and product security, cybersecurity, and privacy. To protect our systems, products, and data, we apply a variety of technical and organizational security policies, procedures, technical controls and protocols. We have a dedicated team of professionals that focus on application, network, system and product security based upon a clearly defined organizational operating model. We have obtained the ISO/IEC 27001 certifications (GB/T 22080-2016), and R155/R156 certifications. We have also commenced a corporate-wide data privacy policies and controls with dedicated cross-functional resources.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implement enterprise vulnerability management processes that include periodic scans designed to identify security vulnerabilities and implement a remediation. In addition, we conduct internal and external penetration tests, receive threat intelligence, follow incident response procedures, and remediate vulnerabilities according to severity and risk. Further, seeking to implement effective management, control, and protection, we have established a centralized, organization-wide view of information assets.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instituted cybersecurity risk monitor policies to detect threats and cybersecurity risks of our enterprise information assets and products, we have implemented cybersecurity monitoring capabilities that collect and analyze telemetries from a wide range of sources and takes proactive actions to ensure the security risk visualization of our systems and products.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cloud security policies seek to enable secure cloud architecture deployments and extend security capabilities. Utilizing signed certificates, encryption keys, message authentication codes, and cryptography algorithms, we adopt authentication and encryption to secure our products, software, vehicles and their components, and OTA updates. Additionally, we utilize pre-condition checks, sequence and dependency execution, and failure recovery when performing updates during the OTA process.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vehicle development involves a significant degree of automation and technology. With that level of complexity and interconnectivity in mind, we are building cybersecurity by TARA process into our vehicle development process itself, with the intent of enabling the business to remain resilient to any potential attacks at our vehicle development.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objective of our privacy policies is to facilitate beneficial uses of data to improve our products and services while preserving our customers’ privacy expectations and complying with applicable law. Global privacy laws and practices will guide the operational design, controls, procedures, and policies for our program. Our strategy accounts for increased risk as our business scales by addressing appropriate security and access controls for customer and employee information. A core tenet of our privacy measures is to implement privacy-by-design principles in both software and hardware development throughout our organization. Our privacy measures will continue to evolve and adapt, utilizing best practices and tailored risk management frameworks, to allow for close collaboration across the organization, particularly between our information technology and legal functions, which is critical for effective privacy measures.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also work to increase cybersecurity and privacy awareness throughout the organization through education and training. Our cloud security policies seek to enable secure cloud architecture deployments and extend security capabilities. Utilizing signed certificates, encryption keys, message authentication codes, and cryptography algorithms, we have deployed authentication and encryption as part of our efforts to secure our products, software, vehicles and their components, and OTA updates. Additionally, we utilize pre-condition checks, sequence and dependency execution, failure detection, and rollback and recovery when performing updates during the OTA process.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face competition from both traditional luxury automotive developers and an increasing number of newer companies focused on electric and other alternative fuel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believe the primary competitive factors on which we compete with our peers include, but are not limited to:</w:t>
      </w:r>
    </w:p>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recognition, prestige, and heritage;</w:t>
            </w:r>
          </w:p>
        </w:tc>
      </w:tr>
    </w:tbl>
    <w:tbl>
      <w:tblPr>
        <w:tblW w:w="2766" w:type="dxa"/>
        <w:jc w:val="left"/>
        <w:tblInd w:w="0" w:type="dxa"/>
        <w:tblLayout w:type="fixed"/>
        <w:tblCellMar>
          <w:top w:w="28" w:type="dxa"/>
          <w:left w:w="28" w:type="dxa"/>
          <w:bottom w:w="28" w:type="dxa"/>
          <w:right w:w="28" w:type="dxa"/>
        </w:tblCellMar>
      </w:tblPr>
      <w:tblGrid>
        <w:gridCol w:w="124"/>
        <w:gridCol w:w="256"/>
        <w:gridCol w:w="2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styling, and luxury;</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innovation;</w:t>
            </w:r>
          </w:p>
        </w:tc>
      </w:tr>
    </w:tbl>
    <w:tbl>
      <w:tblPr>
        <w:tblW w:w="2001" w:type="dxa"/>
        <w:jc w:val="left"/>
        <w:tblInd w:w="0" w:type="dxa"/>
        <w:tblLayout w:type="fixed"/>
        <w:tblCellMar>
          <w:top w:w="28" w:type="dxa"/>
          <w:left w:w="28" w:type="dxa"/>
          <w:bottom w:w="28" w:type="dxa"/>
          <w:right w:w="28" w:type="dxa"/>
        </w:tblCellMar>
      </w:tblPr>
      <w:tblGrid>
        <w:gridCol w:w="124"/>
        <w:gridCol w:w="25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driver experience;</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and performance;</w:t>
            </w:r>
          </w:p>
        </w:tc>
      </w:tr>
    </w:tbl>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reliability and safety;</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 range, efficiency, and charging speeds;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service and customer experience, such as access to charging options and availability and terms of aftersales services;</w:t>
            </w:r>
          </w:p>
        </w:tc>
      </w:tr>
    </w:tbl>
    <w:tbl>
      <w:tblPr>
        <w:tblW w:w="1671" w:type="dxa"/>
        <w:jc w:val="left"/>
        <w:tblInd w:w="0" w:type="dxa"/>
        <w:tblLayout w:type="fixed"/>
        <w:tblCellMar>
          <w:top w:w="28" w:type="dxa"/>
          <w:left w:w="28" w:type="dxa"/>
          <w:bottom w:w="28" w:type="dxa"/>
          <w:right w:w="28" w:type="dxa"/>
        </w:tblCellMar>
      </w:tblPr>
      <w:tblGrid>
        <w:gridCol w:w="124"/>
        <w:gridCol w:w="256"/>
        <w:gridCol w:w="1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price;</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team experience at bringing electric vehicles and other disruptive technologies to market;</w:t>
            </w:r>
          </w:p>
        </w:tc>
      </w:tr>
    </w:tbl>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efficiency;</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impact and perception; and</w:t>
            </w:r>
          </w:p>
        </w:tc>
      </w:tr>
    </w:tbl>
    <w:tbl>
      <w:tblPr>
        <w:tblW w:w="5136" w:type="dxa"/>
        <w:jc w:val="left"/>
        <w:tblInd w:w="0" w:type="dxa"/>
        <w:tblLayout w:type="fixed"/>
        <w:tblCellMar>
          <w:top w:w="28" w:type="dxa"/>
          <w:left w:w="28" w:type="dxa"/>
          <w:bottom w:w="28" w:type="dxa"/>
          <w:right w:w="28" w:type="dxa"/>
        </w:tblCellMar>
      </w:tblPr>
      <w:tblGrid>
        <w:gridCol w:w="124"/>
        <w:gridCol w:w="256"/>
        <w:gridCol w:w="4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and sophistication of related vehicle software.</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believe our brand and history, our focus on design and experience, our advanced technologies, our relationship with Geely Holding and therefore the benefits we can obtain during the vehicle development phase, and our future-proof approach give us a competitive edge and allow us to formulate a highly differentiated go-to-market strategy. We also have a scalable asset-light business model that we believe generates significant competitive advantages, allowing us to incur less upfront capital expenditure and focus on R&amp;D and technologies.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maintain various insurance policies to safeguard ourselves against risks and unexpected events. We maintain property insurance, public liability insurance, commercial general liability insurance, employer’s liability insurance, driver’s liability insurance, and inland transit insurance. In addition to providing social security insurance for our employees as required by applicable laws, we also provide supplemental commercial medical insurance for our employees. We do not maintain business interruption insurance or key-man insurance. We believe that our insurance coverage is adequate to cover our key assets, facilities, and liabilities.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PRC Government Regulations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rules and regulations that affect our business activities in China.</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Foreign Investment in China</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Guidance Catalog of Industries for Foreign Investment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Investments in China by foreign investors and foreign-invested enterprises are regulated by (i) the Special Management Measures (Negative List) for the Access of Foreign Investment (2024 Version), or the 2024 Negative List, which was jointly promulgated by the Ministry of Commerce and NDRC on September 6 2024 and took effect on November 1, 2024, and (ii) the Catalog of Industries for Encouraged Foreign Investment (2025 Version), or the 2025 Encouraged Catalog, which was jointly promulgated by the Ministry of Commerce and NDRC on December 15, 2025 and took effect on February 1, 2026. The 2025 Encouraged Catalog and the 2024 Negative List set out the industries and economic activities in which foreign investment in China is encouraged, restricted, or prohibited. Pursuant to the 2025 Encouraged Catalog, the research and development and manufacture of automobiles, the research and development and manufacture of key parts and components of intelligent vehicles, and the research and development and manufacture of key parts and components of intelligent vehicles of new energy vehicles fall within the encouraged category. However, the 2024 Negative List provides that foreign investors shall hold no more than 50% of the equity interest in a service provider operating certain value-added telecommunications services (other than for e-commerce, domestic multi-parties communications, storage and forwarding categories, call centers).</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Foreign Investment Law</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PRC National People’s Congress promulgated the Foreign Investment Law, or the 2019 PRC Foreign Investment Law, which came into effect on January 1, 2020. The 2019 Foreign Investment Law embodies an expected regulatory trend in mainland China to rationalize its foreign investment regulatory regime in line with prevailing international practice and the legislative efforts to unify the corporate legal requirements for both foreign and domestic-invested enterprises in China. The 2019 Foreign Investment Law establishes the basic framework for the access to, and the promotion, protection, and administration of foreign investments in view of investment protection and fair competition. Furthermore, the 2019 PRC Foreign Investment Law stipulates that foreign-invested enterprises established according to the previously existing laws regulating foreign investment may maintain their structure and corporate governance within five years after the implementation of the 2019 PRC Foreign Investment Law.</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2019 Foreign Investment Law stipulates that foreign-invested enterprises operating in “restricted” or “prohibited” industries in the Negative List will be required to obtain market-entry clearance and other approvals from PRC government authorities.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December 26, 2019, the State Council approved the Implementation Regulations of Foreign Investment Law, which took effect on January 1, 2020, and further requires equal treatment of PRC domestic companies and foreign-invested enterprises in terms of policy making and implementation. On December 26, 2019, the PRC Supreme People’s Court issued an Interpretation on the Application of Foreign Investment Law, which took effect on January 1, 2020. This interpretation applies to all contractual disputes arising from the acquisition of the rights and interests by a foreign investor by way of gift, division of property, merger of enterprises, or division of enterprises.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Manufacturing Passenger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Provisions on Administration of Investment in Automotive Industry, which was promulgated by NDRC and effective on January 10, 2019, enterprises are encouraged to, through equity investment and production capacity cooperation, facilitate mergers and restructuring, enter into strategic alliances, carry out joint research and development of products, organize joint manufacturing, and increase industrial integration. The leading resources in production, education, research, application, and other areas are encouraged to be integrated, and core enterprises in the automotive industry are encouraged to form industrial alliance and industrial consortium.</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Administrative Rules on the Admission of New Energy Vehicle Manufacturers and Products (with its latest amendment taking effect on September 1, 2020), to be included in the Vehicle Manufacturers and Products Announcement, our vehicles must satisfy certain conditions, including, among others, meeting certain standards set out therein, meeting other safety and technical requirements specified by the Ministry of Industry and Information Technology, and passing inspections conducted by a state-recognized inspection institution. After these conditions are met and the application has been approved by the Ministry of Industry and Information Technology, the qualified vehicles will be included in the Vehicle Manufacturers and Products Announcement by the Ministry of Industry and Information Technology. If a passenger vehicle manufacturer manufactures or sells any model of a passenger vehicle without prior approval of the competent authorities, including the inclusion in the Vehicle Manufacturers and Products Announcement by the Ministry of Industry and Information Technology, it may be subject to penalties, including fines, forfeiture of any illegally manufactured and sold vehicles and spare parts, and revocation of its business licenses.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Compulsory Product Certification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Regulations on Certification and Accreditation (with its latest amendment taking effect on July 20, 2023), certification and accreditation activities in mainland China shall comply with these regulations. Under the Administrative Regulations on Compulsory Product Certification, which took effect on November 1, 2022, the List of the First Batch of Products Subject to Compulsory Product Certification, which took effect on December 3, 2001, and the Compulsory Product Certification Catalogue Description and Definition Form (with its latest amendment taking effect on August 10, 2023), the State Administration for Market Regulation is responsible for the regulation and quality certification, and vehicle wireless terminal and vehicle wireless module cannot be delivered, sold, imported, or used in operating activities until certified by designated PRC certification authorities as qualified products and granted certification marks, otherwise the violator shall be ordered to make correction and be imposed with a fine ranging from RMB50,000 to RMB200,000 and the illegal income shall be confiscated.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Intelligent Connected Vehicles and Autonomous Driving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July 27, 2021, the Ministry of Industry and Information Technology, the Ministry of Public Security and the Ministry of Transport, jointly issued the Good Practices for the Administration of Road Test and Demonstration Application of Intelligent Connected Vehicles (for Trial Implementation), or Circular 97, which became effective on September 1, 2021, and is the primary regulation governing road tests and demonstrations of intelligent connected vehicles in China. Pursuant to Circular 97, any entity intending to conduct a road testing of autonomous driving vehicles must obtain a road-testing certificate and a temporary license plate for each tested vehicle. To qualify for above testing certificate and temporary license plate, an applicant entity must satisfy, among others, the following requirements: (1) it must be an independent legal person registered in PRC with the capacity to conduct intelligent connected vehicles-related businesses such as manufacturing, technological research and testing of vehicles and vehicle parts, which has established protocol to test and assess the performance of autonomous driving system and is capable of conducting real-time remote monitor of the road tested vehicles, and with the ability of event recording, analysis and reproduction of the vehicles under road testing and ensuring the network security of the vehicles under road testing and the remote monitor platforms; (2) the vehicle under road testing must be equipped with a driving system that can switch between autonomous pilot mode and human operating mode in a safe, quick and simple manner and allows human driver to take control of the vehicle any time immediately when necessary; (3) the tested vehicle must be equipped with the functions of recording, storing and real-time monitoring the condition of the vehicle and is able to transmit real-time data of the vehicle, such as the driving mode, location and speed; (4) the applicant entity must sign an employment contract or a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 (5) the applicant entity must insure each tested vehicle for at least RMB5 million against car accidents or provide a letter of guarantee covering the same. In addition, during testing, the testing entity should post a noticeable identification logo for autonomous driving test on each tested car and should not use autonomous driving mode unless in the permitted testing areas specified in the road-testing certificate. If the testing entity intends to conduct road testing in the region beyond the administrative territory of the certificate issuing authority, it must apply for a separate road-testing certificate and a separate temporary license plate from the authority supervising the road-testing of autonomous cars in that region. In addition, the testing entity is required to submit to the road-testing certificate issuing authority a periodical testing report every six months and a final testing report within one month after completion of the road testing. In the case of a car accident causing severe injury or death of personnel or vehicle damage, the testing entity must report the accident to the road-testing certificate issuing authority within 24 hours and submit a comprehensive analysis report in writing covering cause analysis, final liability allocation results, etc. within five working days after the traffic enforcement agency determines the liability for the accident.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Opinions of the Ministry of Industry and Information Technology on Strengthening the Administration of Intelligent Connected Vehicle Manufacturers and Access of Products, which was issued by the Ministry of Industry and Information Technology and implemented on July 30, 2021, the primary opinion that enterprises producing auto products with autonomous driving function shall ensure that the auto products at least satisfy the following requirements: (i) it is capable of automatically identify the failure of the autonomous driving system and whether the designed operating conditions are continuously met, and take risk mitigation measures to achieve the minimum risk level; (ii) it is equipped with human-machine interaction function displaying the operating condition of the autonomous driving system; (iii) it has an event data recording system and autonomous driving data recording system to discharge applicable functions, performance and safety requirements for accident reconstruction, liability determination and cause analysis, etc.; (iv) it must satisfy the safety requirements to ensure functional safety, expected functional safety, network safety and other process safety, as well as testing requirements such as simulation nature, closed area, actual road, network safety, software upgrade, data recording, to avoid foreseeable and preventable accidents under the designed operating conditions of the tested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Notice of the Ministry of Industry and Information Technology on Strengthening Network Safety and Data Safety Work of Vehicle Connectivity issued by the Ministry of Industry and Information Technology and implemented on September 15, 2021, enterprises engaged in vehicle connectivity shall strengthen the prevention and protection of intelligent connected vehicles safety, vehicle connectivity’s network safety, vehicle connectivity’s service platform safety and data safety, and improve the safety standard system, for network safety and data safety.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Promoting the Development of Intelligent Connected Vehicles and Maintaining the Security of Surveying and Mapping Geographic Information issued by the Ministry of Natural Resources on August 25, 2022, if an intelligent connected vehicle is equipped with or integrated with certain sensors, the collection, storage, transmission and processing of surveying and mapping geographic information and data, including spatial coordinates, images, point clouds and their attribute information, of vehicles and surrounding road facilities in the process of road test, will be considered surveying and mapping activities. Persons who collect, store, transmit and process such surveying and mapping geographic information and data, will be the main actors of surveying and mapping activities. Additionally, if any vehicle manufacturer, service provider or smart driving software provider that is a foreign-invested enterprise needs to engage in the collection, storage, transmission and processing of surveying and mapping geographic information and data, it shall entrust an agency with surveying and mapping qualification to carry out the intended activities, and the entrusted agency shall undertake the collection, storage, transmission and processing of spatial coordinates, images, point clouds and their attribute information and other businesses, and provide geographic information service and support.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July 26, 2024, the Ministry of Natural Resources issued the Circular on Strengthening the Security Management of Surveying and Mapping Geographic Information Related to Intelligent Connected Vehicles, which reiterates the importance of geographic information security and specifies detailed requirements regarding the scope of geographic data, types of surveying qualifications, and full-process supervision.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April 16, 2025, the First Department of Equipment Industry under MIIT convened a progress meeting on intelligent connected vehicle product access and software over-the-air (OTA) upgrade management. The meeting focused on the product access and OTA filing requirements outlined in the Notice on Further Strengthen the Administration of ICV Product Access, Recalls, and OTA Upgrade, or the Notice, which was jointly issued by the MIIT and the SAMR on February 25, 2025. The meeting emphasized that manufacturers must thoroughly implement the Notice’s requirements, conduct comprehensive testing and validation for combined driving assistance systems, clearly define system functional boundaries and safety response protocols, avoid exaggerated or false marketing claims, strictly fulfill disclosure obligations, uphold accountability for production consistency and quality safety, and systematically enhance the safety of ICV products.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Automobile Sales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Administrative Measures on Automobile Sales promulgated by the Ministry of Commerce on April 5, 2017 and effective on July 1, 2017, automobile suppliers and dealers, after receiving a business license, are required to file the basic information through the information management system for the national automobile circulation operated by the competent commerce department of the State Council within 90 days; and such automobile suppliers and dealers must update any change to their filed information within 30 days upon such change in information.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the Recall of Defective Automobiles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Administrative Provisions on Defective Automotive Product Recalls, amended on March 2, 2019, the product quality supervision department of the State Council is in charge of the supervision and administration of recalls of defective automobile products nationwide. If an automobile producer is informed of any possible defect in its automobile products, it shall immediately organize an investigation and analysis and truthfully report the results of the investigation and analysis to the product quality supervision department of the State Council. If an automobile producer confirms the existence of a defect in its automobile products, it shall immediately cease the production, sale or import of the defective automobile products and recall all such defective products, and at the same time, it shall formulate a recall plan and file it with the product quality supervision and management department of the State Council. Any recall plan previously filed shall be filed again if there is any change to it. If the producer fails to implement the recall, the product quality supervision department of the State Council shall order the recall. If any automobile producer conceals a defect, refuses to recall by order or fails to stop producing or selling or importing the defective automobile products, it will be ordered to make a correction and subject to fines. Any illegal income will be confiscated, and in severe cases, the permit will be revoked by the licensing authority.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Implementation Rules on the Administrative Provisions on Defective Automotive Product Recalls amended on October 23, 2020, the State Administration for Market Regulation is responsible for the supervision and administration of recalls of defective automobile products nationwide. To implement a recall, the producer shall formulate a recall plan and file it with the State Administration for Market Regulation and notify its operators in an effective manner. If a producer modifies a recall plan that is previously filed, it shall file it again with the State Administration for Market Regulation and submit explanatory materials. The producer shall release the information of the defective automobile products and the information related to the implementation of a recall in ways that are convenient for the public to receive such information, such as through newspapers, websites, radio and television, and inform owners of the automobile products of such defects, emergency treatment to avoid damage and the producer’s measures to eliminate the defects.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Circular on Further Improving the Regulation of Recall of Automobile with OTA Technology promulgated by the State Administration for Market Regulation on November 23, 2020 and effective on the same date, automobile producers that provide technical services through OTA, in respect of the vehicles sold, are required to complete filing with the State Administration for Market Regulation. If a producer adopts the OTA method to eliminate defects in automobile products and implements a recall, it shall formulate a recall plan and file it with the State Administration for Market Regulation. If the OTA method fails to effectively eliminate defects or cause new defects, the producer shall take recall measures again.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the Filing of Online Upgrade of Automotive Software promulgated and implemented by the Ministry of Industry and Information Technology Equipment Industry Development Center on April 15, 2022, filing shall be made for a vehicle manufacturer that has obtained the manufacturing permission license for road vehicles, the vehicle products with OTA upgrade function produced by it and the OTA upgrade activities conducted, with tiered filing based on the impact assessment of specific upgrading activities. In particular, it can be divided into three categories: (i) for upgrading activities not involving changes in product safety, environmental protection, energy saving, anti-theft and other technical performance, enterprises may directly conduct such upgrading activities after filing; (ii) for upgrading activities involving changes in product safety, environmental protection, energy saving, anti-theft and other technical performance, enterprises shall submit verification materials to ensure that the products comply with national laws and regulations, technical standards and specifications as well as other requirements. Among them, for upgrading activities involving the change of technical parameters in the Notice, enterprises shall apply for product change or extension with the Ministry of Industry and Information Technology in accordance with the management requirements of the Notice before filing such upgrading activities, with such upgrade subject to the completion of product admission under the Notice according to the process, so as to ensure the consistency of vehicle product production; (iii) for upgrading activities involving vehicle autonomous driving functions (level 3 and above of driving automation classification), they should be approved by the Ministry of Industry and Information Technology.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Guiding Opinions on Further Strengthening the Construction of Safety System for New Energy Vehicle Enterprises issued by the General Office of the Ministry of Industry and Information Technology, the General Office of the Ministry of Public Security, the General Office of the Ministry of Transport, the General Office of the Ministry of Emergency Management and the State Administration for Market Regulation on March 29, 2022, it proposed to comprehensively enhance the safety capabilities of enterprises in safety management mechanism, product quality, operation monitoring, after-sales service, accident response and handling, as well as network security, improve the safety of new energy vehicles, and promote the high-quality development of the new energy vehicle industry.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 on Import and Export of Goods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PRC Foreign Trade Law promulgated on May 12, 1994 (with its latest amendment taking effect on December 27, 2025) which took effect on March 1, 2026, foreign trade operators shall submit documents and material related to its foreign trade activities to the authorities in accordance with the provisions promulgated by the foreign trade authorities of the State Council or other State Council departments in accordance with the law.</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Customs Law (with its latest amendment taking effect on April 29, 2021), where a consignee or consignor of import or export goods goes through customs declaration procedures, it shall file for record with the customs, and in the event customs declaration business is engaged in without being filed with the customs, the customs shall impose a fine against the entity concerned. Under the Administrative Provisions of the Customs on Record-filing of Customs Declaration Entities, which took effect on January 1, 2022, customs declaration entities include consignees or consignors of import or export goods that have filed for record with customs in accordance with these provisions, and consignors or consignees of import or export goods that apply for record-filing shall have obtained market entity qualifications. Record-filing of customs declaration entities shall be valid permanently.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Product Liability and Consumer Protection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May 28, 2020, the National People’s Congress approved the PRC Civil Code, which took effect on January 1, 2021. According to the Civil Code, if defective products are identified after they have been put into circulation, their manufacturers or sellers must timely take remedial measures such as warning announcement and product recall. If damage arises from a defective product, the aggrieved party may seek compensation from either the manufacturer or the seller of the product. If the defect is caused by the seller, the manufacturer will be entitled to seek indemnification from the seller upon compensation of the aggrieved party. If the products are manufactured or sold with known defects causing deaths or severe health issues, punitive damages may be claimed in addition to compensatory damages.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Product Quality Law (with its latest amendment taking effect on December 29, 2018), a manufacturer is prohibited from making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claim compensation against the manufacturer or the seller of the product. Manufacturers and sellers of non-compliant products may be ordered to cease the manufacture or sale of the products and could be subject to confiscation of the products or fines. Income from sales in contravention of such standards or requirements may also be confiscated, and in severe cases, the business license may be revoked.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business is subject to a variety of consumer protection laws, including the PRC Consumer Rights and Interests Protection Law, which was amended in 2013 and took effect on March 15, 2014. This law imposes stringent requirements and obligations on business operators. For example, business operators should guarantee that the products and services they provide satisfy the requirements for personal or property safety, and provide consumers with authentic information about the quality, function, usage, and term of validity of the products or services. Failure to comply with these consumer protection laws could subject us to administrative sanctions, such as the issuance of a warning, confiscation of illegal income, imposition of fines, an order to cease business operations, or revocation of business licenses, as well as potential civil or criminal liabilities.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Relating to Battery Recycling for Electric Vehicles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Interim Measures for the Administration of Recycling Traction Batteries of New Energy Vehicles, which was promulgated by the Ministry of Industry and Information Technology in conjunction with the Ministry of Science and Technology, the Ministry of Environmental Protection (later known as Ministry of Ecology and Environment), the Ministry of Transport, the Ministry of Commerce, the General Administration of Quality Supervision, Inspection and Quarantine, and the PRC National Energy Administration on January 26, 2018 and effective on August 1, 2018, implements the system of extended responsibility of producers, according to which the main responsibility for traction battery recycling is borne by automobile manufacturers, and enterprises shall fulfil their corresponding responsibilities in all aspects of traction battery recycling and utilization to ensure the effective use and environmentally-friendly disposal of traction batteries.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Interim Provisions on Traceability Management of Traction Battery Recycling for New Energy Vehicles, which was effective from August 1, 2018, the “Integrated Management Platform for National Monitoring of New Energy Vehicles and Traceability of Traction Battery Recycling and Utilization” shall be established to collect information on the whole lifecycle of traction battery production, sales, use, disposal, recycling and utilization, and to monitor the fulfilment of the responsibility of battery recycling and utilization by the subjects of each link. From the effective date of the Interim Provisions on Traceability Management of Traction Battery Recycling for New Energy Vehicles, the new energy vehicle products that have obtained the Announcement of Road Power-Driven Vehicle Manufacturing Enterprises and Products and the imported new energy vehicles that have obtained compulsory product certification are managed in a traceable manner. For the new energy vehicle products that have obtained access approval and the imported new energy vehicles that have obtained compulsory product certification before the effective date of the Interim Provisions on Traceability Management of Traction Battery Recycling for new energy vehicles, the implementation of traceability management will be delayed for 12 months. If, after the deadline, it is necessary to use traction batteries that are not coded according to national standards in the process of maintenance or other processes, an explanation shall be submitted.</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According to Requirements of the Industry Standard Conditions for Comprehensive Utilization of Waste Traction Batteries of New Energy Vehicles (2024 Edition) promulgated by the Ministry of Industry and Information Technology on December 16, 2024 and effective on January 1, 2025, enterprises that carry out echelon recovery or recycling recovery of wasted power storage batteries of New Energy Vehicles shall follow the principle of echelon recovery first, and then recycling recovery to improve the comprehensive utilization according to the national and industrial standards and technical information such as dismantling, disassembling and historical data of power storage batteries provided by new energy vehicle manufacturers and other manufacturers. Established new energy vehicle manufacturers and energy vehicle batteries manufacturers are encouraged to participate in new comprehensive utilization projects.</w:t>
      </w:r>
    </w:p>
    <w:p>
      <w:pPr>
        <w:pStyle w:val="TextBody"/>
        <w:bidi w:val="0"/>
        <w:spacing w:lineRule="auto" w:line="285" w:before="0" w:after="160"/>
        <w:ind w:left="0" w:right="0" w:hanging="0"/>
        <w:jc w:val="left"/>
        <w:rPr>
          <w:rFonts w:ascii="Times New Roman;Times;serif" w:hAnsi="Times New Roman;Times;serif"/>
          <w:b/>
          <w:i/>
          <w:sz w:val="20"/>
        </w:rPr>
      </w:pPr>
      <w:r>
        <w:rPr>
          <w:rFonts w:ascii="Times New Roman;Times;serif" w:hAnsi="Times New Roman;Times;serif"/>
          <w:b/>
          <w:i/>
          <w:sz w:val="20"/>
        </w:rPr>
        <w:t>Favorable Government Policies Relating to New Energy Vehicles in mainland China</w:t>
      </w:r>
    </w:p>
    <w:p>
      <w:pPr>
        <w:pStyle w:val="TextBody"/>
        <w:bidi w:val="0"/>
        <w:spacing w:lineRule="auto" w:line="285" w:before="0" w:after="160"/>
        <w:ind w:left="360" w:right="0" w:hanging="0"/>
        <w:jc w:val="left"/>
        <w:rPr>
          <w:rFonts w:ascii="Times New Roman;Times;serif" w:hAnsi="Times New Roman;Times;serif"/>
          <w:b/>
          <w:i/>
          <w:sz w:val="20"/>
        </w:rPr>
      </w:pPr>
      <w:r>
        <w:rPr>
          <w:rFonts w:ascii="Times New Roman;Times;serif" w:hAnsi="Times New Roman;Times;serif"/>
          <w:b/>
          <w:i/>
          <w:sz w:val="20"/>
        </w:rPr>
        <w:t>Government Subsidies for New Energy Vehicle Purchasers</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According to the Notice by the PRC Ministry of Finance, the Ministry of Science and Technology, the Ministry of Industry and Information Technology and NDRC of the Policies on Government Subsidies for Promotion and Application of New Energy Vehicles in 2016 – 2020 jointly promulgated by the Ministry of Finance, the Ministry of Science and Technology, the Ministry of Industry and Information Technology and NDRC on April 22, 2015 and effective on the same date, those who purchase new energy vehicles included in the Catalog of Recommended New Energy Vehicle Models for Promotion and Application from 2016 to 2020 may obtain subsidies. The Notice specifies that the subject of the subsidies for new energy vehicles purchases are consumers, who shall receive the subsidy in the form of an amount settled between the new energy vehicle manufacturer and the consumer at the price after deducting the subsidy when selling the product, and then the subsidy advanced by the enterprise shall be paid by the central government to the new energy vehicle manufacturer in accordance with applicable procedures. According to the Notice, the subsidy standard for other models (excluding fuel cell vehicles) for 2017 to 2020 is appropriately reduced, of which, the subsidy standard for 2017 to 2018 is reduced by 20% as compared to that of 2016, and for 2019 to 2020 by 40% as compared to that of 2016.</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According to the Notice of Adjusting the Policies on Government Subsidies for Promotion and Application of New Energy Vehicles jointly promulgated by the Ministry of Finance, the Ministry of Science and Technology, the Ministry of Industry and Information Technology and NDRC on December 29, 2016 and effective on January 1, 2017, the threshold of the Catalog of Recommended Models for obtaining government subsidy was raised and the subsidy from local government shall not exceed 50% of the subsidy from the central government for every vehicle. Meanwhile, it specifies that the central and local subsidy standards and caps for other models (excluding fuel cell vehicles) from 2019 to 2020 shall be reduced by 20% as compared to the then existing subsidy standards.</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According to the Notice of Adjusting and Improving the Policies on the Government Subsidies for Promotion and Application of New Energy Vehicle, or the 2018 Notice of the Polices on Government Subsidies for Vehicles, and the Notice of Further Improving the Policies on Government Subsidies for Promotion and Application of New Energy Vehicles, or the 2019 Notice of the Polices on Government Subsidies for Vehicles, jointly promulgated by the Ministry of Finance, the Ministry of Science and Technology, the Ministry of Industry and Information Technology and NDRC between 2018 and 2019, the aforementioned notices gradually adjusted the subsidy scheme for the promotion of new energy vehicles and the product technical specifications for new energy vehicles.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of Improving the Policies on Government Subsidies for Promotion and Application of New Energy Vehicles, or the 2020 Notice of the Policies on Government Subsidies for Vehicles, jointly promulgated by the Ministry of Finance, the Ministry of Science and Technology, the Ministry of Industry and Information Technology and NDRC on April 23, 2020 and effective on the same day, the implementation period of the policies on government subsidies for new energy vehicles was extended to the end of 2022, and it confirms that the subsidy standards for 2020 to 2022 shall be in principle reduced by 10%, 20% and 30% respectively from a year earlier, and the subsidized vehicles shall be in principle capped at approximately 2 million units per year. The Notice stipulates that since 2020, new energy passenger vehicles and commercial vehicles enterprises shall make a single application for subsidy settlement of 10,000 and 1,000 units respectively, and new energy passenger vehicles must be sold for not more than RMB300,000 before the subsidy, except for the vehicles adopting battery-swapping technology. The abovementioned four departments jointly promulgated the Notice on Further Improving the Policies on Government Subsidies for Promotion and Application of New Energy Vehicles, or the 2021 Supplementary Notice of the Polices on Government Subsidies for Vehicles, on December 31, 2020, which specifies that the subsidy standard for new energy vehicles in 2021 shall be reduced by 20% as compared to that of 2020. The abovementioned four departments further jointly promulgated the Notice of Improving the Policies on Government Subsidies for Promotion and Application of New Energy Vehicles in 2022, or the 2022 Supplementary Notice of the Policies on Government Subsidies for Vehicles, on December 31, 2021, which specifies that the subsidy standard for new energy vehicles in 2022 shall be reduced by 30% as compared to that of 2021 and it also specifies that the 2022 policies on government subsidies for new energy vehicles shall end on December 31, 2022.</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Exemption of Vehicle Purchase Tax</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June 19, 2023, the Ministry of Finance, the State Administration of Taxation and the Ministry of Industry and Information Technology promogulated the Announcement on the Continuation and Optimization of Vehicle Purchase Tax Relief Policies for New Energy Vehicles, which stipulates that for purchases of qualified new energy vehicles listed in the Catalog of New Energy Vehicle Models Exempted from Vehicle Purchase Tax jointly issued by the Ministry of Industry and Information Technology and the State Administration of Taxation, the policy on vehicle purchase tax exemption was extended until December 31, 2025, provided that the exemption amount for each new energy passenger vehicle shall not exceed RMB30,000. The new energy vehicles purchased during the period from January 1, 2026 to December 31, 2027 are subject to the Vehicle Purchase Tax at a reduced rate by half, provided that the tax reduction amount for each new energy passenger vehicle shall not exceed RMB15,000.</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Non-Imposition of Vehicle and Vessel Tax</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of the Policies on Energy-saving and New-energy Vehicles Enjoying Vehicle and Vessel Tax Reduction and Exemption jointly promulgated by the Ministry of Finance, the Ministry of Transport, the State Administration of Taxation, and the Ministry of Industry and Information Technology on July 10, 2018 (with its latest amendment taking effect on March 18, 2026), purely electric passenger vehicles are not subject to vehicle and vessel tax.</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New Energy Vehicle License Plates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recent years, in order to ease road traffic congestion and improve air quality,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Implementation Measures on Encouraging Purchase and Use of New Energy Vehicles in Shanghai, effective from January 1, 2026, from the date of implementation to December 31, 2026, the special plate quota will be issued for free to qualified consumers who purchase new energy vehicles, while from January 1, 2023, the special license plate quota will no longer issued to consumers who purchase plug-in hybrid (including extended-range) vehicles.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Policies Relating to Incentives for Electric Vehicle Charging Infrastructure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Accelerating the Development of Electric Vehicle Charging Infrastructure in Residential Areas jointly promulgated by NDRC, the National Energy Administration, the Ministry of Industry and Information Technology and the Ministry of Housing and Urban-Rural Development on July 25, 2016, new residential areas shall unify the laying of power supply lines to dedicated fixed parking spaces with pre-reserved room for meter boxes, charging facility installation locations and electricity capacity, and develop the construction plans on power supply facilities for public parking spaces according to local conditions, facilitating the construction and installation of charging infrastructure, and local governments are encouraged to take the lead in developing a comprehensive pilot construction program for the construction and operation of charging infrastructure in residential areas and actively carrying out pilot demonstrations.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Development Plan for the New Energy Vehicle Industry (2021 – 2035) promulgated by the General Office of State Council on October 20, 2020, China will accelerate construction of charging infrastructure, improve the level of charging infrastructure services, and encourage business model innovation.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Notice on the Issuance of Financial Support to Facilitate Efforts in Reaching Peak Carbon Dioxide Emissions and Carbon Neutralization issued by the Ministry of Finance on May 25, 2022, it proposes to vigorously support the development of new energy vehicles and improve the supporting policies for charging and replacement infrastructure.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Opinions on Promoting Urbanization Construction with County Towns as an Important Carrier issued and implemented by the General Office of the CPC Central Committee and the General Office of the State Council on May 6, 2022, it emphasizes to improve municipal transportation facilities. One of the initiatives is to accelerate the construction of charging piles by optimizing the construction layout of public charging and replacement facilities.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Implementation Plan for New-type Urbanization During the 14th Five-Year promulgated by NDRC on June 21, 2022, it will optimize the construction layout of public charging facilities, improve the charging facilities of residential areas and public parking, and construct charging facilities or reserve installation conditions for all the reserved parking spaces of new residential areas.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Implementation Plan for Reaching Peak Carbon Dioxide Emissions in Urban-Rural Development promulgated and implemented by the Ministry of Housing and Urban-Rural Development and NDRC on June 30, 2022, it encouraged the selection of new energy vehicles and promoted the construction of community charging and replacement facilities.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the 2025 Pilot Project to Enhance County-level Electric Vehicle Charging Infrastructure promulgated by the Ministry of Finance, the Ministry of Industry and Information Technology and the Ministry of Transport on February 20, 2025, it will improve the development of electric vehicle charging infrastructure in rural areas and further release the consumption potential of new energy vehicles.</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Corporate Average Fuel Consumption and New Energy Vehicle Credit Schemes for Vehicle Manufacturers and Importers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September 27, 2017, the Ministry of Industry and Information Technology, the Ministry of Finance, the Ministry of Commerce, the General Administration of Customs of PRC and the State Administration for Market Regulation jointly promulgated the Measure for the Parallel Administration of the Corporate Average Fuel Consumption and New Energy Vehicle Credits of Passenger Vehicle Enterprises (Parallel Credits Measure), which were most recently amended on June 29, 2023 and took effect on August 1, 2023. Under the Parallel Credits Measure, each of the vehicle manufacturers and vehicle importers above a certain scale is required to, among other things, maintain its new energy vehicles credits, or the new energy vehicle credits, and corporate average fuel consumption credits, above zero, regardless of whether new energy vehicles or vehicles powered by ICEs, or the ICE vehicles are manufactured or imported by it, and new energy vehicle credits can be earned only by manufacturing or importing new energy vehicles. Therefore, new energy vehicle manufacturers will enjoy preferences in obtaining and calculating new energy vehicle credits.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New energy vehicle credits are equal to the aggregate actual scores of a vehicle manufacturer or a vehicle importer minus its aggregate targeted scores. According to the Parallel Credits Measure, the actual scores shall be calculated by multiplying the score of each new energy vehicle model, which depends on various metrics such as the driving range, battery energy efficiency and the rated power of fuel cell systems, and is calculated based on formula published by the Ministry of Industry and Information Technology (in the case of battery electric vehicle, the new energy vehicle credit of each vehicle is equal to (0.0034 x Vehicle Mileage + 0.2) x Mileage Adjustment Coefficient x Battery Energy Density Adjustment Coefficient x Electricity Consumption Coefficient), by the respective production or import volume, while the targeted scores shall be calculated by multiplying the annual production or import volume of traditional ICEs of a vehicle manufacturer or importer by the new energy vehicle credit ratio set by the Ministry of Industry and Information Technology. The new energy vehicle credit ratios are 14%, 16% and 18% for the year of 2021, 2022 and 2023, respectively, increasing from 10% and 12% for 2019 and 2020, respectively. Excess positive new energy vehicle credits are tradable and may be sold to other enterprises through a credit management system established by the Ministry of Industry and Information Technology while excess positive corporate average fuel consumption credits can only be carried forward or transferred among related parties. Negative new energy vehicle credits can be offset by purchasing excess positive new energy vehicle credits from other manufacturers or importers.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these measures, the requirements on the new energy vehicle credits shall be considered for the entry approval of passenger vehicle manufacturers and products by the regulators. If a passenger vehicle enterprise fails to offset its negative credits, its new products, if the fuel consumption of which does not reach the target fuel consumption value for a certain vehicle models as specified in the Evaluation Methods and Indicators for the Fuel Consumption of Passenger Vehicles, will not be listed in the Announcement of the Vehicle Manufacturers and Products issued by the Ministry of Industry and Information Technology, or will not be granted the compulsory product certification, and the vehicle enterprises may be subject to penalties according to the rules and regulations.</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Policies to Promote New Energy Vehicle Consumption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Guiding Opinions on Further Promoting Electric Energy as Replacement jointly issued by ten ministries and commissions including NDRC and the Ministry of Industry and Information Technology on March 4, 2022, it proposes to further promote the electrification of the transportation sector. It suggests the acceleration of the electrification of urban public transport by prioritizing the use of new energy vehicles in sectors such as urban public transport, taxis, sanitation, postal services, logistics and distribution. Where vehicles and equipment need to be added and replaced in key areas of air pollution prevention and control such as ports and airports, those areas shall prioritize the use of new energy vehicles. Besides, it vigorously promotes household electric vehicles and speeds up the construction of infrastructure such as electric vehicle charging piles.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Opinions on Further Unleashing Consumption Potential to Promote Sustained Recovery of Consumption issued and implemented by the General Office of the State Council on April 25, 2022, it emphasizes to break down the barriers of consumption restrictions. One of the initiatives is to steadily increase the consumption of automobiles and other consumption in bulk stocks and no additional vehicle purchase restriction measures shall be issued in all regions. In the regions where purchase restrictions have been implemented, it shall gradually increase the number of vehicle increment indicators, relax the eligibility criteria for vehicle purchasers, and gradually remove vehicle purchase restrictions based on local conditions; vigorously develop green consumption and continue to support the acceleration of development of new energy vehicles, as well as fully tap into the consumption potential in counties and townships, while emphasizing on guiding enterprises to carry out promotions in rural areas with the focus on automobiles and home appliances, encouraging eligible areas to introduce new energy vehicles and green smart home appliances to the countryside, and promoting the construction of charging piles (stations) and other supporting facilities, so as to fully explore consumption potentials from counties and villages.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Notice of the State Council on Issuance of a Series of Policies and Measures to Consolidate and Stabilize the Economy issued by the State Council on May 31, 2022, it emphasizes to steadily increase the consumption of automobiles and other consumption in bulk stock, and no additional automobile purchase restrictions shall be issued in all regions. In the regions where purchase restrictions have been implemented, it shall gradually increase the number of vehicle increment indicators, relax the eligibility criteria for vehicle purchasers, and encourage the implementation of differentiated policies based on urban and rural indicators; optimize the investment, construction and operation models of new energy vehicle charging piles (stations), and gradually realize full coverage of charging facilities in all communities and operating parking lots, and accelerate the construction of charging piles (stations) in expressway service areas, passenger transport hubs and other areas.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the Measures for Invigorating Automobile Circulation and Boosting Automobile Consumption issued by 17 departments including the Ministry of Commerce on July 5, 2022, it provided to (i) support the purchase and use of new energy vehicles; (ii) accelerate the activation of the second-hand cars market; (iii) promote vehicle renewal consumption; (iv) promote the sustainable and healthy development of the parallel import of vehicles; (v) optimize the environment for vehicle use; (vi) enrich vehicle financing services.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September 27, 2024, the National Government Offices Administration and the Administration for Agencies Directly Under the Central Committee of the Communist Party of China issued the Notice on Promoting the Use of New Energy Vehicles in Central and State Agencies, which stipulates that the central and State agencies should increase the deployment of new energy vehicles, with the proportion of renewed and updated vehicles being new energy vehicles in principle not less than 30%.</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various provinces and cities have also actively responded and introduced tailor-made local polices for promoting vehicle consumption. For example: (i) On April 27, 2022, the General Office of the Guangdong Province People’s Government issued the Notice on Several Measures for Further Promoting Consumption in Guangdong Province, which emphasizes to encourage vehicle consumption. Firstly, the special campaign for automobile “old for new” service will continue, and subsidies are granted to those who scrap or transfer out old vehicles with license plates registered in Guangdong under their names and buy new ones in their respective provinces with old-for-new promotion models and licensed in the province. Among which, subsidies for scraping old vehicles and purchasing new energy vehicles are RMB10,000 per unit and for scraping old vehicles and purchasing ICE vehicles are RMB5,000 per unit; subsidies for transferring out old cars and purchasing new energy vehicles are RMB8,000 per unit and for transferring out old cars and purchasing ICE vehicles are RMB3,000 per unit. Secondly, it encourages purchase of new energy vehicles. From May 1 to June 30, 2022, subsidies for individual consumers who purchase new energy vehicle models within the range of old-for-new promotion models in their respective provinces are RMB8,000 per unit. Thirdly, it optimizes car purchase management. It further revises and improves the regulations on car purchase qualifications, and increases the number of vehicle incremental indicators; (ii) On May 24, 2022, the People’s Government of Hubei Province issued the Notice of the General Office of the Provincial People’s Government on the Issuance of Certain Measures to Accelerate the Recovery and Boosting of Consumption to encourage automobile consumption, the key measures include: (x) the implementation of a special campaign to exchange old vehicles for new ones from June to December 2022, which provides subsidies to individual consumers who scrap or transfer out old vehicles with Hubei license plates under their names while purchasing new vehicles in Hubei Province and registering them in the province, with the required funds to be shared among the provincial government and municipalities at 50% respectively. Among which: subsidies for scrapping old vehicles and purchasing new energy vehicles are RMB8,000 per vehicle, and subsidies for scrapping old vehicles and purchasing ICE vehicles are RMB3,000 per vehicle; subsidies for transferring out old vehicles and purchasing new energy vehicles are RMB5,000 per vehicle, and subsidies for transferring out old vehicles and purchasing fuel vehicles are RMB2,000 per vehicle. The tax reduction policy of reducing the VAT on second-hand vehicle transactions from 2% to 0.5% will be fully implemented to reduce the costs of second-hand vehicle trading and improve circulation efficiency. Vehicle production will be encouraged and trading enterprises are encouraged to adopt various methods to benefit consumers; (y) the organization and implementation of a new round of new energy vehicle introduction to the countryside; and (z) carrying out new energy vehicle promotion activities and the implementation of the existing national promotion subsidy and exemption from vehicle purchase tax policy for consumers (including business units) who purchase new energy vehicles.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Value-Added Telecommunications Services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2000, the PRC State Council promulgated the PRC Telecommunications Regulations, or the Telecommunications Regulations, which was most recently amended on February 6, 2016 and provides a regulatory framework for telecommunications services providers in the PRC. The Telecommunications Regulations categorize all telecommunications businesses in China as either basic or value-added. Value-added telecommunications services are defined as telecommunications and information services provided through public network infrastructure. Pursuant to the Classified Catalogue of Telecommunications Services, an attachment to the Telecommunications Regulations, which was most recently updated on June 6, 2019 by the Ministry of Industry and Information Technology, internet information services, or ICP services, are classified as value-added telecommunications services. Under the Telecommunications Regulations and administrative measures, commercial operators of value-added telecommunications services must first obtain a license for conducting Internet content provision services, or an ICP license, from the Ministry of Industry and Information Technology or its provincial level counterparts. Otherwise, such operator might be subject to sanctions including corrective orders and warnings, imposition of fines and confiscation of illegal gains and, in the case of significant infringement, orders to close the website.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Administrative Measures on Internet Information Services, promulgated by the State Council in September, 2000 and recently amended on December 6, 2024,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services in China, while the ICP license is not required if the operator will only provide internet information on a non-commercial basis.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Provisions on the Administration of Mobile Internet Applications Information Services amended by CAC on June 14, 2022 and effective on August 1, 2022, CAC is in charge of the law enforcement of supervision and administration of the information contents of mobile internet apps nationwide; providers rendering permitted internet information services via mobile internet applications shall also be subject to information security requirements; and mobile internet application providers shall sign a service agreement to clarify the rights and obligations of both parties.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2024 Negative List, the provision of value-added telecommunications services falls into the restricted category (other than for e-commerce, domestic multi-parties communications, storage and forwarding categories, call centers) and the foreign shareholding ratio shall not exceed 50%.</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Cyber Security and Privacy Protection</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Internet Information and Automotive Data Security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Cybersecurity Law issued by the Standing Committee of the National People’s Congress on November 7, 2016 (with its latest amendment taking effect on January 1 2026), the state shall implement the multi-level protection scheme for network cybersecurity. Network operators shall, according to the requirements of laws and requirements as well as the mandatory requirements of national and industry standard, develop internal security management mechanisms, take technical measures and other necessary measures to ensure network security and stable operation. Under the Cybersecurity Law of PRC, where network operators provide network access and domain registration services for users, handle network access formalities for fixed-line or mobile phone users, or provide users with information release services, instant messaging services and other services, they shall require users to provide true identity information, or otherwise, the network operators shall not provide them with services. The PRC Cybersecurity Law also specifies that the network operators shall provide technical support and assistance to public security organs and state security organs for safeguarding national security and crime investigation activities. Network operators in violation of the provisions of this law may be subject to penalties, such as being ordered to make rectifications, given warnings or fines, confiscated of unlawful gains, ordered to a temporary suspension of operations, a suspension of business for corrections, closing down of websites, revocation of operations permits, etc.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Data Security Law passed by the Standing Committee of the National People’s Congress on June 10, 2021 and implemented on September 1, 2021, the state establishes a classified and tiered system for data protection. When conducting data processing activities, one shall comply with laws and regulations, establish a sound, full-range data security and management system, organize and conduct data security education and training as well as take corresponding technical measures and other necessary measures to protect data safety. The use of the internet and other information networks to carry out data processing activities shall, on the basis of the multi-level protection scheme for network cybersecurity, fulfil the obligations of data security protection. The handlers of important data shall, in accordance with applicable provisions, carry out risk assessment on their data processing activities on a regular basis and submit risk assessment reports to the competent authorities. Organizations and individuals shall cooperate with public security departments or state security organs in obtaining data for the purpose of safeguarding state security or investigating crimes according to law. Those who fail to fulfil the obligations of data security protection and provide important data abroad in violation of the law will be ordered to correct, warned, fined, suspended with their business or suspended for rectification, or revoked of business licenses.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Opinions on Severely Cracking Down on Illegal Securities Activities According to Law, or the Opinions, jointly issued by the General Office of the CPC Central Committee and the General Office of the State Council on July 6, 2021, China will strengthen the standard review in data security, cross-border data flow and confidential information management.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December 8, 2022, the Ministry of Industry and Information Technology issued the Administrative Measures for Data Security in the Field of Industry and Information Technology, or the Data Security Measures in the IT Field, which took effect on January 1, 2023. Data Security Measures in the IT Field provide that all businesses which handle industrial and telecoms data in China are required to categorize such information into “general,” “important” and “core” and businesses processing “important” and “core” data shall comply with certain filing and reporting obligations. Industrial data refer to data produced and collected in the course of research and development design, manufacturing, operation and management, operating and maintenance, and platform operation in various sectors and fields of industry. Telecoms data refer to the data generated and collected in the course of telecommunications business operations. In accordance with the Data Security Measures in the IT Field, the industrial and telecommunication data handlers shall classify data firstly based on the data’s category and then based on its security level on a regular basis, to classify and identify data based on the industry requirements, business needs, data sources and purposes and other factors, and to make a data classification list. In addition, the industrial and telecommunication data handlers shall establish and improve a sound data classification management system, take measures to protect data based on the levels, carryout key protection of critical data, implement stricter management and protection of core data on the basis of critical data protection, and implement the protection with the highest level of requirement if different levels of data are processed at the same time. The Data Security Measures in the IT Field also impose certain obligations on industrial and telecommunication data handlers in relation to, among others, implementation of data security work system, administration of key management, data collection, data storage, data usage, data transmission, provision of data, publicity of data, data destruction, safety audit and emergency plans, etc.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Administrative Provisions on Security Vulnerability of Network Products was jointly promulgated by the Ministry of Industry and Information Technology, CAC and the Ministry of Public Security on July 12, 2021 and effective on September 1, 2021. Network product providers, network operators as well as organizations or individuals engaging in the discovery, collection, release and other activities of network product security vulnerability are subject to the Provisions and shall establish channels to receive information of security vulnerability of their respective network products and shall examine and fix such security vulnerability in a timely manner. In response to the Cybersecurity Law, network product providers are required to report information of security vulnerability of network products with the Ministry of Industry and Information Technology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 Provisions, the breaching parties may be subject to monetary fine as regulated in accordance with the Cybersecurity Law. Since the Provisions is relatively new, uncertainties still exist in relation to its interpretation and implementation.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Several Provisions on the Management of Automobile Data Security (Trial Implementation) (Provisions on Automobile Data) jointly issued by CAC, NDRC, Ministry of Industry and Information Technology, the Ministry of Public Security and the Ministry of Transport on August 16, 2021 and implemented on October 1, 2021, automobile data handlers including automobile manufacturers, components and parts and software suppliers, dealers, maintenance organizations, and ride-hailing and sharing service enterprises shall process automobile data in a lawful, legitimate, specific and clear manner, and such data include personal information and important data involved during the design, production, sales, use, operation and maintenance, among others, of vehicles. Automobile data handlers are encouraged by the Provisions on Automobile Data to adhere to the following principles: the principle of in-vehicle processing, unless it is indeed necessary to transfer data out of the vehicle; the principle of non-collection by default; the principle of appropriate accuracy and coverage, and the principle of desensitization. Automobile data handlers shall obtain individual consent for processing personal information or rely on other legal bases in accordance with applicable laws and regulations. Where the automobile data handlers collect data containing images of people outside the vehicle and transmit the data out of the vehicle for the purpose of improving driving safety, and if it is not possible to obtain the consent of these people, such personal information shall be anonymized by means such as deleting the pictures containing identifiable natural persons, or partially contouring the facial information in the pictures. The Provisions on Automobile Data also provided that important data means the data that may endanger national security, public interests, or the lawful rights and interests of individuals or organizations once it has been tampered with, destroyed, leaked, or illegally obtained or used, including data of important sensitive areas, operating data of vehicle charging networks, personal information involving more than 100,000 personal information subjects, video and image data outside the vehicles that contain face information, license plate information, etc. Important data shall be stored domestically by laws. If such data need to be provided outside China due to business needs, it shall go through the safety assessment organized by the national cyberspace administration and ministries of the State Council. To process important data, automobile data handlers shall conduct risk assessment in accordance with the regulations and submit risk assessment reports to related departments at provincial levels. As of the date of this annual report, no implementing rule had been published in this regard. In addition, automotive data handler processing important data shall, by December 15 of each year, report to the related departments at provincial levels the information on automotive data security management. The implementation of such requirement on annual report is subject to the authority of related departments at provincial levels. Illegal automobile data handlers shall bear administrative punishment by laws and if a crime is committed, shall bear criminal liability.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Regulations of Security Protection for Critical Information Infrastructure, or the CII Protection Regulations, issued by the State Council on July 30, 2021 and implemented on September 1, 2021, critical information infrastructure means network facilities and information systems in important industries and fields—such as public communication and information services, energy, transportation, irrigation, finance, public services, e-government, and science and technology industries for national defense—that may seriously endanger national security, national economy and people’s livelihood, and public interests in the event that they are damaged or lose their functions or their data are leaked. The Regulations emphasize that no individual or organization may engage in any activity of illegally hacking into, interfering with, or damaging any critical information infrastructure or endanger the critical information infrastructure security.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April 13, 2020, the Measures for Cybersecurity Review was jointly promulgated by CAC, NDRC, the Ministry of Industry and Information Technology, the Ministry of Public Security, the Ministry of State Security, the Ministry of Finance, the Ministry of Commerce, the People’s Bank of China, the State Administration for Market Regulation, the National Radio and Television Administration, the National Administration of State Secrets Protection and the State Cryptography Administration, revised on December 28, 2021 by the aforementioned departments and CSRC, and the Revised Measures for Cybersecurity Review was formally implemented on February 15, 2022. According to the Revised Measures for Cybersecurity Review, operators of online platforms with personal information of more than one million users must file a cybersecurity review with the Cybersecurity Review Office when they pursue listing in a foreign country. In the meantime, the governmental authorities have the discretion to initiate a cybersecurity review on any data processing activity if they deem such a data processing activity affects or may affect national security. The specific implementation rules on cybersecurity review are subject to further clarification by subsequent regulations.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July 7, 2022, CAC issued the Measures for the Security Assessment of Cross-border Data Transfer, effective and implemented on September 1, 2022. The Measures for the Security Assessment of Cross-border Data Transfer applies to the security assessment conducted by data handlers where they provide overseas parties with important data and personal information collected and generated during the operation in the PRC. Based on the Measures for the Security Assessment of Cross-border Data Transfer, data handlers shall apply for the security assessment of data cross-border transfer to the national cyberspace administration through the provincial cyberspace administration in the place where they operate if they provide data outside China and fall into one of the following conditions: a data handler shall apply to competent authorities for security assessment prior to transferring any data abroad if the transfer involves (i) important data; (ii) personal information transferred overseas by a critical information infrastructure operator and a data handler that has processed personal information of more than one million individuals; (iii) personal information transferred overseas by a data handler who has already provided personal information of 100,000 persons or sensitive personal information of 10,000 persons overseas since January 1 of the previous year; or (iv) other circumstances as requested by CAC.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March 22, 2024, the CAC promulgated the Provisions on Promoting and Regulating Cross-border Data Flow, or the Cross-border Data Flow Provisions, which took effect on the same day. According to the Cross-border Data Flow Provisions, a data processor is required to apply for security assessment for cross-border data transfer in any of the following circumstances: (i) where a critical information infrastructure operator provides personal information or critical data to offshore entities and individuals; (ii) where any data processor other than a critical information infrastructure operator provides critical data to offshore entities and individuals, or provides personal information (excluding sensitive personal information) of not less than one million individuals or sensitive personal information of not less than 10,000 individuals in aggregate to offshore entities and individuals since January 1 of the current year. The Cross-border Data Flow Provisions also set out certain exceptions where a data processor is not required to apply for security assessment for cross-border data transfer, conclude standard contract for cross-border transfer of personal information or pass authentication for personal information protection. In case of any discrepancy between the Cross-border Data Flow Provisions and other applicable provisions such as the Measures for the Security Assessment of Outbound Data Transfer promulgated on July 7, 2022 and The Measures for the Standard Contract for Outbound Transfer of Personal Information promulgated on February 22, 2023, the Cross-border Data Flow Provisions shall prevail.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September 24, 2024, the State Council of China published the Regulations on Network Data Security Administration, which became effective on January 1, 2025. These regulations provide that data processing operators engaging in network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Personal Privacy Protection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Several Provisions on Regulating the Market Order of Internet Information Services issued by the Ministry of Industry and Information Technology on December 29, 2011 and effective on March 15, 2012, the Decision on Strengthening the Protection of Online Information issued by the Standing Committee of the National People’s Congress and implemented on December 28, 2012, the Order for the Protection of Telecommunications and Internet User Personal Information issued by the Ministry of Industry and Information Technology and implemented on July 16, 2013, and the PRC Cybersecurity Law issued by the Standing Committee of the National People’s Congress on November 7, 2016 and implemented on June 1, 2017, any collection and use of a user’s personal information must be legal, rational and necessary, and the user should be clearly notified the purposes, methods and scopes of collecting and using information, channels for enquiring and correcting information, and the consequence of refusal to provide information. An internet information service provider shall be prohibited from divulging, tampering or destroying any personal information, or selling or providing such information to other parties. Any violation of these laws and regulations may subject to warnings, fines, confiscation of illegal gains, revocation of licenses, cancelation of filings, closedown of websites or even criminal liabilities.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Methods of Identifying Illegal Acts of Apps to Collect and Use Personal Information jointly promulgated and implemented by CAC, the Ministry of Industry and Information Technology, the Ministry of Public Security and the State Administration for Market Regulation on November 28, 2019 clarifies specific circumstances of illegal collection of information, including “failing to publish the rules on the collection and use of personal information”, “failing to explicitly explain the purposes, methods and scope of the collection and use of personal information”, “collecting and using personal information without the users’ consent”, “collecting personal information unrelated to the services it provides and beyond necessary principle”, “providing personal information to others without the users’ consent”, and “failing to provide the function of deleting or correcting the personal information according to the laws” or “failing to publish information such as ways of filing complaints and reports”.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Civil Code adopted by the National People’s Congress on May 28, 2020 and implemented on January 1, 2021, the personal information of natural persons is protected by law. Any organization or individual must legally obtain personal information of others and must ensure the security of the information, and must not illegally collect, use, process or disseminate the personal information of others, nor illegally trade, provide or disclose the personal information of others.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Provisions on Automobile Data, automobile data handlers (including automobile manufacturers, components and parts and software suppliers, dealers, maintenance organizations, and ride-hailing and sharing service enterprises) shall process automobile data (including personal information data and important data during the design, production, sales, use, operation and maintenance of vehicles) in a lawful, legitimate, specific and clear manner. When processing personal information, automobile data handlers shall obtain personal consent or comply with other circumstances stipulated by laws and administrative regulations. If the automobile data handlers collect data of subjects outside the vehicle for the purpose of ensuring driving safety, but are unable to obtain consent from such subjects, the automobile data handlers shall anonymize the data by means such as deleting the pictures containing identifiable natural persons, or partially contouring the facial information in the pictures.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Personal Information Protection Law adopted by the Standing Committee of the National People’s Congress on August 20, 2021 and implemented from November 1, 2021, the personal information of natural persons shall be protected by law. As the first systematic and comprehensive law specifically for the protection of personal information in the PRC, the Personal Information Protection Law provides, among others, that (i) an individual’s separate consent shall be obtained before operation of such individual’s sensitive personal information, e.g., biometric characteristics and individual location tracking, (ii) personal information operators operating sensitive personal information shall notify individuals of the necessity of such operations and the influence on the individuals’ rights, (iii) if personal information operators reject individuals’ requests to exercise their rights, individuals may file a lawsuit with a People’s Court.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State Administration for Market Regulation issued the Standard of Information Security Technology Personal Information Security Specification (2017 edition), which took effect in May 2018, and the Standard of Information Security Technology Personal Information Security Specification (2020 edition), which took effect in October 2020. Pursuant to these standards, any entity or person who has the authority or right to determine the purposes for and methods of using or processing personal information are seen as a personal data controller. Such personal data controller is required to collect information in accordance with applicable laws, and prior to collecting such data, the information provider’s consent is required.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Land and the Development of Construction Projects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Interim Regulations on Assignment and Transfer of the Rights to the Use of the State-Owned Urban Land promulgated by the State Council on May 19, 1990 (with its latest amendment taking effect on November 29, 2020), China adopts a system of assignment and transfer of the right to use state-owned land. The assignment of land use rights may be carried out by agreement, bidding or auction. The land user shall pay the premium of the land use right to the State, and the State may assign such right to the user for an agreed term. The land user who has obtained the land use right may, within the term of land use, transfer, lease or mortgage the land use right or use it for other economic activities.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regulations abovementioned and the PRC Urban Real Estate Administration Law promulgated by the Standing Committee of the National People’s Congress on July 5, 1994, (with its latest amendment taking effect on January 1, 2020), an assignment contract shall be signed between the regional land administration authority and land users for the assignment of land use rights. The land user is required to pay the land premium as provided in the assignment contract. After the full payment of the land premium, the land user must register with the land administration authority and obtain a land use rights certificate to acquire the land use rights. The land user shall develop, utilize and operate the land in accordance with the provisions of the assignment contract and the requirements of urban planning.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Regulations on Planning Administration Regarding Assignment and Transfer of the Rights to Use of the State-Owned Land in Urban Area promulgated by the Ministry of Construction on December 4, 1992, amended on January 26, 2011 and effective on the same date, the land assignee shall obtain a construction land planning permit from the municipal planning authority. Pursuant to the Urban and Rural Planning Law promulgated by the Standing Committee of the National People’s Congress on October 28, 2007 (with its latest amendment taking effect on April 23, 2019), a construction work planning permit must be obtained from the competent urban and rural planning government authority for the construction of any structure, fixture, road, pipeline, or other engineering project within an urban or rural planning area.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Administrative Provisions on Construction Permit of Construction Projects issued by the Ministry of Construction (the predecessor of the Ministry of Housing and Urban-Rural Development) on October 15, 1999 (with its latest amendment taking effect on March 30, 2021), for the construction, renovation and decoration of all kinds of buildings within the territory of China and the auxiliary facilities thereof, the installation of supporting lines, pipes and equipment, and the construction of municipal infrastructure projects in cities and towns, the construction unit shall, before starting construction, apply to the housing and urban-rural development administrative department of the people’s government at or above the county level where the project is located for a construction permit in accordance with the Provisions. For a construction project whose investment is less than RMB300,000 or whose construction area is less than 300 square meters, the construction unit may be allowed not to apply for a construction permit.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Provisions on Acceptance Examination upon Completion of Buildings and Municipal Infrastructure promulgated by the Ministry of Housing and Urban-Rural Development on December 2, 2013 and effective on the same date, construction units of all types of buildings and municipal infrastructure projects that are newly built, expanded, or rebuilt within the territory of China shall file with the competent construction authority of the local people’s government at or above the county level where the project is located within 15 days from the date when the project is completed and accepted.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Environmental Protection and Work Safety</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Regulations on Environmental Protection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Environmental Protection Law promulgated by the Standing Committee of the National People’s Congress on December 26, 1989 (with its latest amendment taking effect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Regulations on Work Safety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Vehicle and component manufacturers shall comply with regulations related to environmental protection and work safety. In accordance with the PRC Work Safety Law promulgated on June 29, 2002 by the Standing Committee of the National People’s Congress (with its latest amendment taking effect on September 1, 2021), a production and operation unit must develop a well-established work safety responsibility system and work safety rules and systems for all employees, meet the conditions for safe production as stipulated by laws and regulations, national standards or industry standards, and those who do not have such production conditions shall not engage in production and operation activities. The production and operation unit shall conduct safety production education and training for employees to ensure that they are equipped with necessary safety production knowledge and are familiar with safety production rules and regulations and safety operation procedures.</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Regulations on Fire Control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Fire Safety Law promulgated by the Standing Committee of the National People’s Congress in April 1998 (with its latest amendment taking effect on April 29, 2021), and the Interim Provisions on Administration of Fire Control Design Review and Acceptance of Construction Project promulgated by the Ministry of Housing and Urban-Rural Development on April 1, 2020 (with its latest amendment taking effect on October 30, 2023), the construction unit of other construction projects must complete the fire protection filing of the fire protection completion acceptance within five working days after the completion acceptance of the construction project. If a construction project fails to pass the fire safety inspection before it is put into use, or does not meet the fire safety requirements after the inspection, it will be ordered to suspend the construction and use of such project, or suspend production and business, and be imposed a fine.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Intellectual Property Rights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China is a party to several international treaties with respect to intellectual property right protection, including the Agreement on Trade-Related Aspects of Intellectual Property Rights, the Paris Convention for the Protection of Industrial Property, the Madrid Agreement Concerning the International Registration of Marks, and the Patent Cooperation Treaty.</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Patents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Patent Law promulgated by the Standing Committee of the National People’s Congress on March 12, 1984 and currently effective from June 1, 2021, and the Implementation Rules of the PRC Patent Law promulgated by the State Council on June 15, 2001 (with its latest amendment taking effect on January 20, 2024), there are three types of patents in China: invention patents, utility model patents, and design patents. The protection period is 20 years for an invention patent and 10 years for a utility model patent and 15 years for a design patent (or 10 years for design patents filed prior to June 1, 2021), commencing from their respective application dates. The patent system of mainland China adopts a first-to-file principle, under which the person who files the patent application first is entitled to the patent if two or more persons file patent applications for the same subject. Any person or entity that utilizes a patent or conducts any other activities that infringe a patent without authorization of the patent holder must compensate the patent holder and is subject to a fine imposed by the government authorities, and may be criminally liable in case of patent passing-off. In addition, any person or entity that files a patent application in a foreign country for an invention or utility model patent accomplished in China is required to report in advance to the State Council’s patent administrative authority for a confidentiality examination.</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Copyrights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PRC Copyright Law (with its latest amendment taking effect on June 1, 2021), provides that Chinese citizens, legal persons, or other organizations will own copyright in their copyrightable works, including works of literature, art, natural science, social science, engineering technology, and computer software, regardless of whether published or not. Copyright owners enjoy certain legal rights, including the right of publication, the right of authorship, and the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 According to the Copyright Law, a copyright infringer will be subject to various civil liabilities, which include ceasing infringement activities, apologizing to the copyright owner, and compensating for the loss of the copyright owner. Copyright infringers may also be subject to fines and administrative or criminal liabilities in severe situations.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Computer Software Protection Regulations promulgated by the State Council on December 20, 2001 (with its latest amendment taking effect on January 30, 2013), a software copyright owner may go through the registration procedures with a software registration authority recognized by the State Council’s copyright administrative authority. The software copyright owner may authorize others to exercise that copyright and is entitled to receive remuneration.</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Trademarks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Trademarks are protected by the PRC Trademark Law (with its latest amendment taking effect on April 23, 2019) and the Implementation Regulations of the PRC Trademark Law promulgated by the State Council (with its latest amendment taking effect on April 29, 2014). The PRC Trademark Office grants a ten-year term to registered trademarks, and the term may be renewed for another ten-year period upon request by the trademark owner. Where the trademark owner fails to do so, a grace period of six months may be granted. In the absence of renewal upon expiry, the registered trademark will be canceled. A trademark owner may license its registered trademarks to another party by entering into trademark licenses agreements, which must be filed with the Trademark Office for its records. As with patents, the Trademark Law has adopted a first-to-file principle with respect to trademark registration. If a trademark that is applied for is identical or similar to another trademark that has already been registered or subject to a preliminary examination and approval for use on the same or similar kinds of products or services, such trademark application may be rejected. Any person applying for the registration of a trademark shall not infringe upon prior existing trademark rights of others, nor may any person register in advance a trademark that has already been used by another party and has already gained a “sufficient degree of reputation” through such party’s use. Market regulatory departments have the authority to investigate any behavior that infringes the exclusive right under a registered trademark in accordance with the law. In case of a suspected criminal offense, the case will be timely referred to a judicial authority and decided according to the law.</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Domain Names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Ministry of Industry and Information Technology promulgated the Administrative Measures of Internet Domain Names on August 24, 2017, which took effect on November 1, 2017 and replaced the Administrative Measures on China Internet Domain Names promulgated by the Ministry of Industry and Information Technology on November 5, 2004. According to these measures, the Ministry of Industry and Information Technology is in charge of the administration of internet domain names in mainland China. The domain name registration follows a first-to-file principle. Applicants for registration of domain names must provide true, accurate, and complete information of their identities to domain name registration service institutions. The applicants will become holders of such domain names upon the completion of the registration procedure.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Trade Secrets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Anti-Unfair Competition Law promulgated by the Standing Committee of the National People’s Congress on September 2, 1993 (with its latest amendment taking effect on October 15, 2025), a “trade secret” refers to technical and business information that is unknown to the public, may create business interests or profits for its legal owners or holders, and is maintained as a secret by its legal owners or holders. Under the Anti-Unfair Competition Law, business operators are prohibited from infringing others’ trade secrets by: (i) obtaining the trade secrets from the legal owners or holders by any unfair methods such as theft, bribery, fraud, coercion, electronic intrusion, or any other illicit means; (ii) disclosing, using, or permitting others to use the trade secrets obtained illegally under item (i) above; (iii) disclosing, using, or permitting others to use the trade secrets in violation of any contractual agreements or any requirements of the legal owners or holders to keep such trade secrets confidential; or (iv) instigating, inducing, or assisting others to violate a confidentiality obligation or to violate a rights holder’s requirements on keeping the confidentiality of trade secrets, disclosing, using, or permitting others to use the trade secrets of the rights holder. If a third party knows or should have known the above-mentioned illegal conduct but nevertheless obtains, uses, or discloses trade secrets of others, the third party may be deemed to have misappropriated the others’ trade secrets.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Business operators who violate the provisions of the Anti-Unfair Competition Law and cause others to suffer damages shall bear civil liability, and where the legitimate rights and interests of a business operator are harmed by unfair competition, the business operator may file a lawsuit with a People’s Court. The amount of compensation for a business operator who suffer damages due to unfair competition shall be determined on the basis of the actual losses suffered as a result of the infringement or the benefits gained by the infringing party from the infringement. If a business operator maliciously commits an act of infringing trade secrets and the case is serious, the amount of compensation may be determined at not less than one time and not more than five times the amount determined in accordance with the foregoing method. The amount of compensation shall also include reasonable expenses paid by the business operator to stop the infringement. If it is difficult to ascertain the actual losses suffered or benefits gained, the People’s Court shall, in consideration of the extent of the infringement, award compensation of less than RMB5,000,000 to the rights holder. Additionally, government authorities shall stop any illegal activities which infringe upon trade secrets and confiscate the illegal income from the infringing parties, and impose a fine between RMB100,000 to RMB1,000,000 (or where the circumstances are serious, between RMB500,000 to RMB5,000,000).</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Criminal Law promulgated by the National People’s Congress on July 1, 1979 (with its latest amendment taking effect on March 1, 2024), anyone that commits any of the following acts of trade secrets infringement, if the circumstances are serious, shall be sentenced to a fixed-term imprisonment of not more than 3 years and/or shall be fined; if the circumstances are especially serious, the infringing party shall be sentenced to a fixed-term imprisonment of not less than 3 years but not more than 10 years and shall be subject to fines: (i) obtaining trade secrets from their legal owners or holders through unfair methods such as theft, bribery, fraud, coercion, electronic intrusion, or any other illicit means; (ii) disclosing, using, or permitting others to use trade secrets obtained illegally under item (i) above; (iii) disclosing, using, or permitting others to use trade secrets in violation of any contractual agreements or any requirements of the legal owners or holders to keep such trade secrets confidential. Any person who has knowledge of the circumstances referred to above but nevertheless obtains, discloses, uses or allows others to use such trade secrets shall be deemed to have infringed upon trade secrets.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Foreign Exchange</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General Administration of Foreign Exchange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PRC Foreign Exchange Administrative Regulations promulgated on January 29, 1996 (with its latest amendment taking effect on August 5, 2008), and various regulations issued by SAFE and other PRC government authorities, Renminbi is convertible into other currencies for current account items, such as trade-related receipts and payments and payment of interest and dividends. The conversion of Renminbi into other currencies and remittance of the converted foreign currencies outside China for capital account items, such as direct equity investments, loans, and repatriation of investment, requires prior approval from SAFE or its local branch.</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Payments for transactions that take place in China must be made in Renminbi. Unless otherwise approved, PRC domestic companies may not repatriate payments denominated in foreign currencies received from abroad or retain the same abroad. Foreign-invested enterprises may retain foreign currencies under the current account with designated foreign exchange banks subject to a limit set by SAFE or its local branch. Foreign currencies under the current account may be either retained or sold to a financial institution engaged in the settlement and sale of foreign currencies pursuant to SAFE rules and regulations. For foreign currencies under the capital account, approval by SAFE is generally required for the retention or sale of such foreign currencies to a financial institution engaged in settlement and sale of foreign currencies.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Circular on Further Improving and Adjusting Foreign Exchange Administration Policies for Direct Investment promulgated by SAFE on November 19, 2012 (with its latest amendment taking effect on December 30, 2019), or SAFE Circular 59, approval of SAFE is not required for opening a foreign exchange account and depositing foreign currencies into the accounts relating to direct investments. SAFE Circular 59 also simplifies foreign exchange-related registration required for foreign investors to acquire the equity interest in PRC domestic companies and further improves the administration of foreign exchange settlement for foreign-invested enterprises. The Circular on Further Simplifying and Improving the Foreign Exchange Administration Policies for Direct Investment promulgated by SAFE and effective on June 1, 2015 (with its latest amendment taking effect on December 30, 2019), or SAFE Circular 13, cancels the administrative approvals of foreign exchange registration of direct domestic investment and direct overseas investment, and simplifies the procedure for foreign exchange-related registration. Pursuant to SAFE Circular 13, investors must register with banks for direct domestic investment and direct overseas investment.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SAFE Circular 19 which became effective on June 1, 2015 (with its latest amendment taking effect on March 23, 2023), a foreign-invested enterprise may, according to its actual business needs, settle with a bank the portion of the foreign exchange capital in its capital account for which the foreign exchange administration has confirmed monetary capital contribution rights and interests (or for which the bank has registered the injection of the monetary capital contribution into the account). Pursuant to SAFE Circular 19, for the time being, foreign-invested enterprises are allowed to settle 100% of their foreign exchange capital on a discretionary basis; a foreign-invested enterprise must truthfully use its capital for its own operating purposes within the scope of business; and where an ordinary foreign-invested enterprise makes domestic equity investment with the amount of foreign exchanges settled, the foreign-invested enterprise must first go through domestic re-investment registration and open a corresponding account for foreign exchange settlement, pending payment with the foreign exchange administration or the bank at the place where it is registered.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SAFE Circular 16, promulgated by SAFE on June 9, 2016 and lastly amended on December 4, 2023, stipulates that PRC domestic companies may also convert their foreign debts denominated in foreign currencies into Renminbi on a discretionary basis. SAFE Circular 16 also provides an integrated standard for conversion of foreign exchange under capital account items (including foreign exchange capital and foreign debts) on a discretionary basis, which applies to all PRC domestic companies.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Market Entities Registration Administrative Regulations promulgated by the State Council on July 27, 2021 and effective on March 1, 2022, and other laws and regulations governing foreign-invested enterprises and company registrations, the establishment of a foreign-invested enterprise and any capital increase and other major changes in a foreign-invested enterprise must be registered with the State Administration for Market Regulation or its local counterparts, and must be filed via the foreign investment comprehensive administrative system, if such foreign-invested enterprise does not involve special market-entry administrative measures prescribed by the PRC government.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October 23, 2019, SAFE issued the Circular on Further Promoting Cross-Border Trade and Investment Facilitation, which was amended on December 4, 2023. This circular allows foreign-invested enterprises whose approved business scopes do not contain equity investment to use their capital obtained from foreign exchange settlement to make domestic equity investment as long as the investment is real and complies with the foreign investment-related laws and regulations. In addition, this circular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 Payments for transactions that take place in China must be made in Renminbi. Income denominated in foreign currencies received by PRC domestic companies may be repatriated into China or retained outside of China in accordance with requirements and terms specified by SAFE.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SAFE Circular 13 and other foreign exchange laws and regulations, when setting up a new foreign-invested enterprise, the foreign-invested enterprise must register with a bank located at its place of registration after obtaining its business license, and if there is any change in capital or other changes relating to the basic information of the foreign-invested enterprise, including any increase in its registered capital or total investment, the foreign-invested enterprise must register such changes with the bank located at its place of registration after obtaining approval from or completing the filing with competent authorities. Pursuant to the foreign exchange laws and regulations, the above-mentioned foreign exchange registration with the banks will typically take less than four weeks upon the acceptance of the registration application.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September 12, 2025, SAFE promulgated the Notice on Matters Concerning the Deepening of Reform in the Administration of Foreign Exchange for Cross-border Investment and Financing, which took effect on the same date. The Notice further streamlines foreign exchange administration under the capital account by cancelling certain registration requirements for foreign direct investment and domestic reinvestment by foreign-invested enterprises, allowing preliminary expenses and domestic reinvestment funds to be remitted directly through banks without prior or change registration. It also permits foreign exchange profits derived from direct foreign investment to be reinvested in China and transferred directly into the relevant capital accounts. In addition, the Notice expands cross-border financing facilitation by increasing foreign debt quotas for eligible technology-oriented enterprises and simplifies related registration procedures, including the removal of the requirement to submit audited financial statements at the contract registration stage for enterprises participating in cross-border financing facilitation business.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Based on the foregoing, if we intend to fund our wholly foreign-owned subsidiaries through capital injection at or after their establishment, we must register the establishment of and any follow-on capital increase in our wholly foreign-owned subsidiaries with the State Administration for Market Regulation or its local counterparts, file such via the foreign investment comprehensive administrative system, and register such with the local banks for the foreign exchange related matters.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Loans by the Foreign Companies to Their PRC Subsidiaries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loan made by foreign investors as shareholders in an foreign-invested enterprise is considered foreign debt in China and is regulated by various laws and regulations, including the PRC Regulation on Foreign Exchange Administration, the Interim Provisions on the Management of Foreign Debts, the Statistical Monitoring of Foreign Debt Tentative Provisions, and the Administrative Measures for Registration of Foreign Debt. Under these rules and regulations, a shareholder loan in the form of foreign debt made to a PRC entity does not require the prior approval of SAFE. However, such foreign debt must be registered with and recorded by SAFE or its local branches within fifteen business days after the entering of the foreign debt contract. Pursuant to these rules and regulations, the balance of the foreign debts of an foreign-invested enterprise cannot exceed the difference between the total investment and the registered capital of the foreign-invested enterprise.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January 12, 2017, the People’s Bank of China promulgated the Notice of the People’s Bank of China on Matters concerning the Macro-Prudential Management of Full-Covered Cross-Border Financing, or PBOC Notice No. 9. Pursuant to PBOC Notice No. 9, within a transition period of one year from January 12, 2017, foreign-invested enterprises may adopt the currently valid foreign debt management mechanism, or the mechanism as provided in PBOC Notice No. 9 at their own discretions. PBOC Notice No. 9 provides that enterprises may conduct independent cross-border financing in Renminbi or foreign currencies as required. Pursuant to PBOC Notice No. 9, the outstanding cross-border financing of an enterprise (the outstanding balance drawn, here and below) will be calculated using a risk-weighted approach and cannot exceed certain specified upper limits. PBOC Notice No. 9 further provides that the upper limit of risk-weighted outstanding cross-border financing for enterprises is 200% of its net assets, or the Net Asset Limits. Enterprises must file with SAFE in its capital item information system after entering into cross-border financing contracts and prior to three business days before drawing any money from the foreign debts.</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Offshore Investment by PRC Residents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Circular on Issues Concerning the Foreign Exchange Administration over the Overseas Investment and Financing and Round-Trip Investment by Domestic Residents via Special Purpose Vehicles issued by SAFE and effective on July 4, 2014, or SAFE Circular 37, PRC residents are required to register with local branches of SAFE in connection with their direct or indirect offshore investment in overseas special purpose vehicles directly established or indirectly controlled by PRC residents for offshore investment and financing with their legally owned assets or interests in PRC domestic companies, or their legally owned offshore assets or interests. Such PRC residents are also required to amend their registrations with SAFE when there is a change to the basic information of the special purpose vehicles, such as changes of an individual PRC resident, the name or operating period of the special purpose vehicles, or when there is a significant change to the special purpose vehicles, such as changes of the individual PRC residents’ increase or decrease of the capital contribution in the special purpose vehicles, or any share transfer or exchange, merger, or division of the special purpose vehicles. At the same time, SAFE issued the Operation Guidance for Issues Concerning Foreign Exchange Administration over Round-Trip Investment regarding the procedures for SAFE registration under SAFE Circular 37, which took effect on July 4, 2014, as an attachment to SAFE Circular 37.</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SAFE Circular 13, PRC residents may register with qualified banks instead of SAFE in connection with their establishment or control of an offshore entity established for the purpose of overseas direct investment. SAFE and its branches will implement indirect supervision over foreign exchange registration of direct investment via the banks.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Failure to comply with the registration procedures set forth in SAFE Circular 37 may result in restrictions on foreign exchange activities of onshore companies, including the payment of dividends and other distributions to its offshore parent or affiliate, the capital inflow from the offshore entities, and settlement of foreign exchange capital, and may also subject onshore companies or PRC residents to penalties under foreign exchange administration regulations of mainland China.</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Regulations on Outbound Direct Investment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December 26, 2017, NDRC promulgated the Administrative Measures on Overseas Investments of Enterprises, or NDRC Order No. 11, which took effect on March 1, 2018. According to NDRC Order No. 11, non-sensitive overseas investment projects are required to make record filings with NDRC or its local branch. On September 6, 2014, the Ministry of Commerce promulgated the Administrative Measures on Overseas Investments, which took effect on October 6, 2014. According to such regulation, overseas investments of PRC enterprises that involve non-sensitive countries and regions and non-sensitive industries must make record filings with the Ministry of Commerce or its local branch. The Notice of the State Administration of Foreign Exchange on Further Improving and Adjusting Foreign Exchange Administration Policies for Direct Investment was issued by SAFE on November 19, 2012 (with its latest amendment taking effect on December 30, 2019), under which PRC enterprises must register for overseas direct investment with local banks. The shareholders or beneficial owners who are PRC entities are required to be in compliance with the related overseas investment regulations. If they fail to complete the filings or registrations required by overseas direct investment regulations, the authority may order them to suspend or cease the implementation of such investment and make corrections within a specified time.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Dividend Distribution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principal laws and regulations regulating the distribution of dividends by foreign-invested enterprises in mainland China include the PRC Company Law, as amended in 2004, 2005, 2013, 2018 and 2023, and the 2019 PRC Foreign Investment Law and its Implementation Regulations. According to the regulatory mechanism provided by the above-mentioned laws, a foreign-invested enterprise in mainland China may only pay dividends out of accumulated profits (if any) determined in accordance with PRC accounting standards and regulations. The PRC companies (including foreign-invested enterprises) are required to draw at least 10% of their after-tax profits into the statutory reserve fund until the reserve fund reaches 50% of their registered capital, except as otherwise provided by the laws on foreign investment; and no profit shall be distributed before making up any loss in the previous fiscal year. Retained profits for previous fiscal years may be distributed together with distributable profits for the current fiscal year.</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Taxation</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Enterprise Income Tax Law promulgated by the Standing Committee of the National People’s Congress on March 16, 2007 (with its latest amendment taking effect on December 29, 2018) and the Implementation Rules of the PRC Enterprise Income Tax Law promulgated by the State Council on December 6, 2007 (with its latest amendment taking effect on December 6, 2024), the income tax rate for both PRC domestic companies and foreign-invested enterprises is 25% unless otherwise provided for specifically. Enterprises are classified as either PRC resident enterprises or non-PRC resident enterprises. In addition, enterprises established outside China whose de facto management bodies are located in China are considered PRC resident enterprises and subject to the 25% enterprise income tax rate for their global income. An income tax rate of 10% applies to dividends declared to non-PRC resident enterprise investors that do not have an establishment or place of business in China, or that have such establishment or place of business but where the income is not effectively connected with the establishment or place of business, to the extent such dividends are derived from sources within China.</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Value-Added Tax</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Provisional Regulations on Value-Added Tax effective on January 1, 1994 (with its latest amendment taking effect on November 19, 2017), the implementation rules effective on December 25, 1993 (with its latest amendment taking effect on October 28, 2011), and the Decisions on Abolishing the PRC Provisional Regulations on Business Tax and Amending the PRC Provisional Regulations on Value-Added Tax, promulgated on November 19, 2017, the PRC government imposes value-added tax, or VAT, on all enterprises and persons engaged in the sale of goods, provision of processing, repairing, and replacement services, and sales of services, intangible assets and real property in mainland China, as well as the importation of goods into mainland China. The rates have varied over time. Pursuant to the Announcement on Relevant Policies for Deepening Value-Added Tax Reform effective on April 1, 2019, we are currently subject to VAT at rates between 6% and 13% on the products and services we provide, less any deductible VAT we have already paid or borne. We are also subject to surcharges on VAT payments in accordance with PRC law.</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December 25, 2024, the SCNPC promulgated the Value-Added Tax Law of the PRC, or the VAT Law, which will become effective on January 1, 2026, and replace the Provisional Regulations on Value-added Tax. According to the VAT Law, all taxpayers selling goods, provision of services, separate intangible assets, immovable properties, or the importation of goods within the PRC shall pay Value-Added Tax. The applicable VAT rates are generally 13%, 9%, 6% or 0%, depending on the category of taxable activities.</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Dividend Withholding Tax</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PRC Enterprise Income Tax Law stipulates that an income tax rate of 10% applies to dividends declared to non-PRC resident investors that do not have an establishment or place of business in China, or that have such establishment or place of business but where the income is not effectively connected with the establishment or place of business, to the extent that such dividends are derived from sources within China.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Arrangement between Mainland China and the Hong Kong Special Administrative Region for the Avoidance of Double Taxation and Tax Evasion on Income and other applicable laws of mainland China, if a Hong Kong resident enterprise is determined by the competent tax authority to have satisfied the conditions and requirements, the 10% withholding tax rate on the dividends received by the Hong Kong resident enterprise from a PRC resident enterprise may be reduced to 5%. According to the Circular on Several Questions Regarding the Beneficial Owner in Tax Treaties, which was issued by the State Administration of Taxation on February 3, 2018 and took effect on April 1, 2018, when determining an applicant’s status as the beneficial owner regarding tax treatments in connection with dividends, interest, or royalties in the tax treaties, several factors are considered, including whether the applicant is obligated to pay over 50% of the income in twelve months to residents in a third country or region, whether the business operated by the applicant constitutes the actual business activities, and whether the counterparty country or region to the tax treaties does not levy any tax or grant any tax exemption on such incomes or levies tax at an extremely low rate, and such factors will be analyzed according to the actual circumstances of the specific cases.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Tax on Indirect Transfer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Circular 7 issued by the State Administration of Taxation on February 3, 2015 (with its latest amendment taking effect on December 29, 2017), an indirect transfer of assets, including equity interest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several factors are considered, including whether the main value of the equity interest of the offshore enterprise derives directly or indirectly from PRC taxable assets, whether the assets of the offshore enterprise mainly consists of direct or indirect investment in China or if its income is mainly derived from China, and whether the offshore enterprise and its subsidiaries directly or indirectly holding PRC taxable assets have a real commercial nature that is evidenced by their actual function and risk exposure. Circular 7 does not apply to sales of shares by investors through a public stock exchange where such shares were acquired on a public stock exchange. On October 17, 2017, the State Administration of Taxation issued Circular 37, which was amended by the Announcement of the State Administration of Taxation on the Revision to Certain Taxation Regulatory Documents issued by the State Administration of Taxation on June 15, 2018. Circular 37 further elaborates on the implementing rules regarding the calculation, reporting, and payment obligations of the withholding tax by non-PRC resident enterprises. Nevertheless, there remain uncertainties as to the interpretation and application of Circular 7. Circular 7 may be determined by the tax authorities to be applicable to our offshore transactions or sale of our shares or those of our offshore subsidiaries where non-PRC resident enterprises, being the transferors, were involved.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Employment and Social Welfare</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Labor Law and Labor Contract Law</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Labor Law effective on January 1, 1995 (with its latest amendment taking effect on December 29, 2018) and its implementation rules, employers must establish and improve work safety and health systems, enforce national standards, and carry out work safety and health education for employees. In addition, pursuant to the PRC Labor Contract Law effective on January 1, 2008 and amended on December 28, 2012 and its implementation rules, employers must execute written labor contracts with full-time employees and comply with local minimum wage standards. Violations of the Labor Law and the Labor Contract Law may result in the imposition of fines and other administrative and criminal liability in the case of serious violations.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Interim Provisions on Labor Dispatch</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Interim Provisions on Labor Dispatch promulgated by the Ministry of Human Resources and Social Security on January 24, 2014, which became effective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Social Insurance and Housing Fund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PRC Social Insurance Law promulgated by the Standing Committee of the National People’s Congress on October 28, 2010 (with its latest amendment taking effect on December 29, 2018) and the Regulations on the Administration of Housing Funds promulgated by the State Council on April 3, 1999 (with its latest amendment taking effect on March 24, 2019), employers are required to contribute to a number of social security funds, including funds for basic pension insurance, unemployment insurance, basic medical insurance, occupational injury insurance, and maternity insurance, and also to housing funds. Any employer who fails to make such contribution may be fined and ordered to make good the deficit within a stipulated time limit.</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Employee Stock Incentive Plan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Notice of Issues Relating to the Foreign Exchange Administration for Domestic Persons Participating in Stock Incentive Plan of Overseas Listed Company issued by SAFE on February 15, 2012, employees, directors, supervisors, and other senior management who participate in any stock incentive plan of a publicly listed overseas company and who are PRC citizens or non-PRC citizens residing in China for a continuous period of no less than one year are, subject to a few exceptions, required to register with SAFE through a qualified domestic agent, which may be a PRC subsidiary of such overseas listed company, and complete certain other procedures.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Anti-Monopoly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PRC Anti-Monopoly Law amended by the Standing Committee of the National People’s Congress on June 24, 2022 and implemented from August 1, 2022, prohibited monopolistic conducts include monopoly agreements, abuse of dominant market position and concentration of business operators that may have the effect of eliminating or restricting competition.</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Monopoly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Competing operators shall not enter into monopoly agreements that exclude or restrict the effect of competition, such as boycotting transactions, fixing or altering commodity prices, restricting commodity production, or fixing commodity prices for resales to third parties, unless the agreement satisfies the exemption conditions stipulated in the Anti-Monopoly Law, for example, where the operators can prove that they do not have the effect of excluding or restricting competition, or where the operators can prove that their shares in applicable market is lower than the standards set by the anti-monopoly law enforcement agency of the State Council and meets other conditions stipulated by it, or improving technology, enhancing the competitiveness of small and medium-sized operators, and maintaining legitimate rights and interests in cross-border economic and trade cooperation. Meanwhile, the operators shall not enter into monopoly agreements with other operators or provide substantial support to other operators to reach monopoly agreements. If the regulations are violated, the punishments include orders to cease to act, confiscation of illegal income and a penalty of not less than 1% but not more than 10% of the sales volume in the previous year; if there is no sales volume in the previous year, a penalty of not more than RMB5,000,000 shall be imposed. Where the monopoly agreement reached has not been implemented, a penalty of less than RMB3,000,000 would be imposed. If a violation is critically serious, causing material adverse impact and severe consequences, the anti-monopoly law enforcement agency of the State Council may determine the specific amount of penalty not less than two times but not more than five times the amount of the aforementioned fine.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Provisions on the Prohibition of Monopoly Agreements promulgated by the State Administration for Market Regulation on March 10, 2023 (with its latest amendment taking effect on February 1, 2026), further provided for the prevention and prohibition of monopoly agreement-related matters, and replaced some of anti-trust rules and regulations previously issued by the State Administration for Market Regulation.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Abuse of Dominant Market Position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business operator with a dominant market position shall not abuse its dominant market position, such as selling commodities at an unfairly high price or purchasing commodities at an unfairly low price, selling commodities at prices below cost without justifiable reasons and rejecting to trade with trading counterparts. In case of violation of the prohibition on abuse of dominant market position, the punishments include orders to cease to act, confiscation of illegal gains and a penalty of not less than 1% but not more than 10% of the sales volume in the previous year. If a violation is critically serious, causing material adverse impact and severe consequences, the anti-monopoly law enforcement agency of the State Council may determine the specific amount of penalty not less than two times but not more than five times the amount of the aforementioned fine.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Interim Provisions on Prohibition of Abuse of Dominant Market Position promulgated by the State Administration for Market Regulation (with its latest amendment taking effect on April 15, 2023), further prevented and curbed abuse of market dominance.</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Concentration of Business Operators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Operators shall declare the concentration reaching the threshold of declaration prescribed by the State Council to the anti-monopoly law enforcement agency of the State Council before conducting concentration. Concentration of business operators refers to the following circumstances: (i) merger of business operators; (ii) a business operator acquires control over other business operators by acquiring their equities or assets; or (iii) a business operator acquires control over other business operators or is able to exert a decisive influence on other business operators by contract or any other means. Where a business operator fails to comply with the mandatory reporting requirements, and has or may have the effect of excluding or restricting competition, the anti-monopoly law enforcement agency of the State Council has the power to order to cease the implementation of the concentration, dispose of shares or assets and transfer the business within a time limit, and take other necessary measures to restore the state before the concentration, and impose a penalty of not more than 10% of the sales volume in the previous year; if the operators fail to conduct concentration according to regulations and do not have the effect of excluding or restricting competition, a penalty of not more than RMB5,000,000 would be imposed. If a violation is critically serious, causing material adverse impact and severe consequences, the anti-monopoly law enforcement agency of the State Council may determine the specific amount of penalty not less than two times but not more than five times the amount of the aforementioned fine.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Provisions on the Review of Business Operator Concentration promulgated by the State Administration for Market Regulation on March 10, 2023 and effective on April 15, 2023, and the Provisions of the State Council on Thresholds for the Declaration of Concentrations of Undertakings promulgated by the State Council on January 22, 2024, further provided for matters such as the declaration and review of the concentration of business operators and the investigation of the illegal implementation of the concentration of business operators.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December 20, 2024, SAMR issued the Guidelines for the Review of Horizontal Concentrations of Undertakings, also known as the Guidelines for Review of Horizontal Concentrations, which clarifies the quantitative standards for the review of business operator concentrations. According to the Guidelines for Review of Horizontal Concentrations, the anti-monopoly law enforcement agency will pay special attention to a horizontal concentration of undertakings in which the total market share of the parties to the concentration is between 25% and 50%. To be specific, for a horizontal concentration of undertakings in which the total market share of the parties to the concentration is between 35% and 50%, the anti-monopoly law enforcement agency would be predisposed to deem that the concentration has or may have the effect of excluding or restricting competition in the relevant market.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Mergers and Acquisitions and Overseas Listing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August 8, 2006, six PRC governmental and regulatory authorities, including the Ministry of Commerce and CSRC, promulgated the M&amp;A Rules, effective as of September 8, 2006 and later revised on June 22, 2009, which governs the mergers and acquisitions of domestic enterprises by foreign investors. The M&amp;A Rules, among other things, requires that if an overseas company established or controlled by PRC companies or individuals intends to acquire equity interests or assets of any other PRC domestic company affiliated with such PRC companies or individuals, such acquisition must be submitted to Ministry of Commerce for approval. The M&amp;A Rules also requires that an offshore special purpose vehicle formed for overseas listing purposes and controlled directly or indirectly by the PRC individuals or companies shall obtain the approval of CSRC prior to overseas listing and trading of such special purpose vehicle’s securities on an overseas stock exchange. After the 2019 PRC Foreign Investment Law and its Implementation Regulations became effective on January 1, 2020, the provisions of the M&amp;A Rules remain effective to the extent they are not inconsistent with the 2019 PRC Foreign Investment Law and its Implementation Regulations.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17, 2023, CSRC promulgated the Trial Administrative Measures of Overseas Securities Offering and Listing by Domestic Companies, or the Overseas Listing Trial Measures, and five supporting guidelines, collectively the Overseas Listing Filing Rules, which became effective on March 31, 2023. According to the Overseas Listing Filing Rules, the offering or listing of shares, depository receipts, convertible corporate bonds, or other equity-like securities by a PRC domestic company in an overseas stock market, whether directly or indirectly through an offshore holding company, should be filed with CSRC. The determination of whether any offering or listing is “indirect” will be made on a “substance over form” basis.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Overseas Listing Filing Rules, the reporting entity shall submit filing materials including but not limited to a report to CSRC within three business days after submitting listing applications to an overseas stock market. Once listed overseas, the reporting entity will be further required to report the occurrence of any of the following material events within three business days after the occurrence and announcement thereof to CSRC: (i) a change of control of the issuer; (ii) the investigation, sanction or other measures undertaken by any foreign securities regulatory agencies or competent authorities in respect of the issuer; (iii) change of the listing status or transfer of the listing board; and (iv) the voluntary or mandatory delisting of the issuer. In addition, the completion of any overseas follow-on offerings by an issuer in the same overseas market where it has completed its public offering and listing would necessitate a filing with CSRC within three business days thereafter.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CSRC also published the Notice on the Overseas Listing Filing and the set of Q&amp;A published on CSRC’s official website, which are in connection with the release of the Overseas Listing Filing Rules. CSRC clarifies that (i) on or prior to the effective date of the Overseas Listing Filing Rules, domestic companies that have already submitted valid applications for overseas offering and listing but have not obtained approval from overseas regulatory authorities or stock exchanges may reasonably arrange the timing for submitting their filing applications with CSRC, and must complete the filing before the completion of their overseas offering and listing; (ii) a transition period will be granted to domestic companies until September 30, 2023, which, prior to the effective date of the Overseas Listing Filing Rules, have already obtained the approval from overseas regulatory authorities or stock exchanges, but have not completed the indirect overseas listing; if domestic companies fail to complete the overseas listing prior to September 30, 2023, they shall file with CSRC according to the requirements.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Based on the Overseas Listing Filing Rules, PRC domestic companies are primarily responsible for compliance with the rules. Violation of the Overseas Listing Filing Rules or the completion of an overseas listing in breach of the Overseas Listing Filing Rules may result in a warning and a fine ranging from RMB1,000,000 to RMB10,000,000. Furthermore, the directly responsible supervisors and other directly liable persons of PRC domestic companies may be subject to warning and a fine ranging from RMB500,000 to RMB5,000,000, and the controlling shareholders and actual controllers of PRC domestic companies may be subject to a fine ranging from RMB1,000,000 to RMB10,000,000.</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24, 2023, CSRC issued Provisions on Strengthening Confidentiality and Archiving Administration of Overseas Securities Offering and Listing by Domestic Companies, or the Archives Rules, which became effective on March 31, 2023 and specify that during the overseas issuance of securities and listing activities of domestic enterprises, domestic enterprises and securities companies and securities service institutions that provide securities services shall, by strictly abiding by the laws and regulations of mainland China and the requirements therein, establish sound confidentiality and file work systems, take necessary measures to implement confidentiality and file management responsibilities, and shall not leak national secrets and undermine national and public interests. Files such as the work manuscripts generated in the PRC by securities companies and securities service institutions that provide securities services for overseas issuance and listing of securities by domestic enterprises shall be kept in the PRC. The transmission of any such working papers to recipients outside China must be approved in accordance with the applicable PRC regulations. Where files or copies thereof need to be transferred outside of the PRC, it shall be subject to the approval procedures in accordance with regulations of mainland China.</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Global Government Regulations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rules and regulations that affect our business activities in the EU, the U.K., and the U.S.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Type Approval</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EU</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Manufacturers of passenger vehicles in the EU that wish to benefit from the EU single market are required to comply with EU Regulation 2018/858, or the Whole Vehicle Type Approval), which requires that vehicles that are put on the market within the EU must first be type-approved to ensure that they meet all environmental, safety and security standards. A vehicle that has been type-approved in one EU member state can thereafter be sold and registered in all member states without further tests. As of the date of this annual report, we have acquired EU type approval for Eletre and Emeya in compliance with the Whole Vehicle Type Approval and application for For Me is in process.</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U.K.</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EU position is broadly the same in the U.K., which adopted EU Regulation 2018/858 as retained EU law at the end of the Brexit transition period, and which was subsequently implemented / amended by the Road Vehicles (Approval) Regulations 2020. On December 31, 2022, the new GB Type Approval Scheme came into force. This scheme is based heavily on EU Regulation 2018/858, but applies solely to vehicles to be sold on the market in Great Britain. Compliance with the scheme involves ensuring that the vehicle meets performance standards in Great Britain and can be sold on the Great Britain market. The GB Type Approval Scheme is mandatory for vehicles to be sold in Great Britain from February 1, 2024. Up until February 1, 2024, manufacturers had the option of using the Provisional GB Type Approval Scheme to obtain approval in Great Britain. Under the provisional scheme, manufacturers already in possession of an EU type approval under the Whole Vehicle Type Approval referenced above can obtain type approval in the U.K. by providing the Vehicle Certification Agency with: (i) a list of type approvals for vehicle types they intend to place on the market in Great Britain, and (ii) the corresponding EU type approval certificates. As of the date of this annual report, we have acquired U.K. type approval for Eletre and Emeya and application for For Me is in process.</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Regulations on Safety</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EU</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EU overhauled its vehicle safety regulations in 2009 by adopting EU Regulation 661/2009, replacing more than fifty previously existing vehicle safety directives with one overarching safety regulation which included requirements on seat belts and child restraint systems for example. This regulation was in turn revised in 2019 by the adoption of EU Regulation 2019/2144, which includes, for example, rules on cybersecurity and new guidelines regarding driver drowsiness and distraction, such as distractions caused by the use of a smartphone while driving, intelligent speed assistance, reversing safely with the aid of cameras or sensors, data recording in case of an accident (black box), lane-keeping assistance, advanced emergency braking, and crash-test improved safety.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U.K.</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the U.K., EU Regulation 661/2009 was adopted as retained EU law by virtue of the European Union (Withdrawal) Act 2018 and implemented by the Road Vehicles (Approval) Regulations 2020.</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changes made by EU Regulation 2019/2144 were not adopted in the U.K., as they were introduced after the U.K. had left the EU. Further legislation would be needed to transpose these into U.K. law, however there are no current plans to do so.</w:t>
      </w:r>
    </w:p>
    <w:p>
      <w:pPr>
        <w:pStyle w:val="TextBody"/>
        <w:bidi w:val="0"/>
        <w:spacing w:lineRule="auto" w:line="285" w:before="0" w:after="240"/>
        <w:ind w:left="360" w:right="0" w:hanging="0"/>
        <w:jc w:val="left"/>
        <w:rPr>
          <w:rFonts w:ascii="Times New Roman;Times;serif" w:hAnsi="Times New Roman;Times;serif"/>
          <w:b/>
          <w:i/>
          <w:sz w:val="20"/>
        </w:rPr>
      </w:pPr>
      <w:r>
        <w:rPr>
          <w:rFonts w:ascii="Times New Roman;Times;serif" w:hAnsi="Times New Roman;Times;serif"/>
          <w:b/>
          <w:i/>
          <w:sz w:val="20"/>
        </w:rPr>
        <w:t>U.S.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U.S. National Traffic and Motor Vehicle Safety Act requires manufacturers of vehicles sold in the U.S. to certify that a vehicle meets all applicable Federal Motor Vehicle Safety Standards, federal bumper standards, and federal anti-theft standards, before that vehicle may be imported into or sold in the U.S. Those standards are issued and administered by the National Highway Traffic Safety Administration. Primary categories of Federal Motor Vehicle Safety Standards that apply to our vehicles include: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Crash Avoidance Standards</w:t>
      </w:r>
      <w:r>
        <w:rPr>
          <w:rFonts w:ascii="Times New Roman;Times;serif" w:hAnsi="Times New Roman;Times;serif"/>
          <w:sz w:val="20"/>
        </w:rPr>
        <w:t>. Safety standards intended to assist vehicles in avoiding collisions with other vehicles, objects, or road users. These standards prescribe minimum performance requirements for vehicle and equipment performance, including requirements for steering, braking, headlamps, tail lamps, and signal lights, controls and displays, warning signals, tires, stability control, and other vehicle equipment and functions.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Crash Worthiness and Occupant Protection Requirements</w:t>
      </w:r>
      <w:r>
        <w:rPr>
          <w:rFonts w:ascii="Times New Roman;Times;serif" w:hAnsi="Times New Roman;Times;serif"/>
          <w:sz w:val="20"/>
        </w:rPr>
        <w:t>. Standards designed to protect vehicle occupants and mitigate damage and injury in the event of a crash. These standards include minimum performance requirements for vehicle structure and equipment, as well as other occupant protection requirements such as passenger restraint systems (e.g., airbags, seatbelts), systems, and features to protect vehicle occupants.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Electric Vehicle Specific Requirements</w:t>
      </w:r>
      <w:r>
        <w:rPr>
          <w:rFonts w:ascii="Times New Roman;Times;serif" w:hAnsi="Times New Roman;Times;serif"/>
          <w:sz w:val="20"/>
        </w:rPr>
        <w:t>. In addition to the safety standards summarized above that apply to all motor vehicles, there are a limited number of additional standards that apply to electric vehicles and high-voltage batteries. Today, those standards are designed primarily to protect vehicle occupants from injury, and include requirements and crash tests designed to limit electrolyte spillage, battery retention, and avoid electric shock to vehicle occupants in the event of a crash. In addition, the U.S. Departments of Energy and Transportation have indicated they may promulgate additional battery and EV safety and performance requirements, and we aim to comply with any such applicable standards if they are issued.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Manufacturer Self-Certification</w:t>
      </w:r>
      <w:r>
        <w:rPr>
          <w:rFonts w:ascii="Times New Roman;Times;serif" w:hAnsi="Times New Roman;Times;serif"/>
          <w:sz w:val="20"/>
        </w:rPr>
        <w:t>. Federal law requires motor vehicle manufacturers to certify that a vehicle complies with all applicable Federal Motor Vehicle Safety Standards, as well as National Highway Traffic Safety Administration bumper and theft prevention standards, before that vehicle is sold or offered for sale in the U.S. Federal law provides significant monetary penalties and other sanctions for vehicle manufacturers that certify as Federal Motor Vehicle Safety Standards-compliant vehicles that are found to fail to comply with one or more of those standards. These requirements apply equally to vehicles that are manufactured in the U.S. and vehicles that are imported for sale in the 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Other U.S. Department of Transportation/National Highway Traffic Safety Administration Requirements</w:t>
      </w:r>
      <w:r>
        <w:rPr>
          <w:rFonts w:ascii="Times New Roman;Times;serif" w:hAnsi="Times New Roman;Times;serif"/>
          <w:sz w:val="20"/>
        </w:rPr>
        <w:t>. Our vehicles to be sold in the U.S. are also required to comply with (or obtain exemptions from) other requirements of federal laws administered by the National Highway Traffic Safety Administration, including corporate average fuel economy standards and consumer information and labeling requirements. Manufacturer of vehicles sold in the U.S. are also subject to various reporting requirements, including Early Warning Reporting requirements regarding warranty claims, field reports, death and injury claims and foreign recall.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The Automobile Information and Disclosure Act</w:t>
      </w:r>
      <w:r>
        <w:rPr>
          <w:rFonts w:ascii="Times New Roman;Times;serif" w:hAnsi="Times New Roman;Times;serif"/>
          <w:sz w:val="20"/>
        </w:rPr>
        <w:t>. This law requires manufacturers of motor vehicles to disclose certain information regarding the manufacturer’s suggested retail price, optional equipment, and pricing. In addition, the AIDA requires inclusion fuel economy ratings on a label affixed to new vehicles offered for sale. The American Automobile Labeling Act also requires manufacturers of automobiles to state the percentage of our vehicle components that are manufactured in the U.S. and in other countries, and the location of final vehicle assembly.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Each state may impose additional vehicle safety requirements with respect to vehicle equipment or components that are not regulated by a federal standard. Each state also has authority to regulate the operation of vehicles within its boundaries, including prescribing licensing and registration requirements and traffic laws. In some instances, a state’s power may extend to prohibiting the operation of certain types of vehicles on roads in that state.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Data Protection and Privacy</w:t>
      </w:r>
    </w:p>
    <w:p>
      <w:pPr>
        <w:pStyle w:val="TextBody"/>
        <w:bidi w:val="0"/>
        <w:spacing w:lineRule="auto" w:line="285" w:before="0" w:after="240"/>
        <w:ind w:left="360" w:right="0" w:hanging="0"/>
        <w:jc w:val="both"/>
        <w:rPr>
          <w:rFonts w:ascii="Times New Roman;Times;serif" w:hAnsi="Times New Roman;Times;serif"/>
          <w:b/>
          <w:i/>
          <w:sz w:val="20"/>
        </w:rPr>
      </w:pPr>
      <w:r>
        <w:rPr>
          <w:rFonts w:ascii="Times New Roman;Times;serif" w:hAnsi="Times New Roman;Times;serif"/>
          <w:b/>
          <w:i/>
          <w:sz w:val="20"/>
        </w:rPr>
        <w:t>EU</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Since the entry into force on May 25, 2018, of the GDPR, processing of personal data of individuals located in the European Economic Area, or the “EEA, or done by any entity in the EEA, is subject to strict requirements centered around core principles and rights of such individuals to receive access to, to rectify or to delete their personal data. The GDPR obliges us, where applicable, to ensure adherence to the principles of lawfulness, fairness and transparency, and purpose limitation, data minimization, data accuracy, storage limitation and integrity and confidentiality. The GDPR also requires us to mitigate potential data breaches and to, unless the data breach leads to a low risk for the rights and freedoms of data subjects, report data breaches to the data protection supervisory authority within 72 hours.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March 9, 2021, the European Data Protection Board adopted Guidelines 01/2020 on processing personal data in the context of connected vehicles and mobility related applications, which stated that much of the data that is generated by a connected vehicle relate to a natural person that is identified or identifiable and thus constitute personal data under the GDPR.</w:t>
      </w:r>
    </w:p>
    <w:p>
      <w:pPr>
        <w:pStyle w:val="TextBody"/>
        <w:bidi w:val="0"/>
        <w:spacing w:lineRule="auto" w:line="285" w:before="0" w:after="240"/>
        <w:ind w:left="360" w:right="0" w:hanging="0"/>
        <w:jc w:val="both"/>
        <w:rPr>
          <w:rFonts w:ascii="Times New Roman;Times;serif" w:hAnsi="Times New Roman;Times;serif"/>
          <w:b/>
          <w:i/>
          <w:sz w:val="20"/>
        </w:rPr>
      </w:pPr>
      <w:r>
        <w:rPr>
          <w:rFonts w:ascii="Times New Roman;Times;serif" w:hAnsi="Times New Roman;Times;serif"/>
          <w:b/>
          <w:i/>
          <w:sz w:val="20"/>
        </w:rPr>
        <w:t>U.K.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EU position is the same in the U.K., which adopted the GDPR as retained EU law at the end of the Brexit transition period. From January 1, 2021, the U.K. GDPR came into force. The U.K. GDPR is based on the EU GDPR, subject to minor amendments to make it more suited to its U.K. context.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EU GDPR was originally implemented in the U.K. through the Data Protection Act 2018. This instrument has since been amended to align with the U.K. GDPR. The act establishes the rights of individuals to access, remove, restrict and update their personal data, and sets out core data protection principles.</w:t>
      </w:r>
    </w:p>
    <w:p>
      <w:pPr>
        <w:pStyle w:val="TextBody"/>
        <w:bidi w:val="0"/>
        <w:spacing w:lineRule="auto" w:line="285" w:before="0" w:after="240"/>
        <w:ind w:left="360" w:right="0" w:hanging="0"/>
        <w:jc w:val="both"/>
        <w:rPr>
          <w:rFonts w:ascii="Times New Roman;Times;serif" w:hAnsi="Times New Roman;Times;serif"/>
          <w:b/>
          <w:i/>
          <w:sz w:val="20"/>
        </w:rPr>
      </w:pPr>
      <w:r>
        <w:rPr>
          <w:rFonts w:ascii="Times New Roman;Times;serif" w:hAnsi="Times New Roman;Times;serif"/>
          <w:b/>
          <w:i/>
          <w:sz w:val="20"/>
        </w:rPr>
        <w:t>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There is no overarching generally applicable federal law in the U.S. that governs the collection, processing, storage, transmission, or use of personal data. More narrow and specific federal laws apply to the processing or other use or treatment of certain types of personal data (including information related to health, credit, telecommunications, and telemarketing), or to the processing or use of personal data by certain types of entities (e.g., financial institutions). Also, the Federal Trade Commission may bring enforcement actions against companies that engage in processing of personal data in a manner that constitutes an unfair or deceptive trade practice. In addition, the overwhelming majority of states have enacted laws related to data privacy. Perhaps the most stringent and comprehensive of those state laws is the California Consumer Privacy Act, as expanded and supplemented by the California Privacy Rights Act (effective January 1, 2023). To the extent state data privacy laws apply to us and our products or services, we aim to ensure compliance with the requirements of those laws.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Automated Driving / Advanced Driver Assistance System (AD/ADAS)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equip our vehicles with certain advanced driver assistance features. Generally, laws pertaining to driver assistance features and intelligent driving vehicles are evolving globally and, in some cases, may create restrictions on advanced driver assistance or intelligent driving features that we may develop. We aim to meet the requirements for each product, market, and time frame.</w:t>
      </w:r>
    </w:p>
    <w:p>
      <w:pPr>
        <w:pStyle w:val="TextBody"/>
        <w:bidi w:val="0"/>
        <w:spacing w:lineRule="auto" w:line="285" w:before="0" w:after="240"/>
        <w:ind w:left="360" w:right="0" w:hanging="0"/>
        <w:jc w:val="both"/>
        <w:rPr>
          <w:rFonts w:ascii="Times New Roman;Times;serif" w:hAnsi="Times New Roman;Times;serif"/>
          <w:b/>
          <w:i/>
          <w:sz w:val="20"/>
        </w:rPr>
      </w:pPr>
      <w:r>
        <w:rPr>
          <w:rFonts w:ascii="Times New Roman;Times;serif" w:hAnsi="Times New Roman;Times;serif"/>
          <w:b/>
          <w:i/>
          <w:sz w:val="20"/>
        </w:rPr>
        <w:t>U.K.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Automated and Electric Vehicles Act 2018 provides a framework for ADAS regulations in the U.K. The Act allows for the creation of a new liability scheme for insurers in relation to automated vehicles, and the creation of regulations relating to electric vehicle charging infrastructure, including availability and reliability standards. In January 2022, the Law Commission published a report with recommendations for a new legal framework to support the safe deployment of automated vehicles. Its recommendations included writing the test for automated driving into law, and introducing a second stage in the type approval process to authorize vehicles for use as automated driving on Great Britain roads. These recommendations have been laid before Parliament and are being considered as part of the government’s broader plans to legislate on automated vehicles.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both"/>
        <w:rPr>
          <w:rFonts w:ascii="Times New Roman;Times;serif" w:hAnsi="Times New Roman;Times;serif"/>
          <w:b/>
          <w:i/>
          <w:sz w:val="20"/>
        </w:rPr>
      </w:pPr>
      <w:r>
        <w:rPr>
          <w:rFonts w:ascii="Times New Roman;Times;serif" w:hAnsi="Times New Roman;Times;serif"/>
          <w:b/>
          <w:i/>
          <w:sz w:val="20"/>
        </w:rPr>
        <w:t>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Currently, there are no mandatory federal standards specifying additional safety or performance requirements for AD/ADAS. The U.S. Department of Transportation and the National Highway Traffic Safety Administration have issued voluntary guidance regarding the capabilities and performance of such systems, and there is a significant possibility that the National Highway Traffic Safety Administration may issue safety standards governing some ADAS in the next few years. There are some additional crash reporting requirements for vehicles equipped with ADS or ADAS. The National Highway Traffic Safety Administration has, to a limited extent, reduced occupant protection standards for automated vehicles that do not have human occupants. In the absence of applicable standards, the National Highway Traffic Safety Administration has “defect” authority to order a recall or take other enforcement action if it determines a vehicle’s ADAS poses an unreasonable risk to safety.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Sustainability and Environmental Regulations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operate in an industry that is subject to extensive sustainability and environmental related regulations, which have become more stringent over time, and are expected to become more extensive in the future.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responsible mineral sourcing; due diligence transparency; environmental reporting; and the remediation of environmental contamination. Compliance with such laws and regulations at an international, regional, national, state, provincial and local level is and will be an important aspect of our ability to continue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Many countries have announced a requirement for the sale of zero-emission vehicles only within proscribed timeframes, some as early as 2035, and we as an electric vehicle developer aim to comply with these requirements across our entire coming product portfolio as we expand.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All vehicle manufacturers are required to comply with the applicable emission regulations in each jurisdiction in which they operate. Furthermore, since our electric vehicles have zero or limited emissions compared to ICE vehicles, we earn emission grams or credits that may be sold to and used by other manufacturers to cover or offset their emissions footprint. We aim to follow the development and opportunities connected to emission regulations in all geographic regions in which we operate. The ability to earn excess emission grams or credits are dependent on each jurisdictions’ regulations and the opportunity to get compensated by others depends on the demand from other manufacturers.</w:t>
      </w:r>
    </w:p>
    <w:p>
      <w:pPr>
        <w:pStyle w:val="TextBody"/>
        <w:bidi w:val="0"/>
        <w:spacing w:lineRule="auto" w:line="285" w:before="0" w:after="240"/>
        <w:ind w:left="360" w:right="0" w:hanging="0"/>
        <w:jc w:val="both"/>
        <w:rPr>
          <w:rFonts w:ascii="Times New Roman;Times;serif" w:hAnsi="Times New Roman;Times;serif"/>
          <w:b/>
          <w:i/>
          <w:sz w:val="20"/>
        </w:rPr>
      </w:pPr>
      <w:r>
        <w:rPr>
          <w:rFonts w:ascii="Times New Roman;Times;serif" w:hAnsi="Times New Roman;Times;serif"/>
          <w:b/>
          <w:i/>
          <w:sz w:val="20"/>
        </w:rPr>
        <w:t>EU</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Manufacturers of passenger vehicles in the EU are required to comply with EU Regulation 715/2007—the WLTP on Energy Consumption and Range, and Directive 2005/64/EC—Recyclability, Recoverability, Reusability.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Non-financial reporting forms part of the EU’s sustainability and environmental legislative framework. The EU Corporate Sustainability Reporting Directive 2022/2464 entered into force on January 5, 2023, and with effect from January 1, 2025, expands non-financial reporting obligations of EU-established entities and in certain cases overseas parent companies to cover all “large undertakings,” which can include non-EU based parent companies. The scope of what must be reported annually is significantly expanded. Where our entities are subject to this Directive, we must report according to European Sustainability Reporting Standards on issues such as environmental matters, social matters and treatment of employees, respect for human rights, anti-corruption and bribery, diversity on company boards (in terms of age, gender, educational and professional background). In addition, the EU is expected to finalize over the next 2 to 3 years the Corporate Sustainability Due Diligence Directive which will implement mandatory due diligence that certain large companies must undertake regarding human rights and environmental impacts along their supply chains.</w:t>
      </w:r>
    </w:p>
    <w:p>
      <w:pPr>
        <w:pStyle w:val="TextBody"/>
        <w:bidi w:val="0"/>
        <w:spacing w:lineRule="auto" w:line="285" w:before="0" w:after="240"/>
        <w:ind w:left="360" w:right="0" w:hanging="0"/>
        <w:jc w:val="both"/>
        <w:rPr>
          <w:rFonts w:ascii="Times New Roman;Times;serif" w:hAnsi="Times New Roman;Times;serif"/>
          <w:b/>
          <w:i/>
          <w:sz w:val="20"/>
        </w:rPr>
      </w:pPr>
      <w:r>
        <w:rPr>
          <w:rFonts w:ascii="Times New Roman;Times;serif" w:hAnsi="Times New Roman;Times;serif"/>
          <w:b/>
          <w:i/>
          <w:sz w:val="20"/>
        </w:rPr>
        <w:t>U.K.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WLTP applies in the U.K., as EU Regulation 715/2007 was adopted in the U.K. as retained EU law following Brexit. EU Directive 2005/64/EC was also retained in the U.K. and implemented through the Motor Vehicles (EC Type Approval) (Amendment) Regulations 2007.</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There are also separate national rules regulating CO2 emissions performance standards, for example the Road Vehicle Carbon Dioxide Emission Performance Standards (Cars and Vans) (Amendment) (EU Exit) Regulations 2020/1418 govern emissions from newly registered cars and vans in Great Britain.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Following a consultation last year, the U.K. government is currently in the process of developing a new U.K. road vehicle CO2 emissions regulatory framework. The proposed framework plans to introduce a zero emissions vehicles mandate that will require manufacturers to meet certain zero-emission vehicle targets every year from 2024. There would also be continued regulation of new non-zero emissions cars and vans until all new sales are zero emission at the exhaust.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U.K. introduced Streamlined Energy and Carbon Reporting (SECR) in 2019 in the Companies (Directors’ Report) and Limited Liability Partnerships (Energy and Carbon Report) Regulations 2018. SECR requires obligated companies to report on their energy consumption and associated greenhouse gas emissions within, if applicable, their financial reporting for Companies House.</w:t>
      </w:r>
    </w:p>
    <w:p>
      <w:pPr>
        <w:pStyle w:val="TextBody"/>
        <w:bidi w:val="0"/>
        <w:spacing w:lineRule="auto" w:line="285" w:before="0" w:after="240"/>
        <w:ind w:left="360" w:right="0" w:hanging="0"/>
        <w:jc w:val="both"/>
        <w:rPr>
          <w:rFonts w:ascii="Times New Roman;Times;serif" w:hAnsi="Times New Roman;Times;serif"/>
          <w:b/>
          <w:i/>
          <w:sz w:val="20"/>
        </w:rPr>
      </w:pPr>
      <w:r>
        <w:rPr>
          <w:rFonts w:ascii="Times New Roman;Times;serif" w:hAnsi="Times New Roman;Times;serif"/>
          <w:b/>
          <w:i/>
          <w:sz w:val="20"/>
        </w:rPr>
        <w:t>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expect to offer our vehicles for sale in the U.S. through dealers registered with individual states. We and our dealers must obtain and comply with the terms and conditions of government permits, certificates, licenses, authorizations, approvals and satisfy other requirements under U.S. laws, as well as state and local government laws.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Manufacturers of vehicles sold in the U.S. are obligated to meet all applicable regulatory requirements in every U.S. jurisdiction in which it operates, distributes, or sells its products. Some required permits, certifications, or licenses are costly and difficult to obtain. Violations of applicable environmental, health, or safety laws and regulations may result in significant sanctions, including civil and criminal fines, penalties orders to cease non-compliant operations or to conduct corrective actions, or suspension or revocation of permits, certificates, and licenses.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vehicles we intend to offer for sale in the U.S. must satisfy the applicable requirements of laws and regulations administered by the National Highway Traffic Safety Administration and the Environmental Protection Agency on a federal level. Similarly, those vehicles must satisfy the emissions standards of the California Air Resource Board which is a major regulator on state level.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Clean Air Act, our vehicles are required to obtain a Certificate of Conformity issued by the Environmental Protection Agency and, for California and states that have adopted laws or regulations to utilize California’s light-duty vehicle standards, a California Executive Order issued by the California Air Resource Board. A Certificate of Conformity and/or California Air Resource Board Executive Order is required for each model year for vehicles sold in the U.S. This regulatory process is designed to ensure that all vehicles comply with applicable emission standards for both criteria pollutants, such as nitrogen oxides and particulate matter, and greenhouse house gases, such as carbon dioxide and nitrous oxide. This process also includes labelling requirements to provide consumer information such as miles per gallon or gas-equivalent ratings and maximum range on a single charge.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expect our all-electric, battery-powered vehicles to generate regulatory compliance credits that can be monetized through sale to other OEMs. Under California’s Low-Emission Vehicle Program, and equivalent requirements that apply in the states that have adopted California’s standards, OEMs are required to produce an increasing percentage of BEVs, fuel cell electric vehicles, or plug-in hybrid electric vehicles. The zero-emission vehicle program of the California Air Resource Board requires OEMs to produce a certain number BEVs, fuel cell electric vehicles or plug-in hybrid electric vehicles each year, based on the total number of cars sold in California or the other states that have adopted the zero-emission vehicle program, ranging from 4.5% in 2018 to 22% by 2025. Moreover, California’s zero-emission vehicle program requires 100% of all new passenger car and light-duty truck sales to qualify as zero-emission vehicles by 2035. As a developer of zero-emission vehicles, we may earn zero-emission vehicle credits on each electric vehicle sold in California or other participating states, which may be sold to other OEMs without the need to offset any greenhouse house gases or other pollutant emitting ICE vehicles.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to state-level credits, the Environmental Protection Agency and the National Highway Traffic Safety Administration require all OEMs to meet minimum greenhouse house gas emission and corporate average fuel economy standards applicable to light-duty vehicles. These federal regulations require that manufacturers of light-duty vehicles meet minimum threshold standards for greenhouse house gas emissions and fuel economy based on a vehicle’s footprint or overall dimensions. We will also benefit from these regulations as a developer of zero-emission vehicles because each electric vehicle will generate greenhouse house gas and corporate average fuel economy credits which can be sold to other manufacturers. In December 2021, the Environmental Protection Agency finalized revised greenhouse house gas standards for model year 2023 – 2026 light-duty vehicles. In May 2022, the National Highway Traffic Safety Administration finalized revised corporate average fuel economy standards for model year 2024 – 2026 light-duty vehicles. These standards require fleetwide increases in fuel economy and decreases in greenhouse house gas emissions from ICE equipped vehicles produced by all manufacturers.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May 2023, the Environmental Protection Agency proposed a new suite of greenhouse house gas and criteria pollutant emission standards for model year 2027 – 2032 light-duty vehicles. In the proposed regulation, the Environmental Protection Agency estimates the revised emission standards would require BEVs to account for 60% of total light-duty vehicle sales by 2030 and 67% of total sales by 2032. In July 2023, the National Highway Traffic Safety Administration proposed new corporate average fuel economy standards for model year 2027 – 2032 vehicles which would require estimated average fleetwide fuel economy for light-duty vehicles of 58 miles per gallon by 2032. These regulations have not been finalized and are subject to change. If the more stringent corporate average fuel economy and greenhouse house gas emission standards are finalized, we may be positioned to monetize the credits we may earn for selling zero-emission vehicles in the U.S.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Regulations on Recall Activities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Manufacturers of vehicles sold in the U.S. must recall such vehicles if they are found to have a safety defect or fail to comply with an applicable Federal Motor Vehicle Safety Standards. The primary recall obligations are to provide notice to owners of all affected vehicles, and to offer a remedy, free of charge, to all affected vehicle owners.</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Regulations on Distribution</w:t>
      </w:r>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EU</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legal rules governing commercial agency relationships (agents who promote sales in the name of and on behalf of the principal) are to some extent harmonized under the European Commercial Agency Directive (86/653/EEC). The European Commercial Agency Directive governs various aspects of the commercial agency relationship, including commission claims, minimum notice periods, compensation or indemnity claims upon termination of the agency contract and post-contractual non-compete obligations. The European Commercial Agency Directive is an EU Directive and as such, is not directly applicable in the EU Member States but needs to be transposed into the laws of each EU Member State. Individual national laws may provide for additional rules and national interpretations of the European Commercial Agency Directive.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distribution of new vehicles is generally regulated via Art. 101 and 102 of the Treaty of the Functioning of the European Union, the respective Block Exemption Regulations (EU Regulation 2022/720 of May 10, 2022 on the application of Article 101(3) of the Treaty of the Functioning of the European Union to categories of vertical agreements and concerted practices and Regulation n°461/2010 relative to after sales activities) and Motor Vehicle Regulation No 461/2010 which came into force on June 1, 2010 and will expire on May 23, 2028. Under the Block Exemption Regulations, OEMs and principals must not prevent members of a selective distribution system from selling spare parts to independent repairers, prevent a supplier of spare parts from selling its goods to operators outside the network or to end users, or prevent a supplier of components from placing its trademark or logo on a component supplied for the initial assembly of a motor vehicle. Other than the Block Exemption Regulations, the rules governing distributorship relationships vary by EU member state.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U.K.</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the U.K., the Commercial Agents (Council Directive) Regulations 1993 (SI 1993/3053) implement the European Commercial Agency Directive. The regulations continue to have effect post-Brexit as EU-derived domestic legislation under Section 2 of the EU (Withdrawal) Act 2018. These regulations govern the relationship between agent and principal where goods are sold, and imposes mandatory obligations on both parties. For the principal, this includes a duty to act in good faith, to provide documentation relating to the goods, and to notify the agent where there will be a reduction in goods from the volume expected. The Regulations also cover other aspects of the relationship, including pay, commission, and a requirement to give notice where the contract is concluded without breach.</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applicable provisions under the Treaty of the Functioning of the European Union and the associated Block Exemption Regulations will continue to apply where the principal has selling arrangements in other EEA countries in addition to the U.K. It is only where the effects of the agency agreement would be felt purely in the U.K. that these provisions would not apply, and U.K. competition rules under the Competition Act 1998 would apply in their place. In any event, the provisions under the CA 1998 which target anti-competitive business are closely based on Articles 101 and 102 of the Treaty of the Functioning of the European Union and contain similar exemptions.</w:t>
      </w:r>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U.S.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Generally, the individual states have authority to regulate the distribution, sale, and service of vehicles within their state. A number of states have laws that either prohibit or impose limitations on “direct sale” of motor vehicles by a manufacturer to a retail customer. In states with a full prohibition, vehicle manufacturers are required to either sell vehicles in those states through automobile dealers or similar entity licensed to sell vehicles, or not sell vehicles in those states. Some state laws also prohibit a vehicle manufacturer from directly servicing vehicles it manufactured.</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Regulations on Incentives</w:t>
      </w:r>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EU</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Almost all EU Member States have adopted various measures to stimulate demand for BEVs, plug-in hybrid electric vehicles and fuel cell electric vehicles. In addition, some member states of the EU offer state-funded vehicle scrappage schemes that provide financial incentives for the replacement of old vehicles with new vehicles. There are also a number of government-funded research and development programs in the automotive industry within the EU. Many of these programs focus on projects related to electric mobility and autonomous driving.</w:t>
      </w:r>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U.K.</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the U.K., there are a number of tax benefits currently in place to stimulate demand for BEVs. For example, businesses using purely electric (i.e. not hybrid) company vehicles are entitled to 100% first year capital allowances so that the full cost of the vehicle can be deducted from profits before tax. Purely electric vehicles are also exempt from vehicle excise duty until 2025. Further, electric vehicles are exempt from congestion charges.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Under the EV Chargepoint Grant, people living in flats or rental accommodation are eligible for a grant that covers £350 or 75% of the cost to buy and install a chargepoint, whichever is the lower. Similarly, the Workplace Charging Scheme means that businesses can claim up to £350 / 75% per socket of the cost of up to 40 sockets, as a way of encouraging employees to make the switch to electric.</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Consumers used to be able to benefit from the Plug-in Car Grant, under which consumers could get a discount on the purchase price of plug-in cars, however this scheme was ended in 2022. However, other types of vehicle may still be eligible for the grant, including wheelchair accessible vehicles, motorcycles and mopeds, vans and taxis. For eligible vehicles, the plug-in grant enables the consumer to get a percentage discount on the upfront cost of the vehicle.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There are likely to be tax benefits—for example, vehicle excise duty is calculated based on the size of the engine, year of first registration, and CO2 emissions—therefore most pure EV’s are zero rated for tax purposes (i.e. tax free). However, from April 2025, the vehicle excise duty will start to apply to electric vehicles.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U.S.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federal Inflation Reduction Act of 2022 provides Clean Vehicle tax credits of up to US$7,500 per vehicle to purchasers of some zero-emission vehicles. In order for the purchase of a zero-emission vehicle to qualify for such credits, the vehicle and the purchaser must satisfy certain requirements. Those eligibility requirements include, </w:t>
      </w:r>
      <w:r>
        <w:rPr>
          <w:rFonts w:ascii="Times New Roman;Times;serif" w:hAnsi="Times New Roman;Times;serif"/>
          <w:i/>
          <w:sz w:val="20"/>
        </w:rPr>
        <w:t>inter alia</w:t>
      </w:r>
      <w:r>
        <w:rPr>
          <w:rFonts w:ascii="Times New Roman;Times;serif" w:hAnsi="Times New Roman;Times;serif"/>
          <w:sz w:val="20"/>
        </w:rPr>
        <w:t>, that a specified percentage of the value of critical minerals contained in the vehicle’s battery be extracted or processed in the U.S.; that the battery components in the vehicle be manufactured or assembled in the U.S.; that the final assembly of the vehicle be conducted in the U.S.; that the retail price of the vehicle not exceed a specified level; and that the eligible purchasers must have taxable incomes below a specified level. Our vehicles do not presently qualify for the new Clean Vehicle tax credits under the federal Inflation Reduction Act of 2022.</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some cases, state and local governments may provide additional incentives for the purchase and sale of BEVs, plug-in hybrid electric vehicles or fuel cell electric vehicles.</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Regulations on Producer Responsibility—Batteries</w:t>
      </w:r>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EU</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Current Legislation. Directive 2006/66/EC on batteries and accumulators and waste batteries and accumulators sets out a number of targets and other requirements which aim to increase the collection and recycling of waste batteries of all types, thereby providing further environmental protection and helping to prevent heavy metal pollution which can be caused by some batteries if not dealt with correctly. All European member states were given until September 26, 2008 to transpose the detail of the Directive into each member’s local legislation. Costs associated with meeting the requirements of the Directive must be met by the producers of the batteries, and it must be free of charge for end users to place their waste batteries in the system that will ensure those batteries are recycled.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new EU Batteries Regulation is a proposal to repeal, replace, and significantly extend the scope of the existing EU Batteries Directive 2006/66/EC with a new, enhanced batteries law in the form of a harmonized EU-wide regulation. The draft new law contains full life-cycle mandatory provisions relating to a far wider range of batteries placed on the EU market than the current EU Batteries Directive, including for the first time lithium batteries, and generally all commercial and industrial batteries (as well as automotive and electric vehicle batteries). In general, the obligations fall on “economic operators,” which include manufacturers, authorized representatives, importers, distributors, fulfilment service providers, and any other natural or legal person who is subject to obligations in relation to manufacturing batteries, preparing batteries for reuse, preparing batteries for repurpose, repurposing, or remanufacturing, of batteries, that first place batteries on the market (including online placing on the market) or put them into service. New duties that our entities may be required to adhere to include: Supply Chain Due Diligence, Durability/Right-to-Repair/Battery Conformity (there are proposed minimum values for electrochemical performance and durability of rechargeable industrial batteries), Labelling and Information Disclosure and Enhanced Producer Responsibility For End-of-Life Batteries.</w:t>
      </w:r>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U.K.</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U.K. transposed EU Directive 2006/66/EC into national law in 2008 and 2009 under the Batteries and Accumulators (Placing on the Market) Regulations 2008 and the Waste Batteries and Accumulators Regulations 2009. This legislation makes it compulsory to collect and recycle batteries and accumulators, prevents batteries and accumulators from being incinerated or dumped in landfills and restricts the substances used in batteries and accumulators. The U.K. government are considering following the EU in extending producer responsibility for batteries but such changes are some way off at present and so requirements will be more stringent in the EU going forward once the new EU Batteries Regulation comes in to force.</w:t>
      </w:r>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U.S.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Battery packs are also subject to selected tests specified in the SAE J2464 and J2929 standards, as well as tests defined by other standards and regulatory bodies and our own internal tests. These tests evaluate battery function and performance as well as resilience to conditions including immersion, humidity, fire, and other potential hazards.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Regulations on End-of-Life Vehicles</w:t>
      </w:r>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EU</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EU Directive 2000/53/EC provides specific regulatory requirements for the take-back of end-of-life vehicles, such as material coding, treatment obligation, collection system obligation, information and monitoring requirements. It also prohibits the use of hazardous substances when manufacturing new vehicles (especially lead, mercury, cadmium and hexavalent chromium) except in defined exemptions when there are no adequate alternatives. Through Directive 2000/53/EC, vehicle manufacturers have an obligation to provide free take-back for cars and light commercial vehicles.</w:t>
      </w:r>
    </w:p>
    <w:p>
      <w:pPr>
        <w:pStyle w:val="TextBody"/>
        <w:bidi w:val="0"/>
        <w:spacing w:lineRule="auto" w:line="285" w:before="0" w:after="200"/>
        <w:ind w:left="360" w:right="0" w:hanging="0"/>
        <w:jc w:val="left"/>
        <w:rPr>
          <w:rFonts w:ascii="Times New Roman;Times;serif" w:hAnsi="Times New Roman;Times;serif"/>
          <w:b/>
          <w:i/>
          <w:sz w:val="20"/>
        </w:rPr>
      </w:pPr>
      <w:r>
        <w:rPr>
          <w:rFonts w:ascii="Times New Roman;Times;serif" w:hAnsi="Times New Roman;Times;serif"/>
          <w:b/>
          <w:i/>
          <w:sz w:val="20"/>
        </w:rPr>
        <w:t>U.K.</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End-of-life Vehicles Regulations 2003 and the End-of-life Vehicles (Producer Responsibility) Regulations 2005 are the underpinning legislation in the U.K. and reflect the contents of EU Directive 2000/53/EC. Vehicles are regulated to limit the environmental impact of their disposal, by reducing the amount of waste created when they are scrapped. Producers must provide a convenient network of authorized treatment facilities, or make acceptable alternative arrangements, offering free take-back for their brands when they become </w:t>
      </w:r>
      <w:r>
        <w:rPr>
          <w:rFonts w:ascii="Times New Roman;Times;serif" w:hAnsi="Times New Roman;Times;serif"/>
          <w:color w:val="231F20"/>
          <w:sz w:val="20"/>
        </w:rPr>
        <w:t>End-of-life Vehicles</w:t>
      </w:r>
      <w:r>
        <w:rPr>
          <w:rFonts w:ascii="Times New Roman;Times;serif" w:hAnsi="Times New Roman;Times;serif"/>
          <w:sz w:val="20"/>
        </w:rPr>
        <w:t>. The producer—the manufacturer or importer—placing the vehicle or component on the U.K. market is responsible for compliance.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Organizational Structure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corporate structure, including our principal and other subsidiaries as of the date of this annual report.</w:t>
      </w:r>
    </w:p>
    <w:p>
      <w:pPr>
        <w:pStyle w:val="TextBody"/>
        <w:bidi w:val="0"/>
        <w:spacing w:lineRule="auto" w:line="285" w:before="0" w:after="240"/>
        <w:ind w:left="0" w:right="0" w:hanging="0"/>
        <w:jc w:val="center"/>
        <w:rPr/>
      </w:pPr>
      <w:r>
        <w:rPr/>
        <w:drawing>
          <wp:inline distT="0" distB="0" distL="0" distR="0">
            <wp:extent cx="5797550" cy="1844040"/>
            <wp:effectExtent l="0" t="0" r="0" b="0"/>
            <wp:docPr id="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5" descr=""/>
                    <pic:cNvPicPr>
                      <a:picLocks noChangeAspect="1" noChangeArrowheads="1"/>
                    </pic:cNvPicPr>
                  </pic:nvPicPr>
                  <pic:blipFill>
                    <a:blip r:embed="rId6"/>
                    <a:stretch>
                      <a:fillRect/>
                    </a:stretch>
                  </pic:blipFill>
                  <pic:spPr bwMode="auto">
                    <a:xfrm>
                      <a:off x="0" y="0"/>
                      <a:ext cx="5797550" cy="1844040"/>
                    </a:xfrm>
                    <a:prstGeom prst="rect">
                      <a:avLst/>
                    </a:prstGeom>
                  </pic:spPr>
                </pic:pic>
              </a:graphicData>
            </a:graphic>
          </wp:inline>
        </w:drawing>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Property, Plant and Equipment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offices in various cities in China and Europe. As of December 31, 2025, we had leased premises as summarized below and under operating lease agreements from independent third parties. We believe that our existing facilities are generally adequate to meet our current needs, but we expect to seek additional space as needed to accommodate future growth.</w:t>
      </w:r>
    </w:p>
    <w:tbl>
      <w:tblPr>
        <w:tblW w:w="9277" w:type="dxa"/>
        <w:jc w:val="left"/>
        <w:tblInd w:w="0" w:type="dxa"/>
        <w:tblLayout w:type="fixed"/>
        <w:tblCellMar>
          <w:top w:w="0" w:type="dxa"/>
          <w:left w:w="0" w:type="dxa"/>
          <w:bottom w:w="0" w:type="dxa"/>
          <w:right w:w="0" w:type="dxa"/>
        </w:tblCellMar>
      </w:tblPr>
      <w:tblGrid>
        <w:gridCol w:w="2101"/>
        <w:gridCol w:w="346"/>
        <w:gridCol w:w="1396"/>
        <w:gridCol w:w="346"/>
        <w:gridCol w:w="3106"/>
        <w:gridCol w:w="346"/>
        <w:gridCol w:w="163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4135" cy="175260"/>
                      <wp:effectExtent l="0" t="0" r="0" b="0"/>
                      <wp:wrapNone/>
                      <wp:docPr id="45" name="Frame40"/>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6"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886460" cy="175260"/>
                      <wp:effectExtent l="0" t="0" r="0" b="0"/>
                      <wp:wrapNone/>
                      <wp:docPr id="47" name="Frame42"/>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48"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72310" cy="175260"/>
                      <wp:effectExtent l="0" t="0" r="0" b="0"/>
                      <wp:wrapNone/>
                      <wp:docPr id="49" name="Frame44"/>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0"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038860" cy="175260"/>
                      <wp:effectExtent l="0" t="0" r="0" b="0"/>
                      <wp:wrapNone/>
                      <wp:docPr id="51" name="Frame46"/>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39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Approximate Size</w:t>
            </w:r>
          </w:p>
        </w:tc>
        <w:tc>
          <w:tcPr>
            <w:tcW w:w="346" w:type="dxa"/>
            <w:tcBorders/>
            <w:vAlign w:val="center"/>
          </w:tcPr>
          <w:p>
            <w:pPr>
              <w:pStyle w:val="TableContents"/>
              <w:bidi w:val="0"/>
              <w:spacing w:lineRule="auto" w:line="307" w:before="0" w:after="1"/>
              <w:ind w:left="0" w:right="0" w:hanging="0"/>
              <w:jc w:val="center"/>
              <w:rPr/>
            </w:pPr>
            <w:r>
              <w:rPr/>
              <w:t>  ​ ​ ​</w:t>
            </w:r>
          </w:p>
        </w:tc>
        <w:tc>
          <w:tcPr>
            <w:tcW w:w="31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636" w:type="dxa"/>
            <w:tcBorders/>
            <w:vAlign w:val="center"/>
          </w:tcPr>
          <w:p>
            <w:pPr>
              <w:pStyle w:val="TableContents"/>
              <w:bidi w:val="0"/>
              <w:spacing w:lineRule="auto" w:line="307" w:before="0" w:after="160"/>
              <w:ind w:left="0" w:right="0" w:hanging="0"/>
              <w:jc w:val="center"/>
              <w:rPr/>
            </w:pPr>
            <w:r>
              <w:rPr/>
              <w:t>​</w:t>
            </w:r>
          </w:p>
        </w:tc>
      </w:tr>
      <w:tr>
        <w:trPr/>
        <w:tc>
          <w:tcPr>
            <w:tcW w:w="21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9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(Building) in</w:t>
            </w:r>
          </w:p>
        </w:tc>
        <w:tc>
          <w:tcPr>
            <w:tcW w:w="346" w:type="dxa"/>
            <w:tcBorders/>
            <w:vAlign w:val="center"/>
          </w:tcPr>
          <w:p>
            <w:pPr>
              <w:pStyle w:val="TableContents"/>
              <w:bidi w:val="0"/>
              <w:spacing w:lineRule="auto" w:line="307" w:before="0" w:after="160"/>
              <w:ind w:left="0" w:right="0" w:hanging="0"/>
              <w:jc w:val="center"/>
              <w:rPr/>
            </w:pPr>
            <w:r>
              <w:rPr/>
              <w:t>​</w:t>
            </w:r>
          </w:p>
        </w:tc>
        <w:tc>
          <w:tcPr>
            <w:tcW w:w="31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636" w:type="dxa"/>
            <w:tcBorders/>
            <w:vAlign w:val="center"/>
          </w:tcPr>
          <w:p>
            <w:pPr>
              <w:pStyle w:val="TableContents"/>
              <w:bidi w:val="0"/>
              <w:spacing w:lineRule="auto" w:line="307" w:before="0" w:after="160"/>
              <w:ind w:left="0" w:right="0" w:hanging="0"/>
              <w:jc w:val="center"/>
              <w:rPr/>
            </w:pPr>
            <w:r>
              <w:rPr/>
              <w:t>​</w:t>
            </w:r>
          </w:p>
        </w:tc>
      </w:tr>
      <w:tr>
        <w:trPr/>
        <w:tc>
          <w:tcPr>
            <w:tcW w:w="210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lineRule="auto" w:line="307" w:before="0" w:after="160"/>
              <w:ind w:left="0" w:right="0" w:hanging="0"/>
              <w:jc w:val="center"/>
              <w:rPr/>
            </w:pPr>
            <w:r>
              <w:rPr/>
              <w:t>​</w:t>
            </w:r>
          </w:p>
        </w:tc>
        <w:tc>
          <w:tcPr>
            <w:tcW w:w="13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Square Meters</w:t>
            </w:r>
          </w:p>
        </w:tc>
        <w:tc>
          <w:tcPr>
            <w:tcW w:w="346" w:type="dxa"/>
            <w:tcBorders/>
            <w:vAlign w:val="center"/>
          </w:tcPr>
          <w:p>
            <w:pPr>
              <w:pStyle w:val="TableContents"/>
              <w:bidi w:val="0"/>
              <w:spacing w:lineRule="auto" w:line="307" w:before="0" w:after="160"/>
              <w:ind w:left="0" w:right="0" w:hanging="0"/>
              <w:jc w:val="center"/>
              <w:rPr/>
            </w:pPr>
            <w:r>
              <w:rPr/>
              <w:t>​</w:t>
            </w:r>
          </w:p>
        </w:tc>
        <w:tc>
          <w:tcPr>
            <w:tcW w:w="310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Primary Use</w:t>
            </w:r>
          </w:p>
        </w:tc>
        <w:tc>
          <w:tcPr>
            <w:tcW w:w="346" w:type="dxa"/>
            <w:tcBorders/>
            <w:vAlign w:val="center"/>
          </w:tcPr>
          <w:p>
            <w:pPr>
              <w:pStyle w:val="TableContents"/>
              <w:bidi w:val="0"/>
              <w:spacing w:lineRule="auto" w:line="307" w:before="0" w:after="160"/>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Lease Term (years)</w:t>
            </w:r>
          </w:p>
        </w:tc>
      </w:tr>
      <w:tr>
        <w:trPr/>
        <w:tc>
          <w:tcPr>
            <w:tcW w:w="21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Shanghai, China</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40,741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 Lotus center, experience store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than 10 years</w:t>
            </w:r>
          </w:p>
        </w:tc>
      </w:tr>
      <w:tr>
        <w:trPr/>
        <w:tc>
          <w:tcPr>
            <w:tcW w:w="21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Wuhan, China</w:t>
            </w:r>
          </w:p>
        </w:tc>
        <w:tc>
          <w:tcPr>
            <w:tcW w:w="346" w:type="dxa"/>
            <w:tcBorders/>
            <w:vAlign w:val="center"/>
          </w:tcPr>
          <w:p>
            <w:pPr>
              <w:pStyle w:val="TableContents"/>
              <w:bidi w:val="0"/>
              <w:spacing w:lineRule="auto" w:line="307" w:before="0" w:after="1"/>
              <w:ind w:left="0" w:right="0" w:hanging="0"/>
              <w:jc w:val="left"/>
              <w:rPr/>
            </w:pPr>
            <w:r>
              <w:rPr/>
              <w:t> </w:t>
            </w:r>
          </w:p>
        </w:tc>
        <w:tc>
          <w:tcPr>
            <w:tcW w:w="13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4,435</w:t>
            </w:r>
          </w:p>
        </w:tc>
        <w:tc>
          <w:tcPr>
            <w:tcW w:w="346" w:type="dxa"/>
            <w:tcBorders/>
            <w:vAlign w:val="center"/>
          </w:tcPr>
          <w:p>
            <w:pPr>
              <w:pStyle w:val="TableContents"/>
              <w:bidi w:val="0"/>
              <w:spacing w:lineRule="auto" w:line="307" w:before="0" w:after="1"/>
              <w:ind w:left="0" w:right="0" w:hanging="0"/>
              <w:jc w:val="left"/>
              <w:rPr/>
            </w:pPr>
            <w:r>
              <w:rPr/>
              <w:t> </w:t>
            </w:r>
          </w:p>
        </w:tc>
        <w:tc>
          <w:tcPr>
            <w:tcW w:w="31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Lotus center, experience store</w:t>
            </w:r>
          </w:p>
        </w:tc>
        <w:tc>
          <w:tcPr>
            <w:tcW w:w="346" w:type="dxa"/>
            <w:tcBorders/>
            <w:vAlign w:val="center"/>
          </w:tcPr>
          <w:p>
            <w:pPr>
              <w:pStyle w:val="TableContents"/>
              <w:bidi w:val="0"/>
              <w:spacing w:lineRule="auto" w:line="307" w:before="0" w:after="160"/>
              <w:ind w:left="0" w:right="0" w:hanging="0"/>
              <w:jc w:val="left"/>
              <w:rPr/>
            </w:pPr>
            <w:r>
              <w:rPr/>
              <w:t>​</w:t>
            </w:r>
          </w:p>
        </w:tc>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1 to 11 years</w:t>
            </w:r>
          </w:p>
        </w:tc>
      </w:tr>
      <w:tr>
        <w:trPr/>
        <w:tc>
          <w:tcPr>
            <w:tcW w:w="21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Ningbo, China</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9,389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21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Hangzhou, China</w:t>
            </w:r>
          </w:p>
        </w:tc>
        <w:tc>
          <w:tcPr>
            <w:tcW w:w="346" w:type="dxa"/>
            <w:tcBorders/>
            <w:vAlign w:val="center"/>
          </w:tcPr>
          <w:p>
            <w:pPr>
              <w:pStyle w:val="TableContents"/>
              <w:bidi w:val="0"/>
              <w:spacing w:lineRule="auto" w:line="307" w:before="0" w:after="1"/>
              <w:ind w:left="0" w:right="0" w:hanging="0"/>
              <w:jc w:val="left"/>
              <w:rPr/>
            </w:pPr>
            <w:r>
              <w:rPr/>
              <w:t> </w:t>
            </w:r>
          </w:p>
        </w:tc>
        <w:tc>
          <w:tcPr>
            <w:tcW w:w="13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11,207</w:t>
            </w:r>
          </w:p>
        </w:tc>
        <w:tc>
          <w:tcPr>
            <w:tcW w:w="346" w:type="dxa"/>
            <w:tcBorders/>
            <w:vAlign w:val="center"/>
          </w:tcPr>
          <w:p>
            <w:pPr>
              <w:pStyle w:val="TableContents"/>
              <w:bidi w:val="0"/>
              <w:spacing w:lineRule="auto" w:line="307" w:before="0" w:after="1"/>
              <w:ind w:left="0" w:right="0" w:hanging="0"/>
              <w:jc w:val="left"/>
              <w:rPr/>
            </w:pPr>
            <w:r>
              <w:rPr/>
              <w:t> </w:t>
            </w:r>
          </w:p>
        </w:tc>
        <w:tc>
          <w:tcPr>
            <w:tcW w:w="31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vAlign w:val="center"/>
          </w:tcPr>
          <w:p>
            <w:pPr>
              <w:pStyle w:val="TableContents"/>
              <w:bidi w:val="0"/>
              <w:spacing w:lineRule="auto" w:line="307" w:before="0" w:after="160"/>
              <w:ind w:left="0" w:right="0" w:hanging="0"/>
              <w:jc w:val="left"/>
              <w:rPr/>
            </w:pPr>
            <w:r>
              <w:rPr/>
              <w:t>​</w:t>
            </w:r>
          </w:p>
        </w:tc>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than 3 years</w:t>
            </w:r>
          </w:p>
        </w:tc>
      </w:tr>
      <w:tr>
        <w:trPr/>
        <w:tc>
          <w:tcPr>
            <w:tcW w:w="21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London, U.K.</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1,730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10 years</w:t>
            </w:r>
          </w:p>
        </w:tc>
      </w:tr>
      <w:tr>
        <w:trPr/>
        <w:tc>
          <w:tcPr>
            <w:tcW w:w="21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Coventry, U.K.</w:t>
            </w:r>
          </w:p>
        </w:tc>
        <w:tc>
          <w:tcPr>
            <w:tcW w:w="346" w:type="dxa"/>
            <w:tcBorders/>
            <w:vAlign w:val="center"/>
          </w:tcPr>
          <w:p>
            <w:pPr>
              <w:pStyle w:val="TableContents"/>
              <w:bidi w:val="0"/>
              <w:spacing w:lineRule="auto" w:line="307" w:before="0" w:after="1"/>
              <w:ind w:left="0" w:right="0" w:hanging="0"/>
              <w:jc w:val="left"/>
              <w:rPr/>
            </w:pPr>
            <w:r>
              <w:rPr/>
              <w:t> </w:t>
            </w:r>
          </w:p>
        </w:tc>
        <w:tc>
          <w:tcPr>
            <w:tcW w:w="13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lineRule="auto" w:line="307" w:before="0" w:after="1"/>
              <w:ind w:left="0" w:right="0" w:hanging="0"/>
              <w:jc w:val="left"/>
              <w:rPr/>
            </w:pPr>
            <w:r>
              <w:rPr/>
              <w:t> </w:t>
            </w:r>
          </w:p>
        </w:tc>
        <w:tc>
          <w:tcPr>
            <w:tcW w:w="31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vAlign w:val="center"/>
          </w:tcPr>
          <w:p>
            <w:pPr>
              <w:pStyle w:val="TableContents"/>
              <w:bidi w:val="0"/>
              <w:spacing w:lineRule="auto" w:line="307" w:before="0" w:after="160"/>
              <w:ind w:left="0" w:right="0" w:hanging="0"/>
              <w:jc w:val="left"/>
              <w:rPr/>
            </w:pPr>
            <w:r>
              <w:rPr/>
              <w:t>​</w:t>
            </w:r>
          </w:p>
        </w:tc>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than 1 year</w:t>
            </w:r>
          </w:p>
        </w:tc>
      </w:tr>
      <w:tr>
        <w:trPr/>
        <w:tc>
          <w:tcPr>
            <w:tcW w:w="21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Paris, France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1,913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Experience store, Lotus center, office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10 years</w:t>
            </w:r>
          </w:p>
        </w:tc>
      </w:tr>
      <w:tr>
        <w:trPr/>
        <w:tc>
          <w:tcPr>
            <w:tcW w:w="21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Amsterdam, Netherlands</w:t>
            </w:r>
          </w:p>
        </w:tc>
        <w:tc>
          <w:tcPr>
            <w:tcW w:w="346" w:type="dxa"/>
            <w:tcBorders/>
            <w:vAlign w:val="center"/>
          </w:tcPr>
          <w:p>
            <w:pPr>
              <w:pStyle w:val="TableContents"/>
              <w:bidi w:val="0"/>
              <w:spacing w:lineRule="auto" w:line="307" w:before="0" w:after="1"/>
              <w:ind w:left="0" w:right="0" w:hanging="0"/>
              <w:jc w:val="left"/>
              <w:rPr/>
            </w:pPr>
            <w:r>
              <w:rPr/>
              <w:t> </w:t>
            </w:r>
          </w:p>
        </w:tc>
        <w:tc>
          <w:tcPr>
            <w:tcW w:w="13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2,795</w:t>
            </w:r>
          </w:p>
        </w:tc>
        <w:tc>
          <w:tcPr>
            <w:tcW w:w="346" w:type="dxa"/>
            <w:tcBorders/>
            <w:vAlign w:val="center"/>
          </w:tcPr>
          <w:p>
            <w:pPr>
              <w:pStyle w:val="TableContents"/>
              <w:bidi w:val="0"/>
              <w:spacing w:lineRule="auto" w:line="307" w:before="0" w:after="1"/>
              <w:ind w:left="0" w:right="0" w:hanging="0"/>
              <w:jc w:val="left"/>
              <w:rPr/>
            </w:pPr>
            <w:r>
              <w:rPr/>
              <w:t> </w:t>
            </w:r>
          </w:p>
        </w:tc>
        <w:tc>
          <w:tcPr>
            <w:tcW w:w="31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vAlign w:val="center"/>
          </w:tcPr>
          <w:p>
            <w:pPr>
              <w:pStyle w:val="TableContents"/>
              <w:bidi w:val="0"/>
              <w:spacing w:lineRule="auto" w:line="307" w:before="0" w:after="160"/>
              <w:ind w:left="0" w:right="0" w:hanging="0"/>
              <w:jc w:val="left"/>
              <w:rPr/>
            </w:pPr>
            <w:r>
              <w:rPr/>
              <w:t>​</w:t>
            </w:r>
          </w:p>
        </w:tc>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15 years</w:t>
            </w:r>
          </w:p>
        </w:tc>
      </w:tr>
      <w:tr>
        <w:trPr/>
        <w:tc>
          <w:tcPr>
            <w:tcW w:w="21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Oslo, Norway</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Experience store, office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5 to 8 years</w:t>
            </w:r>
          </w:p>
        </w:tc>
      </w:tr>
      <w:tr>
        <w:trPr/>
        <w:tc>
          <w:tcPr>
            <w:tcW w:w="21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Munich, Germany</w:t>
            </w:r>
          </w:p>
        </w:tc>
        <w:tc>
          <w:tcPr>
            <w:tcW w:w="346" w:type="dxa"/>
            <w:tcBorders/>
            <w:vAlign w:val="center"/>
          </w:tcPr>
          <w:p>
            <w:pPr>
              <w:pStyle w:val="TableContents"/>
              <w:bidi w:val="0"/>
              <w:spacing w:lineRule="auto" w:line="307" w:before="0" w:after="1"/>
              <w:ind w:left="0" w:right="0" w:hanging="0"/>
              <w:jc w:val="left"/>
              <w:rPr/>
            </w:pPr>
            <w:r>
              <w:rPr/>
              <w:t> </w:t>
            </w:r>
          </w:p>
        </w:tc>
        <w:tc>
          <w:tcPr>
            <w:tcW w:w="13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lineRule="auto" w:line="307" w:before="0" w:after="1"/>
              <w:ind w:left="0" w:right="0" w:hanging="0"/>
              <w:jc w:val="left"/>
              <w:rPr/>
            </w:pPr>
            <w:r>
              <w:rPr/>
              <w:t> </w:t>
            </w:r>
          </w:p>
        </w:tc>
        <w:tc>
          <w:tcPr>
            <w:tcW w:w="31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vAlign w:val="center"/>
          </w:tcPr>
          <w:p>
            <w:pPr>
              <w:pStyle w:val="TableContents"/>
              <w:bidi w:val="0"/>
              <w:spacing w:lineRule="auto" w:line="307" w:before="0" w:after="160"/>
              <w:ind w:left="0" w:right="0" w:hanging="0"/>
              <w:jc w:val="left"/>
              <w:rPr/>
            </w:pPr>
            <w:r>
              <w:rPr/>
              <w:t>​</w:t>
            </w:r>
          </w:p>
        </w:tc>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than 1 year</w:t>
            </w:r>
          </w:p>
        </w:tc>
      </w:tr>
      <w:tr>
        <w:trPr/>
        <w:tc>
          <w:tcPr>
            <w:tcW w:w="21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Milan, Italy</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than 1 year</w:t>
            </w:r>
          </w:p>
        </w:tc>
      </w:tr>
      <w:tr>
        <w:trPr/>
        <w:tc>
          <w:tcPr>
            <w:tcW w:w="21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Singapore, SG</w:t>
            </w:r>
          </w:p>
        </w:tc>
        <w:tc>
          <w:tcPr>
            <w:tcW w:w="346" w:type="dxa"/>
            <w:tcBorders/>
            <w:vAlign w:val="center"/>
          </w:tcPr>
          <w:p>
            <w:pPr>
              <w:pStyle w:val="TableContents"/>
              <w:bidi w:val="0"/>
              <w:spacing w:lineRule="auto" w:line="307" w:before="0" w:after="1"/>
              <w:ind w:left="0" w:right="0" w:hanging="0"/>
              <w:jc w:val="left"/>
              <w:rPr/>
            </w:pPr>
            <w:r>
              <w:rPr/>
              <w:t> </w:t>
            </w:r>
          </w:p>
        </w:tc>
        <w:tc>
          <w:tcPr>
            <w:tcW w:w="13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lineRule="auto" w:line="307" w:before="0" w:after="1"/>
              <w:ind w:left="0" w:right="0" w:hanging="0"/>
              <w:jc w:val="left"/>
              <w:rPr/>
            </w:pPr>
            <w:r>
              <w:rPr/>
              <w:t> </w:t>
            </w:r>
          </w:p>
        </w:tc>
        <w:tc>
          <w:tcPr>
            <w:tcW w:w="31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vAlign w:val="center"/>
          </w:tcPr>
          <w:p>
            <w:pPr>
              <w:pStyle w:val="TableContents"/>
              <w:bidi w:val="0"/>
              <w:spacing w:lineRule="auto" w:line="307" w:before="0" w:after="160"/>
              <w:ind w:left="0" w:right="0" w:hanging="0"/>
              <w:jc w:val="left"/>
              <w:rPr/>
            </w:pPr>
            <w:r>
              <w:rPr/>
              <w:t>​</w:t>
            </w:r>
          </w:p>
        </w:tc>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than 1 year</w:t>
            </w:r>
          </w:p>
        </w:tc>
      </w:tr>
      <w:tr>
        <w:trPr/>
        <w:tc>
          <w:tcPr>
            <w:tcW w:w="21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Tokyo, Japan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than 1 year</w:t>
            </w:r>
          </w:p>
        </w:tc>
      </w:tr>
      <w:tr>
        <w:trPr/>
        <w:tc>
          <w:tcPr>
            <w:tcW w:w="21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Dubai, UAE</w:t>
            </w:r>
          </w:p>
        </w:tc>
        <w:tc>
          <w:tcPr>
            <w:tcW w:w="346" w:type="dxa"/>
            <w:tcBorders/>
            <w:vAlign w:val="center"/>
          </w:tcPr>
          <w:p>
            <w:pPr>
              <w:pStyle w:val="TableContents"/>
              <w:bidi w:val="0"/>
              <w:spacing w:lineRule="auto" w:line="307" w:before="0" w:after="160"/>
              <w:ind w:left="0" w:right="0" w:hanging="0"/>
              <w:jc w:val="left"/>
              <w:rPr/>
            </w:pPr>
            <w:r>
              <w:rPr/>
              <w:t>​</w:t>
            </w:r>
          </w:p>
        </w:tc>
        <w:tc>
          <w:tcPr>
            <w:tcW w:w="13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lineRule="auto" w:line="307" w:before="0" w:after="160"/>
              <w:ind w:left="0" w:right="0" w:hanging="0"/>
              <w:jc w:val="left"/>
              <w:rPr/>
            </w:pPr>
            <w:r>
              <w:rPr/>
              <w:t>​</w:t>
            </w:r>
          </w:p>
        </w:tc>
        <w:tc>
          <w:tcPr>
            <w:tcW w:w="31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vAlign w:val="center"/>
          </w:tcPr>
          <w:p>
            <w:pPr>
              <w:pStyle w:val="TableContents"/>
              <w:bidi w:val="0"/>
              <w:spacing w:lineRule="auto" w:line="307" w:before="0" w:after="160"/>
              <w:ind w:left="0" w:right="0" w:hanging="0"/>
              <w:jc w:val="left"/>
              <w:rPr/>
            </w:pPr>
            <w:r>
              <w:rPr/>
              <w:t>​</w:t>
            </w:r>
          </w:p>
        </w:tc>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1 year</w:t>
            </w:r>
          </w:p>
        </w:tc>
      </w:tr>
      <w:tr>
        <w:trPr/>
        <w:tc>
          <w:tcPr>
            <w:tcW w:w="21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Gothenburg, Sweden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295,295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 warehouse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3 years</w:t>
            </w:r>
          </w:p>
        </w:tc>
      </w:tr>
    </w:tbl>
    <w:p>
      <w:pPr>
        <w:pStyle w:val="TextBody"/>
        <w:bidi w:val="0"/>
        <w:spacing w:lineRule="auto" w:line="307" w:before="0" w:after="160"/>
        <w:ind w:left="0" w:right="0" w:hanging="0"/>
        <w:jc w:val="both"/>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October 2023, the WFOE pledged the land use rights, buildings and ancillary facilities on certain pieces of land totaling approximately 84,000 square meters where our global headquarters is located in Wuhan, China to the Jingkai Fund pursuant to an exchangeable note agreement entered into between the WFOE and the Jingkai Fund in September 2021. Such pledge was terminated in April 2024 following the listing of our securities on Nasdaq pursuant to the term of the pledge.</w:t>
      </w:r>
    </w:p>
    <w:p>
      <w:pPr>
        <w:pStyle w:val="TextBody"/>
        <w:bidi w:val="0"/>
        <w:spacing w:lineRule="auto" w:line="285" w:before="0" w:after="240"/>
        <w:ind w:left="0" w:right="0" w:hanging="0"/>
        <w:jc w:val="left"/>
        <w:rPr>
          <w:rFonts w:ascii="Times New Roman;Times;serif" w:hAnsi="Times New Roman;Times;serif"/>
          <w:sz w:val="20"/>
        </w:rPr>
      </w:pPr>
      <w:bookmarkStart w:id="44" w:name="Item4AUnresolvedStaffComments_895031"/>
      <w:bookmarkStart w:id="45" w:name="_de5de9e6_7ecd_404c_a92a_2a4fe8f8e434"/>
      <w:bookmarkEnd w:id="44"/>
      <w:bookmarkEnd w:id="45"/>
      <w:r>
        <w:rPr>
          <w:rFonts w:ascii="Times New Roman;Times;serif" w:hAnsi="Times New Roman;Times;serif"/>
          <w:b/>
          <w:i w:val="false"/>
          <w:caps w:val="false"/>
          <w:smallCaps w:val="false"/>
          <w:sz w:val="20"/>
        </w:rPr>
        <w:t>Item 4A.</w:t>
      </w:r>
      <w:r>
        <w:rPr>
          <w:rFonts w:ascii="Times New Roman;Times;serif" w:hAnsi="Times New Roman;Times;serif"/>
          <w:b/>
          <w:sz w:val="20"/>
        </w:rPr>
        <w:t>Unresolved Staff Comments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hanging="0"/>
        <w:jc w:val="left"/>
        <w:rPr>
          <w:rFonts w:ascii="Times New Roman;Times;serif" w:hAnsi="Times New Roman;Times;serif"/>
          <w:sz w:val="20"/>
        </w:rPr>
      </w:pPr>
      <w:bookmarkStart w:id="46" w:name="Item5OperatingandFinancialReviewandProsp"/>
      <w:bookmarkStart w:id="47" w:name="_7db633ca_24e7_4c14_a957_7de240b4a5e9"/>
      <w:bookmarkEnd w:id="46"/>
      <w:bookmarkEnd w:id="47"/>
      <w:r>
        <w:rPr>
          <w:rFonts w:ascii="Times New Roman;Times;serif" w:hAnsi="Times New Roman;Times;serif"/>
          <w:b/>
          <w:i w:val="false"/>
          <w:caps w:val="false"/>
          <w:smallCaps w:val="false"/>
          <w:sz w:val="20"/>
        </w:rPr>
        <w:t>Item 5.</w:t>
      </w:r>
      <w:r>
        <w:rPr>
          <w:rFonts w:ascii="Times New Roman;Times;serif" w:hAnsi="Times New Roman;Times;serif"/>
          <w:b/>
          <w:sz w:val="20"/>
        </w:rPr>
        <w:t>Operating and Financial Review and Prospects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of our financial condition and results of operations is based upon, and should be read in conjunction with, our audited consolidated financial statements and the related notes included in this annual report. This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Operating Results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global intelligent and luxury mobility provider that designs, develops luxury lifestyle vehicles (non-sports car vehicles for daily usage) under the iconic British brand “Lotus” and sell all Lotus branded cars.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2025, we delivered a total of 6,520 vehicles, which consisted of our lifestyle vehicles and sportscars distributed through LTIL. As of December 31, 2025, we had 1,132 full-time employees globally, including in China and Europe, among which approximately 51% belong to our R&amp;D division.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total revenues increased from US$679.0 million for the year ended December 31, 2023 to US$924.3 million for the year ended December 31, 2024 and decreased to US$519.1 million for the year ended December 31, 2025. We recorded a net loss of US$750.3 million, US$1,107.3 million and US$464.2 million, in 2023, 2024 and 2025, respectively.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generate revenues primarily through sales of goods and services.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Sales of goods. </w:t>
      </w:r>
      <w:r>
        <w:rPr>
          <w:rFonts w:ascii="Times New Roman;Times;serif" w:hAnsi="Times New Roman;Times;serif"/>
          <w:sz w:val="20"/>
        </w:rPr>
        <w:t>We generate revenues by providing the following products:</w:t>
      </w:r>
    </w:p>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 lifestyle models developed by us;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Lotus-brand sports cars developed by Lotus UK;</w:t>
            </w:r>
          </w:p>
        </w:tc>
      </w:tr>
    </w:tbl>
    <w:tbl>
      <w:tblPr>
        <w:tblW w:w="1731" w:type="dxa"/>
        <w:jc w:val="left"/>
        <w:tblInd w:w="0" w:type="dxa"/>
        <w:tblLayout w:type="fixed"/>
        <w:tblCellMar>
          <w:top w:w="28" w:type="dxa"/>
          <w:left w:w="28" w:type="dxa"/>
          <w:bottom w:w="28" w:type="dxa"/>
          <w:right w:w="28" w:type="dxa"/>
        </w:tblCellMar>
      </w:tblPr>
      <w:tblGrid>
        <w:gridCol w:w="124"/>
        <w:gridCol w:w="256"/>
        <w:gridCol w:w="1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 parts; and</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peripheral products.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Services.</w:t>
      </w:r>
      <w:r>
        <w:rPr>
          <w:rFonts w:ascii="Times New Roman;Times;serif" w:hAnsi="Times New Roman;Times;serif"/>
          <w:sz w:val="20"/>
        </w:rPr>
        <w:t xml:space="preserve"> We generate revenues by providing automotive design and development services to OEM customers, design and development of intelligent driving solutions, and facilitation services in relation to logistics and order processing.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breakdown of revenues by type both in absolute amount and as a percentage of our revenues for the years indicated.</w:t>
      </w:r>
    </w:p>
    <w:tbl>
      <w:tblPr>
        <w:tblW w:w="7398" w:type="dxa"/>
        <w:jc w:val="left"/>
        <w:tblInd w:w="0" w:type="dxa"/>
        <w:tblLayout w:type="fixed"/>
        <w:tblCellMar>
          <w:top w:w="0" w:type="dxa"/>
          <w:left w:w="0" w:type="dxa"/>
          <w:bottom w:w="0" w:type="dxa"/>
          <w:right w:w="0" w:type="dxa"/>
        </w:tblCellMar>
      </w:tblPr>
      <w:tblGrid>
        <w:gridCol w:w="1561"/>
        <w:gridCol w:w="346"/>
        <w:gridCol w:w="781"/>
        <w:gridCol w:w="346"/>
        <w:gridCol w:w="571"/>
        <w:gridCol w:w="146"/>
        <w:gridCol w:w="781"/>
        <w:gridCol w:w="346"/>
        <w:gridCol w:w="571"/>
        <w:gridCol w:w="146"/>
        <w:gridCol w:w="781"/>
        <w:gridCol w:w="346"/>
        <w:gridCol w:w="67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991235" cy="175260"/>
                      <wp:effectExtent l="0" t="0" r="0" b="0"/>
                      <wp:wrapNone/>
                      <wp:docPr id="52" name="Frame4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3"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5935" cy="175260"/>
                      <wp:effectExtent l="0" t="0" r="0" b="0"/>
                      <wp:wrapNone/>
                      <wp:docPr id="54" name="Frame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5"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62585" cy="175260"/>
                      <wp:effectExtent l="0" t="0" r="0" b="0"/>
                      <wp:wrapNone/>
                      <wp:docPr id="56" name="Frame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2710" cy="175260"/>
                      <wp:effectExtent l="0" t="0" r="0" b="0"/>
                      <wp:wrapNone/>
                      <wp:docPr id="57" name="Frame5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95935" cy="175260"/>
                      <wp:effectExtent l="0" t="0" r="0" b="0"/>
                      <wp:wrapNone/>
                      <wp:docPr id="58"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59"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62585" cy="175260"/>
                      <wp:effectExtent l="0" t="0" r="0" b="0"/>
                      <wp:wrapNone/>
                      <wp:docPr id="60" name="Frame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2710" cy="175260"/>
                      <wp:effectExtent l="0" t="0" r="0" b="0"/>
                      <wp:wrapNone/>
                      <wp:docPr id="61" name="Frame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2"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3"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29260" cy="175260"/>
                      <wp:effectExtent l="0" t="0" r="0" b="0"/>
                      <wp:wrapNone/>
                      <wp:docPr id="64" name="Frame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491" w:type="dxa"/>
            <w:gridSpan w:val="11"/>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5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lineRule="auto" w:line="307" w:before="0" w:after="16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lineRule="auto" w:line="307" w:before="0" w:after="160"/>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1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1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739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5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491" w:type="dxa"/>
            <w:gridSpan w:val="11"/>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5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pPr>
            <w:r>
              <w:rPr/>
              <w:t>  ​</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pPr>
            <w:r>
              <w:rPr/>
              <w:t>  ​</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pPr>
            <w:r>
              <w:rPr/>
              <w:t>  ​</w:t>
            </w:r>
          </w:p>
        </w:tc>
      </w:tr>
      <w:tr>
        <w:trPr/>
        <w:tc>
          <w:tcPr>
            <w:tcW w:w="15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Sales of goods</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462,802</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89.2</w:t>
            </w:r>
          </w:p>
        </w:tc>
        <w:tc>
          <w:tcPr>
            <w:tcW w:w="1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891,061</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96.4</w:t>
            </w:r>
          </w:p>
        </w:tc>
        <w:tc>
          <w:tcPr>
            <w:tcW w:w="1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660,158</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97.2</w:t>
            </w:r>
          </w:p>
        </w:tc>
      </w:tr>
      <w:tr>
        <w:trPr/>
        <w:tc>
          <w:tcPr>
            <w:tcW w:w="15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Services revenues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56,296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33,288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18,850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56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519,098</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1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924,349</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1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679,008</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can be categorized as cost of goods sold and cost of services.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Cost of goods sold primarily consists of purchase costs of vehicles, charging piles, parts, and accessories, depreciation of molds tooling equipment, warehousing transportation costs, and customs duties. Cost of goods sold also includes reserves for estimated warranty expenses and charges to write-down the carrying value of the inventory when it exceeds its estimated net realizable value.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Cost of services generally includes cost of direct parts, materials, costs associated with providing extended warranty service and after - sales services, depreciation of associated assets used for providing services, labor costs, outsourcing expenses, rental expenses, consumed materials, and depreciation of associated assets used for providing the automotive design and development services.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expect that our cost of revenues will increase in absolute amounts in the foreseeable future as we continue to expand our business globally.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breakdown of our cost of revenues by nature both in absolute amount and as a percentage of our cost of revenues for the years indicated.</w:t>
      </w:r>
    </w:p>
    <w:tbl>
      <w:tblPr>
        <w:tblW w:w="7996" w:type="dxa"/>
        <w:jc w:val="left"/>
        <w:tblInd w:w="0" w:type="dxa"/>
        <w:tblLayout w:type="fixed"/>
        <w:tblCellMar>
          <w:top w:w="0" w:type="dxa"/>
          <w:left w:w="0" w:type="dxa"/>
          <w:bottom w:w="0" w:type="dxa"/>
          <w:right w:w="0" w:type="dxa"/>
        </w:tblCellMar>
      </w:tblPr>
      <w:tblGrid>
        <w:gridCol w:w="1636"/>
        <w:gridCol w:w="346"/>
        <w:gridCol w:w="901"/>
        <w:gridCol w:w="109"/>
        <w:gridCol w:w="571"/>
        <w:gridCol w:w="346"/>
        <w:gridCol w:w="901"/>
        <w:gridCol w:w="346"/>
        <w:gridCol w:w="571"/>
        <w:gridCol w:w="346"/>
        <w:gridCol w:w="901"/>
        <w:gridCol w:w="346"/>
        <w:gridCol w:w="67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38860" cy="175260"/>
                      <wp:effectExtent l="0" t="0" r="0" b="0"/>
                      <wp:wrapNone/>
                      <wp:docPr id="65" name="Frame6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66"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2135" cy="175260"/>
                      <wp:effectExtent l="0" t="0" r="0" b="0"/>
                      <wp:wrapNone/>
                      <wp:docPr id="67" name="Frame6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68"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62585" cy="175260"/>
                      <wp:effectExtent l="0" t="0" r="0" b="0"/>
                      <wp:wrapNone/>
                      <wp:docPr id="69" name="Frame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0"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72135" cy="175260"/>
                      <wp:effectExtent l="0" t="0" r="0" b="0"/>
                      <wp:wrapNone/>
                      <wp:docPr id="71" name="Frame6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2"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62585" cy="175260"/>
                      <wp:effectExtent l="0" t="0" r="0" b="0"/>
                      <wp:wrapNone/>
                      <wp:docPr id="73" name="Frame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4"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72135" cy="175260"/>
                      <wp:effectExtent l="0" t="0" r="0" b="0"/>
                      <wp:wrapNone/>
                      <wp:docPr id="75" name="Frame7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76"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29260" cy="175260"/>
                      <wp:effectExtent l="0" t="0" r="0" b="0"/>
                      <wp:wrapNone/>
                      <wp:docPr id="77" name="Frame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014" w:type="dxa"/>
            <w:gridSpan w:val="11"/>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581"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81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192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lineRule="auto" w:line="307" w:before="0" w:after="16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799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014" w:type="dxa"/>
            <w:gridSpan w:val="11"/>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60"/>
              <w:ind w:left="0" w:right="0" w:hanging="0"/>
              <w:jc w:val="righ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57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76" w:type="dxa"/>
            <w:tcBorders/>
            <w:shd w:fill="CCEEFF" w:val="clear"/>
            <w:vAlign w:val="center"/>
          </w:tcPr>
          <w:p>
            <w:pPr>
              <w:pStyle w:val="TableContents"/>
              <w:bidi w:val="0"/>
              <w:spacing w:lineRule="auto" w:line="307" w:before="0" w:after="1"/>
              <w:ind w:left="0" w:right="0" w:hanging="0"/>
              <w:jc w:val="right"/>
              <w:rPr/>
            </w:pPr>
            <w:r>
              <w:rPr/>
              <w:t>  ​</w:t>
            </w:r>
          </w:p>
        </w:tc>
      </w:tr>
      <w:tr>
        <w:trPr/>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(430,031)</w:t>
            </w:r>
          </w:p>
        </w:tc>
        <w:tc>
          <w:tcPr>
            <w:tcW w:w="109"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(867,061)</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96.9</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(564,741)</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97.9</w:t>
            </w:r>
          </w:p>
        </w:tc>
      </w:tr>
      <w:tr>
        <w:trPr/>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(43,857)</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(27,662)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(12,086)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(473,888)</w:t>
            </w:r>
          </w:p>
        </w:tc>
        <w:tc>
          <w:tcPr>
            <w:tcW w:w="109" w:type="dxa"/>
            <w:tcBorders/>
            <w:vAlign w:val="center"/>
          </w:tcPr>
          <w:p>
            <w:pPr>
              <w:pStyle w:val="TableContents"/>
              <w:bidi w:val="0"/>
              <w:spacing w:lineRule="auto" w:line="307" w:before="0" w:after="16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(894,723)</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(576,827)</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lineRule="auto" w:line="307" w:before="0" w:after="160"/>
        <w:ind w:left="0" w:right="0" w:hanging="0"/>
        <w:jc w:val="both"/>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gross profit for the years indicated.</w:t>
      </w:r>
    </w:p>
    <w:tbl>
      <w:tblPr>
        <w:tblW w:w="4732" w:type="dxa"/>
        <w:jc w:val="left"/>
        <w:tblInd w:w="0" w:type="dxa"/>
        <w:tblLayout w:type="fixed"/>
        <w:tblCellMar>
          <w:top w:w="0" w:type="dxa"/>
          <w:left w:w="0" w:type="dxa"/>
          <w:bottom w:w="0" w:type="dxa"/>
          <w:right w:w="0" w:type="dxa"/>
        </w:tblCellMar>
      </w:tblPr>
      <w:tblGrid>
        <w:gridCol w:w="1516"/>
        <w:gridCol w:w="346"/>
        <w:gridCol w:w="676"/>
        <w:gridCol w:w="346"/>
        <w:gridCol w:w="676"/>
        <w:gridCol w:w="346"/>
        <w:gridCol w:w="82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62660" cy="175260"/>
                      <wp:effectExtent l="0" t="0" r="0" b="0"/>
                      <wp:wrapNone/>
                      <wp:docPr id="78" name="Frame7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79"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29260" cy="175260"/>
                      <wp:effectExtent l="0" t="0" r="0" b="0"/>
                      <wp:wrapNone/>
                      <wp:docPr id="80" name="Frame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1"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29260" cy="175260"/>
                      <wp:effectExtent l="0" t="0" r="0" b="0"/>
                      <wp:wrapNone/>
                      <wp:docPr id="82" name="Frame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3"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24510" cy="175260"/>
                      <wp:effectExtent l="0" t="0" r="0" b="0"/>
                      <wp:wrapNone/>
                      <wp:docPr id="84" name="Frame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870"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87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73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870"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5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45,210</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29,626</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102,181</w:t>
            </w:r>
          </w:p>
        </w:tc>
      </w:tr>
      <w:tr>
        <w:trPr/>
        <w:tc>
          <w:tcPr>
            <w:tcW w:w="15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margin (%)</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15.0</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operating expenses consist of (i) research and development expenses, (ii) selling and marketing expenses, (iii) general and administrative expenses, (iv) other operating income, and (v) impairment of long-lived assets.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breakdown of our operating expenses both in absolute amount and as a percentage of total operating expenses for the years indicated.</w:t>
      </w:r>
    </w:p>
    <w:tbl>
      <w:tblPr>
        <w:tblW w:w="9451" w:type="dxa"/>
        <w:jc w:val="left"/>
        <w:tblInd w:w="0" w:type="dxa"/>
        <w:tblLayout w:type="fixed"/>
        <w:tblCellMar>
          <w:top w:w="0" w:type="dxa"/>
          <w:left w:w="0" w:type="dxa"/>
          <w:bottom w:w="0" w:type="dxa"/>
          <w:right w:w="0" w:type="dxa"/>
        </w:tblCellMar>
      </w:tblPr>
      <w:tblGrid>
        <w:gridCol w:w="3091"/>
        <w:gridCol w:w="109"/>
        <w:gridCol w:w="901"/>
        <w:gridCol w:w="346"/>
        <w:gridCol w:w="571"/>
        <w:gridCol w:w="346"/>
        <w:gridCol w:w="901"/>
        <w:gridCol w:w="346"/>
        <w:gridCol w:w="571"/>
        <w:gridCol w:w="346"/>
        <w:gridCol w:w="901"/>
        <w:gridCol w:w="346"/>
        <w:gridCol w:w="67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62785" cy="175260"/>
                      <wp:effectExtent l="0" t="0" r="0" b="0"/>
                      <wp:wrapNone/>
                      <wp:docPr id="85" name="Frame8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86"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72135" cy="175260"/>
                      <wp:effectExtent l="0" t="0" r="0" b="0"/>
                      <wp:wrapNone/>
                      <wp:docPr id="87" name="Frame8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88"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89" name="Frame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0"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72135" cy="175260"/>
                      <wp:effectExtent l="0" t="0" r="0" b="0"/>
                      <wp:wrapNone/>
                      <wp:docPr id="91" name="Frame8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2"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62585" cy="175260"/>
                      <wp:effectExtent l="0" t="0" r="0" b="0"/>
                      <wp:wrapNone/>
                      <wp:docPr id="93" name="Frame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4"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72135" cy="175260"/>
                      <wp:effectExtent l="0" t="0" r="0" b="0"/>
                      <wp:wrapNone/>
                      <wp:docPr id="95" name="Frame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96"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97" name="Frame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6251" w:type="dxa"/>
            <w:gridSpan w:val="11"/>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181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81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192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45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6251" w:type="dxa"/>
            <w:gridSpan w:val="11"/>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57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57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76" w:type="dxa"/>
            <w:tcBorders/>
            <w:shd w:fill="CCEEFF" w:val="clear"/>
            <w:vAlign w:val="center"/>
          </w:tcPr>
          <w:p>
            <w:pPr>
              <w:pStyle w:val="TableContents"/>
              <w:bidi w:val="0"/>
              <w:spacing w:lineRule="auto" w:line="307" w:before="0" w:after="1"/>
              <w:ind w:left="0" w:right="0" w:hanging="0"/>
              <w:jc w:val="right"/>
              <w:rPr/>
            </w:pPr>
            <w:r>
              <w:rPr/>
              <w:t>  ​</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109"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(170,960)</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(274,801)</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(368,729)</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(148,261)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(322,310)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(328,935)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(135,850)</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(227,475)</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(144,533)</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38,463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8,638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4,077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109"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(51,800)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(468,408)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(815,948)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(838,120)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research and development expenses primarily consist of labor costs, license fees, outsourced development expenses, materials, rental expenses, depreciation, and other expenses. We expect to continue to strategically incur our research and development expenses as we continue to improve our technologies and functionality of our models.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selling and marketing expenses primarily consist of advertising costs and market promotion expenses, labor costs, rental expenses, and depreciation expenses. We expect to continue to strategically incur selling and marketing expenses in strengthening our brand image and expanding sales channels and expanding stores globally.</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primarily consist of labor costs, day-to-day administrative expenses, depreciation and amortization expenses, professional service fees, and other general corporate expenses. Our general and administrative expenses are expected to grow slowly as in the foreseeable future as our operational efficiency continues to improve.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Other operating income primarily consist of operating income as we licensed certain internally developed intellectual property to acquire investment, and government subsidies received with no future related costs required.</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Taxation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Cayman Islands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According to Maples and Calder (Hong Kong) LLP, our Cayman Islands counsel, the Cayman Islands currently levies no taxes on corporations based upon profits, income, capital gains or appreciation.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payments of dividends.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Hong Kong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current Hong Kong Inland Revenue Ordinance, our Hong Kong subsidiary is subject to Hong Kong profits tax at the rate of 16.5% on its taxable income generated from operations in Hong Kong. A two-tiered profits tax rates regime was introduced in 2018 where the first HK$2 million of assessable profits earned by a company will be taxed at half of the current tax rate (8.25%) while the remaining profits will continue to be taxed at 16.5%. There is an anti-fragmentation measure where each group may only elect one company in the group to benefit from the progressive rates. No provision for Hong Kong profits tax has been made in the financial statements as the subsidiary in Hong Kong has no assessable profits for the years ended December 31, 2025, 2024 and 2023.</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Inland Revenue (Amendment) (Taxation on Specified Foreign-sourced Income) Bill 2022 was enacted in Hong Kong on December 14, 2022 and became effective on January 1, 2023, with further amendments effective on January 1, 2024 expanding the scope of regulated offshore passive income. This amendment addresses the EU’s inclusion of Hong Kong in Annex II of the EU list of non-cooperative jurisdictions for tax purposes in respect of the risk of double non-taxation arising from the tax exemption of offshore passive income for companies in Hong Kong without substantial economic substance. From January 1, 2023, offshore passive income (including interest income, dividend income, and gains from disposal of any asset as defined in Section 88 of the Inland Revenue Ordinance), that is received or deemed to be received in Hong Kong, needs to meet additional requirements, including, among others, economic substance requirements in order to continue to be entitled to the offshore income tax exemption in Hong Kong. We have evaluated the impact of this rule on our financial statements, and there is no material impact for the reporting periods presented.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Mainland China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effective from January 1, 2008 (with its latest amendment taking effect on December 29, 2018), our subsidiaries and the former VIE and its subsidiaries in mainland China are subject to the statutory rate of 25%, unless otherwise specified.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currently subject to Value Added Tax, or VAT, mainly at rates of 13% and 6%, respectively, on the products and services we provide, less any creditable input VAT. We are also subject to surcharges on VAT payments in accordance with PRC tax regulations.</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Dividends paid by our wholly foreign-owned subsidiary in China to our intermediary holding company in Hong Kong will be subject to a withholding tax rate of 10%, unless the Hong Kong entity satisfies all the requirements under the Arrangement between Mainland China and Hong Kong for the Avoidance of Double Taxation and the Prevention of Fiscal Evasion with respect to Taxes on Income and receives approval from the tax authority. If our Hong Kong subsidiary satisfies all the requirements under the tax arrangement, then the dividends paid to the Hong Kong subsidiary are subject to withholding tax at a preferential rate of 5%.</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our company in the Cayman Islands or any of our subsidiaries outside of China were deemed a “resident enterprise” under the PRC Enterprise Income Tax Law, it would be subject to enterprise income tax on its worldwide income at a rate of 25%. See “Item 3. Key Information—D. Risk Factors—Risks Relating to Doing Business in China—If we are classified as a PRC resident enterprise for PRC income tax purposes, such classification could result in unfavorable tax consequences to us and our non-PRC shareholders.”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the Implementation Rules of the PRC Enterprise Income Tax Law, research and development expenses that can enjoy super deduction refer to the expenditure incurred for developing new technologies, new products, and new processes. In case the intangible assets have not formed, and corresponding expenses are recognized in the profit and loss account for the current period, the company can enjoy an additional deduction of 100% on the basis of actual expense deducted for enterprise income tax purposes when calculating the taxable income of the year. In case the intangible assets have been recognized, the company can amortize based on 200% of the cost of intangible assets. According to the Announcement on Further Improving the Policy on Extra Pre-tax Deduction of R&amp;D Expenses published by the Ministry of Finance and the State Administration of Taxation in 2023, starting from January 1, 2023, the aforementioned percentages have been raised to 100% and 200%, respectively.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Other countries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 the U.K. and Netherlands are subject to value added tax (VAT). Revenues from sales of products and provision of services are generally subject to VAT at the rate of 20% for our U.K. subsidiaries and 21% for our Netherlands subsidiaries, and payable after netting input VAT on purchases.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 the U.K. and Netherlands are also subject to income tax. The maximum applicable income tax rate in the U.K. is 25% for 2025, 25% for 2024, 19% for the period from January to March 2023, 25% for the period from April to December 2023. The maximum applicable corporate income tax rate in the Netherlands is 25.8% for the years ended December 31, 2025, 2024 and 2023.</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our results of operations with line items in absolute amount for the years indicated.</w:t>
      </w:r>
    </w:p>
    <w:tbl>
      <w:tblPr>
        <w:tblW w:w="10205" w:type="dxa"/>
        <w:jc w:val="left"/>
        <w:tblInd w:w="0" w:type="dxa"/>
        <w:tblLayout w:type="fixed"/>
        <w:tblCellMar>
          <w:top w:w="0" w:type="dxa"/>
          <w:left w:w="0" w:type="dxa"/>
          <w:bottom w:w="0" w:type="dxa"/>
          <w:right w:w="0" w:type="dxa"/>
        </w:tblCellMar>
      </w:tblPr>
      <w:tblGrid>
        <w:gridCol w:w="6877"/>
        <w:gridCol w:w="146"/>
        <w:gridCol w:w="898"/>
        <w:gridCol w:w="146"/>
        <w:gridCol w:w="1048"/>
        <w:gridCol w:w="146"/>
        <w:gridCol w:w="944"/>
      </w:tblGrid>
      <w:tr>
        <w:trPr/>
        <w:tc>
          <w:tcPr>
            <w:tcW w:w="6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366895" cy="175260"/>
                      <wp:effectExtent l="0" t="0" r="0" b="0"/>
                      <wp:wrapNone/>
                      <wp:docPr id="98" name="Frame93"/>
                      <a:graphic xmlns:a="http://schemas.openxmlformats.org/drawingml/2006/main">
                        <a:graphicData uri="http://schemas.microsoft.com/office/word/2010/wordprocessingShape">
                          <wps:wsp>
                            <wps:cNvSpPr txBox="1"/>
                            <wps:spPr>
                              <a:xfrm>
                                <a:off x="0" y="0"/>
                                <a:ext cx="43668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92710" cy="175260"/>
                      <wp:effectExtent l="0" t="0" r="0" b="0"/>
                      <wp:wrapNone/>
                      <wp:docPr id="99"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70230" cy="175260"/>
                      <wp:effectExtent l="0" t="0" r="0" b="0"/>
                      <wp:wrapNone/>
                      <wp:docPr id="100" name="Frame9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2710" cy="175260"/>
                      <wp:effectExtent l="0" t="0" r="0" b="0"/>
                      <wp:wrapNone/>
                      <wp:docPr id="101" name="Frame9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65480" cy="175260"/>
                      <wp:effectExtent l="0" t="0" r="0" b="0"/>
                      <wp:wrapNone/>
                      <wp:docPr id="102" name="Frame97"/>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92710" cy="175260"/>
                      <wp:effectExtent l="0" t="0" r="0" b="0"/>
                      <wp:wrapNone/>
                      <wp:docPr id="103" name="Frame9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99440" cy="175260"/>
                      <wp:effectExtent l="0" t="0" r="0" b="0"/>
                      <wp:wrapNone/>
                      <wp:docPr id="104" name="Frame99"/>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877" w:type="dxa"/>
            <w:tcBorders/>
            <w:vAlign w:val="center"/>
          </w:tcPr>
          <w:p>
            <w:pPr>
              <w:pStyle w:val="TableContents"/>
              <w:bidi w:val="0"/>
              <w:spacing w:lineRule="auto" w:line="307" w:before="0" w:after="160"/>
              <w:ind w:left="0" w:right="0" w:hanging="0"/>
              <w:jc w:val="left"/>
              <w:rPr/>
            </w:pPr>
            <w:r>
              <w:rPr/>
              <w:t>​</w:t>
            </w:r>
          </w:p>
        </w:tc>
        <w:tc>
          <w:tcPr>
            <w:tcW w:w="146" w:type="dxa"/>
            <w:tcBorders/>
            <w:vAlign w:val="center"/>
          </w:tcPr>
          <w:p>
            <w:pPr>
              <w:pStyle w:val="TableContents"/>
              <w:bidi w:val="0"/>
              <w:spacing w:lineRule="auto" w:line="307" w:before="0" w:after="160"/>
              <w:ind w:left="0" w:right="0" w:hanging="0"/>
              <w:jc w:val="center"/>
              <w:rPr/>
            </w:pPr>
            <w:r>
              <w:rPr/>
              <w:t>​</w:t>
            </w:r>
          </w:p>
        </w:tc>
        <w:tc>
          <w:tcPr>
            <w:tcW w:w="3182"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877" w:type="dxa"/>
            <w:tcBorders/>
            <w:vAlign w:val="center"/>
          </w:tcPr>
          <w:p>
            <w:pPr>
              <w:pStyle w:val="TableContents"/>
              <w:bidi w:val="0"/>
              <w:spacing w:lineRule="auto" w:line="307" w:before="0" w:after="160"/>
              <w:ind w:left="0" w:right="0" w:hanging="0"/>
              <w:jc w:val="left"/>
              <w:rPr/>
            </w:pPr>
            <w:r>
              <w:rPr/>
              <w:t>​</w:t>
            </w:r>
          </w:p>
        </w:tc>
        <w:tc>
          <w:tcPr>
            <w:tcW w:w="146" w:type="dxa"/>
            <w:tcBorders/>
            <w:vAlign w:val="center"/>
          </w:tcPr>
          <w:p>
            <w:pPr>
              <w:pStyle w:val="TableContents"/>
              <w:bidi w:val="0"/>
              <w:spacing w:lineRule="auto" w:line="307" w:before="0" w:after="160"/>
              <w:ind w:left="0" w:right="0" w:hanging="0"/>
              <w:jc w:val="center"/>
              <w:rPr/>
            </w:pPr>
            <w:r>
              <w:rPr/>
              <w:t>​</w:t>
            </w:r>
          </w:p>
        </w:tc>
        <w:tc>
          <w:tcPr>
            <w:tcW w:w="898"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lineRule="auto" w:line="307" w:before="0" w:after="160"/>
              <w:ind w:left="0" w:right="0" w:hanging="0"/>
              <w:jc w:val="center"/>
              <w:rPr/>
            </w:pPr>
            <w:r>
              <w:rPr/>
              <w:t>​</w:t>
            </w:r>
          </w:p>
        </w:tc>
        <w:tc>
          <w:tcPr>
            <w:tcW w:w="1048"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lineRule="auto" w:line="307" w:before="0" w:after="160"/>
              <w:ind w:left="0" w:right="0" w:hanging="0"/>
              <w:jc w:val="center"/>
              <w:rPr/>
            </w:pPr>
            <w:r>
              <w:rPr/>
              <w:t>​</w:t>
            </w:r>
          </w:p>
        </w:tc>
        <w:tc>
          <w:tcPr>
            <w:tcW w:w="944"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877" w:type="dxa"/>
            <w:tcBorders/>
            <w:vAlign w:val="center"/>
          </w:tcPr>
          <w:p>
            <w:pPr>
              <w:pStyle w:val="TableContents"/>
              <w:bidi w:val="0"/>
              <w:spacing w:lineRule="auto" w:line="307" w:before="0" w:after="160"/>
              <w:ind w:left="0" w:right="0" w:hanging="0"/>
              <w:jc w:val="left"/>
              <w:rPr/>
            </w:pPr>
            <w:r>
              <w:rPr/>
              <w:t>​</w:t>
            </w:r>
          </w:p>
        </w:tc>
        <w:tc>
          <w:tcPr>
            <w:tcW w:w="146" w:type="dxa"/>
            <w:tcBorders/>
            <w:vAlign w:val="center"/>
          </w:tcPr>
          <w:p>
            <w:pPr>
              <w:pStyle w:val="TableContents"/>
              <w:bidi w:val="0"/>
              <w:spacing w:lineRule="auto" w:line="307" w:before="0" w:after="160"/>
              <w:ind w:left="0" w:right="0" w:hanging="0"/>
              <w:jc w:val="center"/>
              <w:rPr/>
            </w:pPr>
            <w:r>
              <w:rPr/>
              <w:t>​</w:t>
            </w:r>
          </w:p>
        </w:tc>
        <w:tc>
          <w:tcPr>
            <w:tcW w:w="898"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46" w:type="dxa"/>
            <w:tcBorders/>
            <w:vAlign w:val="center"/>
          </w:tcPr>
          <w:p>
            <w:pPr>
              <w:pStyle w:val="TableContents"/>
              <w:bidi w:val="0"/>
              <w:spacing w:lineRule="auto" w:line="307" w:before="0" w:after="160"/>
              <w:ind w:left="0" w:right="0" w:hanging="0"/>
              <w:jc w:val="center"/>
              <w:rPr/>
            </w:pPr>
            <w:r>
              <w:rPr/>
              <w:t>​</w:t>
            </w:r>
          </w:p>
        </w:tc>
        <w:tc>
          <w:tcPr>
            <w:tcW w:w="1048"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46" w:type="dxa"/>
            <w:tcBorders/>
            <w:vAlign w:val="center"/>
          </w:tcPr>
          <w:p>
            <w:pPr>
              <w:pStyle w:val="TableContents"/>
              <w:bidi w:val="0"/>
              <w:spacing w:lineRule="auto" w:line="307" w:before="0" w:after="160"/>
              <w:ind w:left="0" w:right="0" w:hanging="0"/>
              <w:jc w:val="center"/>
              <w:rPr/>
            </w:pPr>
            <w:r>
              <w:rPr/>
              <w:t>​</w:t>
            </w:r>
          </w:p>
        </w:tc>
        <w:tc>
          <w:tcPr>
            <w:tcW w:w="944"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877" w:type="dxa"/>
            <w:tcBorders/>
            <w:vAlign w:val="center"/>
          </w:tcPr>
          <w:p>
            <w:pPr>
              <w:pStyle w:val="TableContents"/>
              <w:bidi w:val="0"/>
              <w:spacing w:lineRule="auto" w:line="307" w:before="0" w:after="160"/>
              <w:ind w:left="0" w:right="0" w:hanging="0"/>
              <w:jc w:val="left"/>
              <w:rPr/>
            </w:pPr>
            <w:r>
              <w:rPr/>
              <w:t>​</w:t>
            </w:r>
          </w:p>
        </w:tc>
        <w:tc>
          <w:tcPr>
            <w:tcW w:w="146" w:type="dxa"/>
            <w:tcBorders/>
            <w:vAlign w:val="center"/>
          </w:tcPr>
          <w:p>
            <w:pPr>
              <w:pStyle w:val="TableContents"/>
              <w:bidi w:val="0"/>
              <w:spacing w:lineRule="auto" w:line="307" w:before="0" w:after="160"/>
              <w:ind w:left="0" w:right="0" w:hanging="0"/>
              <w:jc w:val="center"/>
              <w:rPr/>
            </w:pPr>
            <w:r>
              <w:rPr/>
              <w:t>​</w:t>
            </w:r>
          </w:p>
        </w:tc>
        <w:tc>
          <w:tcPr>
            <w:tcW w:w="3182"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Sales of goods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462,802</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891,061</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660,158</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Service revenues</w:t>
            </w:r>
          </w:p>
        </w:tc>
        <w:tc>
          <w:tcPr>
            <w:tcW w:w="146" w:type="dxa"/>
            <w:tcBorders/>
            <w:vAlign w:val="center"/>
          </w:tcPr>
          <w:p>
            <w:pPr>
              <w:pStyle w:val="TableContents"/>
              <w:bidi w:val="0"/>
              <w:spacing w:lineRule="auto" w:line="307" w:before="0" w:after="1"/>
              <w:ind w:left="0" w:right="0" w:hanging="0"/>
              <w:jc w:val="left"/>
              <w:rPr/>
            </w:pPr>
            <w:r>
              <w:rPr/>
              <w:t> </w:t>
            </w:r>
          </w:p>
        </w:tc>
        <w:tc>
          <w:tcPr>
            <w:tcW w:w="89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56,296</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33,288</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18,850</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519,098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924,349</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679,008</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146" w:type="dxa"/>
            <w:tcBorders/>
            <w:vAlign w:val="center"/>
          </w:tcPr>
          <w:p>
            <w:pPr>
              <w:pStyle w:val="TableContents"/>
              <w:bidi w:val="0"/>
              <w:spacing w:lineRule="auto" w:line="307" w:before="0" w:after="1"/>
              <w:ind w:left="0" w:right="0" w:hanging="0"/>
              <w:jc w:val="left"/>
              <w:rPr/>
            </w:pPr>
            <w:r>
              <w:rPr/>
              <w:t> </w:t>
            </w:r>
          </w:p>
        </w:tc>
        <w:tc>
          <w:tcPr>
            <w:tcW w:w="898"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vAlign w:val="center"/>
          </w:tcPr>
          <w:p>
            <w:pPr>
              <w:pStyle w:val="TableContents"/>
              <w:bidi w:val="0"/>
              <w:spacing w:lineRule="auto" w:line="307" w:before="0" w:after="160"/>
              <w:ind w:left="0" w:right="0" w:hanging="0"/>
              <w:jc w:val="right"/>
              <w:rPr/>
            </w:pPr>
            <w:r>
              <w:rPr/>
              <w:t>​</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(430,031)</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(867,061)</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(564,741)</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146" w:type="dxa"/>
            <w:tcBorders/>
            <w:vAlign w:val="center"/>
          </w:tcPr>
          <w:p>
            <w:pPr>
              <w:pStyle w:val="TableContents"/>
              <w:bidi w:val="0"/>
              <w:spacing w:lineRule="auto" w:line="307" w:before="0" w:after="1"/>
              <w:ind w:left="0" w:right="0" w:hanging="0"/>
              <w:jc w:val="left"/>
              <w:rPr/>
            </w:pPr>
            <w:r>
              <w:rPr/>
              <w:t> </w:t>
            </w:r>
          </w:p>
        </w:tc>
        <w:tc>
          <w:tcPr>
            <w:tcW w:w="89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(43,857)</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(27,662)</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(12,086)</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cost of revenues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(473,888)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(894,723)</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(576,827)</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146" w:type="dxa"/>
            <w:tcBorders/>
            <w:vAlign w:val="center"/>
          </w:tcPr>
          <w:p>
            <w:pPr>
              <w:pStyle w:val="TableContents"/>
              <w:bidi w:val="0"/>
              <w:spacing w:lineRule="auto" w:line="307" w:before="0" w:after="1"/>
              <w:ind w:left="0" w:right="0" w:hanging="0"/>
              <w:jc w:val="left"/>
              <w:rPr/>
            </w:pPr>
            <w:r>
              <w:rPr/>
              <w:t> </w:t>
            </w:r>
          </w:p>
        </w:tc>
        <w:tc>
          <w:tcPr>
            <w:tcW w:w="898"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45,210</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29,626</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102,181</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60"/>
              <w:ind w:left="0" w:right="0" w:hanging="0"/>
              <w:jc w:val="right"/>
              <w:rPr/>
            </w:pPr>
            <w:r>
              <w:rPr/>
              <w: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60"/>
              <w:ind w:left="0" w:right="0" w:hanging="0"/>
              <w:jc w:val="right"/>
              <w:rPr/>
            </w:pPr>
            <w:r>
              <w:rPr/>
              <w:t>​</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146" w:type="dxa"/>
            <w:tcBorders/>
            <w:vAlign w:val="center"/>
          </w:tcPr>
          <w:p>
            <w:pPr>
              <w:pStyle w:val="TableContents"/>
              <w:bidi w:val="0"/>
              <w:spacing w:lineRule="auto" w:line="307" w:before="0" w:after="1"/>
              <w:ind w:left="0" w:right="0" w:hanging="0"/>
              <w:jc w:val="left"/>
              <w:rPr/>
            </w:pPr>
            <w:r>
              <w:rPr/>
              <w:t> </w:t>
            </w:r>
          </w:p>
        </w:tc>
        <w:tc>
          <w:tcPr>
            <w:tcW w:w="89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(170,960)</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(274,801)</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(368,729)</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(148,261)</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(322,310)</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(328,935)</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46" w:type="dxa"/>
            <w:tcBorders/>
            <w:vAlign w:val="center"/>
          </w:tcPr>
          <w:p>
            <w:pPr>
              <w:pStyle w:val="TableContents"/>
              <w:bidi w:val="0"/>
              <w:spacing w:lineRule="auto" w:line="307" w:before="0" w:after="1"/>
              <w:ind w:left="0" w:right="0" w:hanging="0"/>
              <w:jc w:val="left"/>
              <w:rPr/>
            </w:pPr>
            <w:r>
              <w:rPr/>
              <w:t> </w:t>
            </w:r>
          </w:p>
        </w:tc>
        <w:tc>
          <w:tcPr>
            <w:tcW w:w="89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(135,850)</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(227,475)</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(144,533)</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38,463</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8,638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4,077</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146" w:type="dxa"/>
            <w:tcBorders/>
            <w:vAlign w:val="center"/>
          </w:tcPr>
          <w:p>
            <w:pPr>
              <w:pStyle w:val="TableContents"/>
              <w:bidi w:val="0"/>
              <w:spacing w:lineRule="auto" w:line="307" w:before="0" w:after="160"/>
              <w:ind w:left="0" w:right="0" w:hanging="0"/>
              <w:jc w:val="left"/>
              <w:rPr/>
            </w:pPr>
            <w:r>
              <w:rPr/>
              <w:t>​</w:t>
            </w:r>
          </w:p>
        </w:tc>
        <w:tc>
          <w:tcPr>
            <w:tcW w:w="89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(51,800)</w:t>
            </w:r>
          </w:p>
        </w:tc>
        <w:tc>
          <w:tcPr>
            <w:tcW w:w="146" w:type="dxa"/>
            <w:tcBorders/>
            <w:vAlign w:val="center"/>
          </w:tcPr>
          <w:p>
            <w:pPr>
              <w:pStyle w:val="TableContents"/>
              <w:bidi w:val="0"/>
              <w:spacing w:lineRule="auto" w:line="307" w:before="0" w:after="160"/>
              <w:ind w:left="0" w:right="0" w:hanging="0"/>
              <w:jc w:val="left"/>
              <w:rPr/>
            </w:pPr>
            <w:r>
              <w:rPr/>
              <w:t>​</w:t>
            </w:r>
          </w:p>
        </w:tc>
        <w:tc>
          <w:tcPr>
            <w:tcW w:w="1048" w:type="dxa"/>
            <w:tcBorders/>
            <w:vAlign w:val="center"/>
          </w:tcPr>
          <w:p>
            <w:pPr>
              <w:pStyle w:val="TableContents"/>
              <w:bidi w:val="0"/>
              <w:spacing w:lineRule="auto" w:line="307" w:before="0" w:after="1"/>
              <w:ind w:left="0" w:right="0" w:hanging="0"/>
              <w:jc w:val="right"/>
              <w:rPr/>
            </w:pPr>
            <w:r>
              <w:rPr/>
              <w:t>—</w:t>
            </w:r>
          </w:p>
        </w:tc>
        <w:tc>
          <w:tcPr>
            <w:tcW w:w="146" w:type="dxa"/>
            <w:tcBorders/>
            <w:vAlign w:val="center"/>
          </w:tcPr>
          <w:p>
            <w:pPr>
              <w:pStyle w:val="TableContents"/>
              <w:bidi w:val="0"/>
              <w:spacing w:lineRule="auto" w:line="307" w:before="0" w:after="160"/>
              <w:ind w:left="0" w:right="0" w:hanging="0"/>
              <w:jc w:val="left"/>
              <w:rPr/>
            </w:pPr>
            <w:r>
              <w:rPr/>
              <w:t>​</w:t>
            </w:r>
          </w:p>
        </w:tc>
        <w:tc>
          <w:tcPr>
            <w:tcW w:w="944" w:type="dxa"/>
            <w:tcBorders/>
            <w:vAlign w:val="center"/>
          </w:tcPr>
          <w:p>
            <w:pPr>
              <w:pStyle w:val="TableContents"/>
              <w:bidi w:val="0"/>
              <w:spacing w:lineRule="auto" w:line="307" w:before="0" w:after="1"/>
              <w:ind w:left="0" w:right="0" w:hanging="0"/>
              <w:jc w:val="right"/>
              <w:rPr/>
            </w:pPr>
            <w:r>
              <w:rPr/>
              <w:t>—</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(468,408)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(815,948)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(838,120)</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146" w:type="dxa"/>
            <w:tcBorders/>
            <w:vAlign w:val="center"/>
          </w:tcPr>
          <w:p>
            <w:pPr>
              <w:pStyle w:val="TableContents"/>
              <w:bidi w:val="0"/>
              <w:spacing w:lineRule="auto" w:line="307"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(423,198)</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(786,322)</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(735,939)</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(63,338)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(58,218)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(10,200)</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46" w:type="dxa"/>
            <w:tcBorders/>
            <w:vAlign w:val="center"/>
          </w:tcPr>
          <w:p>
            <w:pPr>
              <w:pStyle w:val="TableContents"/>
              <w:bidi w:val="0"/>
              <w:spacing w:lineRule="auto" w:line="307" w:before="0" w:after="1"/>
              <w:ind w:left="0" w:right="0" w:hanging="0"/>
              <w:jc w:val="left"/>
              <w:rPr/>
            </w:pPr>
            <w:r>
              <w:rPr/>
              <w:t> </w:t>
            </w:r>
          </w:p>
        </w:tc>
        <w:tc>
          <w:tcPr>
            <w:tcW w:w="89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28,143</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22,289</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9,204</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Investment income (loss), net</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10,740</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14,232</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(1,162)</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exchange gains (losses), net</w:t>
            </w:r>
          </w:p>
        </w:tc>
        <w:tc>
          <w:tcPr>
            <w:tcW w:w="146" w:type="dxa"/>
            <w:tcBorders/>
            <w:vAlign w:val="center"/>
          </w:tcPr>
          <w:p>
            <w:pPr>
              <w:pStyle w:val="TableContents"/>
              <w:bidi w:val="0"/>
              <w:spacing w:lineRule="auto" w:line="307" w:before="0" w:after="1"/>
              <w:ind w:left="0" w:right="0" w:hanging="0"/>
              <w:jc w:val="left"/>
              <w:rPr/>
            </w:pPr>
            <w:r>
              <w:rPr/>
              <w:t> </w:t>
            </w:r>
          </w:p>
        </w:tc>
        <w:tc>
          <w:tcPr>
            <w:tcW w:w="89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25,709</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(11,664)</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liabilities, excluding impact of instrument-specific credit risk</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(28,319)</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(285,423)</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(10,039)</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taxes and share of results of equity method investments</w:t>
            </w:r>
          </w:p>
        </w:tc>
        <w:tc>
          <w:tcPr>
            <w:tcW w:w="146" w:type="dxa"/>
            <w:tcBorders/>
            <w:vAlign w:val="center"/>
          </w:tcPr>
          <w:p>
            <w:pPr>
              <w:pStyle w:val="TableContents"/>
              <w:bidi w:val="0"/>
              <w:spacing w:lineRule="auto" w:line="307" w:before="0" w:after="16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(450,263)</w:t>
            </w:r>
          </w:p>
        </w:tc>
        <w:tc>
          <w:tcPr>
            <w:tcW w:w="146" w:type="dxa"/>
            <w:tcBorders/>
            <w:vAlign w:val="center"/>
          </w:tcPr>
          <w:p>
            <w:pPr>
              <w:pStyle w:val="TableContents"/>
              <w:bidi w:val="0"/>
              <w:spacing w:lineRule="auto" w:line="307" w:before="0" w:after="1"/>
              <w:ind w:left="0" w:right="0" w:hanging="0"/>
              <w:jc w:val="left"/>
              <w:rPr/>
            </w:pPr>
            <w:r>
              <w:rPr/>
              <w:t> </w:t>
            </w:r>
          </w:p>
        </w:tc>
        <w:tc>
          <w:tcPr>
            <w:tcW w:w="104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(1,105,106)</w:t>
            </w:r>
          </w:p>
        </w:tc>
        <w:tc>
          <w:tcPr>
            <w:tcW w:w="146" w:type="dxa"/>
            <w:tcBorders/>
            <w:vAlign w:val="center"/>
          </w:tcPr>
          <w:p>
            <w:pPr>
              <w:pStyle w:val="TableContents"/>
              <w:bidi w:val="0"/>
              <w:spacing w:lineRule="auto" w:line="307" w:before="0" w:after="1"/>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(748,094)</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(15,946)</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687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 of results of equity method investments</w:t>
            </w:r>
          </w:p>
        </w:tc>
        <w:tc>
          <w:tcPr>
            <w:tcW w:w="146" w:type="dxa"/>
            <w:tcBorders/>
            <w:vAlign w:val="center"/>
          </w:tcPr>
          <w:p>
            <w:pPr>
              <w:pStyle w:val="TableContents"/>
              <w:bidi w:val="0"/>
              <w:spacing w:lineRule="auto" w:line="307" w:before="0" w:after="16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1,987</w:t>
            </w:r>
          </w:p>
        </w:tc>
        <w:tc>
          <w:tcPr>
            <w:tcW w:w="146" w:type="dxa"/>
            <w:tcBorders/>
            <w:vAlign w:val="center"/>
          </w:tcPr>
          <w:p>
            <w:pPr>
              <w:pStyle w:val="TableContents"/>
              <w:bidi w:val="0"/>
              <w:spacing w:lineRule="auto" w:line="307" w:before="0" w:after="16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146" w:type="dxa"/>
            <w:tcBorders/>
            <w:vAlign w:val="center"/>
          </w:tcPr>
          <w:p>
            <w:pPr>
              <w:pStyle w:val="TableContents"/>
              <w:bidi w:val="0"/>
              <w:spacing w:lineRule="auto" w:line="307" w:before="0" w:after="16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687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(464,222)</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(1,107,289)</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944"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(750,255)</w:t>
            </w:r>
          </w:p>
        </w:tc>
      </w:tr>
    </w:tbl>
    <w:p>
      <w:pPr>
        <w:pStyle w:val="TextBody"/>
        <w:bidi w:val="0"/>
        <w:spacing w:lineRule="auto" w:line="307" w:before="0" w:after="160"/>
        <w:ind w:left="0" w:right="0" w:hanging="0"/>
        <w:jc w:val="both"/>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use adjusted net loss and adjusted EBITDA in evaluating our operating results and for financial and operational decision-making purposes. Adjusted net loss represents net loss excluding share-based compensation expenses, and such adjustment has no impact on income tax. We define adjusted EBITDA as net loss excluding interest income, interest expenses, income tax expenses, depreciation of property, equipment and software, and share-based compensation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present these non-GAAP financial measures because they are used by our management to evaluate our operating performance and formulate business plans. We believe that adjusted net loss and adjusted EBITDA help identify underlying trends in our business that could otherwise be distorted by the effect of certain expenses that are included in net loss. We also believe that the use of the non-GAAP measures facilitates investors’ assessment of our operating performance. We believe that adjusted net loss and adjusted EBITDA provide useful information about our operating results, enhance the overall understanding of our past performance and future prospects and allow for greater visibility with respect to key metrics used by our management in its financial and operational decision making.</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Adjusted net loss and adjusted EBITDA should not be considered in isolation or construed as alternatives to net loss or any other measures of performance or as indicators of our operating performance. Investors are encouraged to compare our historical adjusted net loss and adjusted EBITDA to the most directly comparable GAAP measure, net loss. Adjusted net loss and adjusted EBITDA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table below sets forth a reconciliation of our net loss to adjusted net loss and adjusted EBITDA for the years indicated:</w:t>
      </w:r>
    </w:p>
    <w:tbl>
      <w:tblPr>
        <w:tblW w:w="8932" w:type="dxa"/>
        <w:jc w:val="left"/>
        <w:tblInd w:w="0" w:type="dxa"/>
        <w:tblLayout w:type="fixed"/>
        <w:tblCellMar>
          <w:top w:w="0" w:type="dxa"/>
          <w:left w:w="0" w:type="dxa"/>
          <w:bottom w:w="0" w:type="dxa"/>
          <w:right w:w="0" w:type="dxa"/>
        </w:tblCellMar>
      </w:tblPr>
      <w:tblGrid>
        <w:gridCol w:w="4996"/>
        <w:gridCol w:w="346"/>
        <w:gridCol w:w="901"/>
        <w:gridCol w:w="346"/>
        <w:gridCol w:w="1051"/>
        <w:gridCol w:w="346"/>
        <w:gridCol w:w="946"/>
      </w:tblGrid>
      <w:tr>
        <w:trPr/>
        <w:tc>
          <w:tcPr>
            <w:tcW w:w="4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172460" cy="175260"/>
                      <wp:effectExtent l="0" t="0" r="0" b="0"/>
                      <wp:wrapNone/>
                      <wp:docPr id="105" name="Frame100"/>
                      <a:graphic xmlns:a="http://schemas.openxmlformats.org/drawingml/2006/main">
                        <a:graphicData uri="http://schemas.microsoft.com/office/word/2010/wordprocessingShape">
                          <wps:wsp>
                            <wps:cNvSpPr txBox="1"/>
                            <wps:spPr>
                              <a:xfrm>
                                <a:off x="0" y="0"/>
                                <a:ext cx="3172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6"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72135" cy="175260"/>
                      <wp:effectExtent l="0" t="0" r="0" b="0"/>
                      <wp:wrapNone/>
                      <wp:docPr id="107" name="Frame10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08"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67385" cy="175260"/>
                      <wp:effectExtent l="0" t="0" r="0" b="0"/>
                      <wp:wrapNone/>
                      <wp:docPr id="109" name="Frame10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0"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00710" cy="175260"/>
                      <wp:effectExtent l="0" t="0" r="0" b="0"/>
                      <wp:wrapNone/>
                      <wp:docPr id="111" name="Frame10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9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59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9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893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9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590"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9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(464,222)</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(1,107,289)</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(750,255)</w:t>
            </w:r>
          </w:p>
        </w:tc>
      </w:tr>
      <w:tr>
        <w:trPr/>
        <w:tc>
          <w:tcPr>
            <w:tcW w:w="49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expenses – net of tax effect of nil</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2,274</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31,930</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r>
      <w:tr>
        <w:trPr/>
        <w:tc>
          <w:tcPr>
            <w:tcW w:w="49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Adjusted net loss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(461,948)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(1,075,359)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(750,255)</w:t>
            </w:r>
          </w:p>
        </w:tc>
      </w:tr>
      <w:tr>
        <w:trPr/>
        <w:tc>
          <w:tcPr>
            <w:tcW w:w="499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(464,222)</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(1,107,289)</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(750,255)</w:t>
            </w:r>
          </w:p>
        </w:tc>
      </w:tr>
      <w:tr>
        <w:trPr/>
        <w:tc>
          <w:tcPr>
            <w:tcW w:w="49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63,338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58,218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10,200</w:t>
            </w:r>
          </w:p>
        </w:tc>
      </w:tr>
      <w:tr>
        <w:trPr/>
        <w:tc>
          <w:tcPr>
            <w:tcW w:w="49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(28,143)</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(22,289)</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(9,204)</w:t>
            </w:r>
          </w:p>
        </w:tc>
      </w:tr>
      <w:tr>
        <w:trPr/>
        <w:tc>
          <w:tcPr>
            <w:tcW w:w="49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15,946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49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2,274</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31,930</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r>
      <w:tr>
        <w:trPr/>
        <w:tc>
          <w:tcPr>
            <w:tcW w:w="49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54,740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76,488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54,957</w:t>
            </w:r>
          </w:p>
        </w:tc>
      </w:tr>
      <w:tr>
        <w:trPr/>
        <w:tc>
          <w:tcPr>
            <w:tcW w:w="499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(356,067)</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(960,930)</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(693,189)</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Year Ended December 31, 2025 Compared to Year Ended December 31, 2024</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tbl>
      <w:tblPr>
        <w:tblW w:w="6189" w:type="dxa"/>
        <w:jc w:val="left"/>
        <w:tblInd w:w="0" w:type="dxa"/>
        <w:tblLayout w:type="fixed"/>
        <w:tblCellMar>
          <w:top w:w="0" w:type="dxa"/>
          <w:left w:w="0" w:type="dxa"/>
          <w:bottom w:w="0" w:type="dxa"/>
          <w:right w:w="0" w:type="dxa"/>
        </w:tblCellMar>
      </w:tblPr>
      <w:tblGrid>
        <w:gridCol w:w="1711"/>
        <w:gridCol w:w="346"/>
        <w:gridCol w:w="781"/>
        <w:gridCol w:w="346"/>
        <w:gridCol w:w="781"/>
        <w:gridCol w:w="346"/>
        <w:gridCol w:w="901"/>
        <w:gridCol w:w="346"/>
        <w:gridCol w:w="63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086485" cy="175260"/>
                      <wp:effectExtent l="0" t="0" r="0" b="0"/>
                      <wp:wrapNone/>
                      <wp:docPr id="112" name="Frame107"/>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3"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14"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5"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95935" cy="175260"/>
                      <wp:effectExtent l="0" t="0" r="0" b="0"/>
                      <wp:wrapNone/>
                      <wp:docPr id="116"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17"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72135" cy="175260"/>
                      <wp:effectExtent l="0" t="0" r="0" b="0"/>
                      <wp:wrapNone/>
                      <wp:docPr id="118" name="Frame11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19"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00685" cy="175260"/>
                      <wp:effectExtent l="0" t="0" r="0" b="0"/>
                      <wp:wrapNone/>
                      <wp:docPr id="120" name="Frame11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08"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0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187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18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132"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7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Sales of goods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462,802</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891,061</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(428,259)</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(48.1)</w:t>
            </w:r>
          </w:p>
        </w:tc>
      </w:tr>
      <w:tr>
        <w:trPr/>
        <w:tc>
          <w:tcPr>
            <w:tcW w:w="17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EV lifestyle models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353,876</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634,333</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(280,457)</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17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Sports cars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76,035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215,089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(139,054)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17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32,891</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41,639</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(8,748)</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17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Service revenues</w:t>
            </w:r>
          </w:p>
        </w:tc>
        <w:tc>
          <w:tcPr>
            <w:tcW w:w="346" w:type="dxa"/>
            <w:tcBorders/>
            <w:shd w:fill="CCEEFF" w:val="clear"/>
            <w:vAlign w:val="center"/>
          </w:tcPr>
          <w:p>
            <w:pPr>
              <w:pStyle w:val="TableContents"/>
              <w:bidi w:val="0"/>
              <w:spacing w:lineRule="auto" w:line="307" w:before="0" w:after="1"/>
              <w:ind w:left="0" w:right="0" w:hanging="0"/>
              <w:jc w:val="left"/>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56,296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33,288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23,008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69.1</w:t>
            </w:r>
          </w:p>
        </w:tc>
      </w:tr>
      <w:tr>
        <w:trPr/>
        <w:tc>
          <w:tcPr>
            <w:tcW w:w="171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519,098</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924,349</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(405,251)</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(43.8)</w:t>
            </w:r>
          </w:p>
        </w:tc>
      </w:tr>
    </w:tbl>
    <w:p>
      <w:pPr>
        <w:pStyle w:val="TextBody"/>
        <w:bidi w:val="0"/>
        <w:spacing w:lineRule="auto" w:line="307" w:before="0" w:after="160"/>
        <w:ind w:left="0" w:right="0" w:hanging="0"/>
        <w:jc w:val="both"/>
        <w:rPr/>
      </w:pPr>
      <w:r>
        <w:rPr/>
        <w:t>​</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sz w:val="20"/>
        </w:rPr>
        <w:t>Our total revenues decreased by US$405.3 million from US$924.3 million for the year ended December 31, 2024 to US$519.1 million for the year ended December 31, 2025, primarily due to the challenging macroeconomic conditions, severe competition, and the transition during the relevant period characterized by tariff impact, gradual destocking and phased commencement of upgraded model deliveries.</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Sales of goods</w:t>
      </w:r>
      <w:r>
        <w:rPr>
          <w:rFonts w:ascii="Times New Roman;Times;serif" w:hAnsi="Times New Roman;Times;serif"/>
          <w:sz w:val="20"/>
        </w:rPr>
        <w:t>.  Our sales of goods revenue decreased by US$428.3 million from US$891.1 million for the year ended December 31, 2024 to US$462.8 million for the year ended December 31, 2025, primarily attributable to the decrease in sales from (i) EV lifestyle models in the amount of US$280.5 million; (ii) sports cars in the amount of US$139.1 million, and (iii) auto parts and peripheral products in the amount of US$8.7 million.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Service revenues</w:t>
      </w:r>
      <w:r>
        <w:rPr>
          <w:rFonts w:ascii="Times New Roman;Times;serif" w:hAnsi="Times New Roman;Times;serif"/>
          <w:sz w:val="20"/>
        </w:rPr>
        <w:t>.  Our service revenue increased by US$23.0 million from US$33.3 million for the year ended December 31, 2024 to US$56.3 million for the year ended December 31, 2025, primarily due to the increase in revenue from intelligent driving service in the amount of US$23.2 million.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tbl>
      <w:tblPr>
        <w:tblW w:w="6249" w:type="dxa"/>
        <w:jc w:val="left"/>
        <w:tblInd w:w="0" w:type="dxa"/>
        <w:tblLayout w:type="fixed"/>
        <w:tblCellMar>
          <w:top w:w="0" w:type="dxa"/>
          <w:left w:w="0" w:type="dxa"/>
          <w:bottom w:w="0" w:type="dxa"/>
          <w:right w:w="0" w:type="dxa"/>
        </w:tblCellMar>
      </w:tblPr>
      <w:tblGrid>
        <w:gridCol w:w="1636"/>
        <w:gridCol w:w="346"/>
        <w:gridCol w:w="901"/>
        <w:gridCol w:w="346"/>
        <w:gridCol w:w="901"/>
        <w:gridCol w:w="346"/>
        <w:gridCol w:w="796"/>
        <w:gridCol w:w="346"/>
        <w:gridCol w:w="63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038860" cy="175260"/>
                      <wp:effectExtent l="0" t="0" r="0" b="0"/>
                      <wp:wrapNone/>
                      <wp:docPr id="121" name="Frame116"/>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2"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72135" cy="175260"/>
                      <wp:effectExtent l="0" t="0" r="0" b="0"/>
                      <wp:wrapNone/>
                      <wp:docPr id="123" name="Frame11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24"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72135" cy="175260"/>
                      <wp:effectExtent l="0" t="0" r="0" b="0"/>
                      <wp:wrapNone/>
                      <wp:docPr id="125" name="Frame1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26"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05460" cy="175260"/>
                      <wp:effectExtent l="0" t="0" r="0" b="0"/>
                      <wp:wrapNone/>
                      <wp:docPr id="127" name="Frame1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8"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00685" cy="175260"/>
                      <wp:effectExtent l="0" t="0" r="0" b="0"/>
                      <wp:wrapNone/>
                      <wp:docPr id="129" name="Frame12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17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24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267"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9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31" w:type="dxa"/>
            <w:tcBorders/>
            <w:shd w:fill="CCEEFF" w:val="clear"/>
            <w:vAlign w:val="center"/>
          </w:tcPr>
          <w:p>
            <w:pPr>
              <w:pStyle w:val="TableContents"/>
              <w:bidi w:val="0"/>
              <w:spacing w:lineRule="auto" w:line="307" w:before="0" w:after="1"/>
              <w:ind w:left="0" w:right="0" w:hanging="0"/>
              <w:jc w:val="right"/>
              <w:rPr/>
            </w:pPr>
            <w:r>
              <w:rPr/>
              <w:t>  ​</w:t>
            </w:r>
          </w:p>
        </w:tc>
      </w:tr>
      <w:tr>
        <w:trPr/>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(430,031)</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(867,061)</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437,030</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(50.4)</w:t>
            </w:r>
          </w:p>
        </w:tc>
      </w:tr>
      <w:tr>
        <w:trPr/>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lineRule="auto" w:line="307" w:before="0" w:after="1"/>
              <w:ind w:left="0" w:right="0" w:hanging="0"/>
              <w:jc w:val="left"/>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(43,857)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(27,662)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(16,195)</w:t>
            </w:r>
          </w:p>
        </w:tc>
        <w:tc>
          <w:tcPr>
            <w:tcW w:w="346" w:type="dxa"/>
            <w:tcBorders/>
            <w:shd w:fill="CCEEFF" w:val="clear"/>
            <w:vAlign w:val="center"/>
          </w:tcPr>
          <w:p>
            <w:pPr>
              <w:pStyle w:val="TableContents"/>
              <w:bidi w:val="0"/>
              <w:spacing w:lineRule="auto" w:line="307" w:before="0" w:after="1"/>
              <w:ind w:left="0" w:right="0" w:hanging="0"/>
              <w:jc w:val="left"/>
              <w:rPr>
                <w:color w:val="231F20"/>
              </w:rPr>
            </w:pPr>
            <w:r>
              <w:rPr>
                <w:color w:val="231F20"/>
              </w:rPr>
              <w:t> </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58.5</w:t>
            </w:r>
          </w:p>
        </w:tc>
      </w:tr>
      <w:tr>
        <w:trPr/>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(473,888)</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(894,723)</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420,835</w:t>
            </w:r>
          </w:p>
        </w:tc>
        <w:tc>
          <w:tcPr>
            <w:tcW w:w="346" w:type="dxa"/>
            <w:tcBorders/>
            <w:vAlign w:val="center"/>
          </w:tcPr>
          <w:p>
            <w:pPr>
              <w:pStyle w:val="TableContents"/>
              <w:bidi w:val="0"/>
              <w:spacing w:lineRule="auto" w:line="307" w:before="0" w:after="1"/>
              <w:ind w:left="0" w:right="0" w:hanging="0"/>
              <w:jc w:val="left"/>
              <w:rPr>
                <w:color w:val="231F20"/>
              </w:rPr>
            </w:pPr>
            <w:r>
              <w:rPr>
                <w:color w:val="231F20"/>
              </w:rPr>
              <w:t> </w:t>
            </w:r>
          </w:p>
        </w:tc>
        <w:tc>
          <w:tcPr>
            <w:tcW w:w="6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(47.0)</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decreased by US$420.8 million from US$894.7 million for the year ended December 31, 2024 to US$473.9 million for the year ended December 31, 2025. The decrease in cost of revenues was primarily attributable to the decrease in cost of goods sold from vehicle products of US$415.9 million.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tbl>
      <w:tblPr>
        <w:tblW w:w="5439" w:type="dxa"/>
        <w:jc w:val="left"/>
        <w:tblInd w:w="0" w:type="dxa"/>
        <w:tblLayout w:type="fixed"/>
        <w:tblCellMar>
          <w:top w:w="0" w:type="dxa"/>
          <w:left w:w="0" w:type="dxa"/>
          <w:bottom w:w="0" w:type="dxa"/>
          <w:right w:w="0" w:type="dxa"/>
        </w:tblCellMar>
      </w:tblPr>
      <w:tblGrid>
        <w:gridCol w:w="1516"/>
        <w:gridCol w:w="346"/>
        <w:gridCol w:w="676"/>
        <w:gridCol w:w="346"/>
        <w:gridCol w:w="676"/>
        <w:gridCol w:w="346"/>
        <w:gridCol w:w="676"/>
        <w:gridCol w:w="346"/>
        <w:gridCol w:w="51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962660" cy="175260"/>
                      <wp:effectExtent l="0" t="0" r="0" b="0"/>
                      <wp:wrapNone/>
                      <wp:docPr id="130" name="Frame12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1"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29260" cy="175260"/>
                      <wp:effectExtent l="0" t="0" r="0" b="0"/>
                      <wp:wrapNone/>
                      <wp:docPr id="132"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3"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29260" cy="175260"/>
                      <wp:effectExtent l="0" t="0" r="0" b="0"/>
                      <wp:wrapNone/>
                      <wp:docPr id="134" name="Frame1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5"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260" cy="175260"/>
                      <wp:effectExtent l="0" t="0" r="0" b="0"/>
                      <wp:wrapNone/>
                      <wp:docPr id="136" name="Frame1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37"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24485" cy="175260"/>
                      <wp:effectExtent l="0" t="0" r="0" b="0"/>
                      <wp:wrapNone/>
                      <wp:docPr id="138" name="Frame13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698"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11" w:type="dxa"/>
            <w:tcBorders/>
            <w:vAlign w:val="center"/>
          </w:tcPr>
          <w:p>
            <w:pPr>
              <w:pStyle w:val="TableContents"/>
              <w:bidi w:val="0"/>
              <w:spacing w:lineRule="auto" w:line="307" w:before="0" w:after="160"/>
              <w:ind w:left="0" w:right="0" w:hanging="0"/>
              <w:jc w:val="center"/>
              <w:rPr/>
            </w:pPr>
            <w:r>
              <w:rPr/>
              <w:t>​</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6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11" w:type="dxa"/>
            <w:tcBorders/>
            <w:vAlign w:val="center"/>
          </w:tcPr>
          <w:p>
            <w:pPr>
              <w:pStyle w:val="TableContents"/>
              <w:bidi w:val="0"/>
              <w:spacing w:lineRule="auto" w:line="307" w:before="0" w:after="160"/>
              <w:ind w:left="0" w:right="0" w:hanging="0"/>
              <w:jc w:val="center"/>
              <w:rPr/>
            </w:pPr>
            <w:r>
              <w:rPr/>
              <w:t>​</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153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543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577"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5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45,210</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29,626</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15,584</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5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15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margin (%)</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511" w:type="dxa"/>
            <w:tcBorders/>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gross profits increased from US$29.6 million the year ended December 31, 2024 to US$45.2 million for the year ended December 31, 2025 and our gross margin increased from 3.2% for the year ended December 31, 2024 to 8.7% for the year ended December 31, 2025. The increase in gross profit and gross margin were primarily driven by higher vehicle margins, resulting from a favorable shift in product mix and cost control.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tbl>
      <w:tblPr>
        <w:tblW w:w="7704" w:type="dxa"/>
        <w:jc w:val="left"/>
        <w:tblInd w:w="0" w:type="dxa"/>
        <w:tblLayout w:type="fixed"/>
        <w:tblCellMar>
          <w:top w:w="0" w:type="dxa"/>
          <w:left w:w="0" w:type="dxa"/>
          <w:bottom w:w="0" w:type="dxa"/>
          <w:right w:w="0" w:type="dxa"/>
        </w:tblCellMar>
      </w:tblPr>
      <w:tblGrid>
        <w:gridCol w:w="3091"/>
        <w:gridCol w:w="346"/>
        <w:gridCol w:w="901"/>
        <w:gridCol w:w="346"/>
        <w:gridCol w:w="901"/>
        <w:gridCol w:w="346"/>
        <w:gridCol w:w="796"/>
        <w:gridCol w:w="346"/>
        <w:gridCol w:w="63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962785" cy="175260"/>
                      <wp:effectExtent l="0" t="0" r="0" b="0"/>
                      <wp:wrapNone/>
                      <wp:docPr id="139" name="Frame13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0"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72135" cy="175260"/>
                      <wp:effectExtent l="0" t="0" r="0" b="0"/>
                      <wp:wrapNone/>
                      <wp:docPr id="141" name="Frame13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2"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72135" cy="175260"/>
                      <wp:effectExtent l="0" t="0" r="0" b="0"/>
                      <wp:wrapNone/>
                      <wp:docPr id="143" name="Frame13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4"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05460" cy="175260"/>
                      <wp:effectExtent l="0" t="0" r="0" b="0"/>
                      <wp:wrapNone/>
                      <wp:docPr id="145" name="Frame1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46"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00685" cy="175260"/>
                      <wp:effectExtent l="0" t="0" r="0" b="0"/>
                      <wp:wrapNone/>
                      <wp:docPr id="147" name="Frame14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17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770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267"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9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31" w:type="dxa"/>
            <w:tcBorders/>
            <w:shd w:fill="CCEEFF" w:val="clear"/>
            <w:vAlign w:val="center"/>
          </w:tcPr>
          <w:p>
            <w:pPr>
              <w:pStyle w:val="TableContents"/>
              <w:bidi w:val="0"/>
              <w:spacing w:lineRule="auto" w:line="307" w:before="0" w:after="1"/>
              <w:ind w:left="0" w:right="0" w:hanging="0"/>
              <w:jc w:val="right"/>
              <w:rPr/>
            </w:pPr>
            <w:r>
              <w:rPr/>
              <w:t>  ​</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(170,960)</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(274,801)</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103,841</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(148,261)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(322,310)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174,049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(135,850)</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(227,475)</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91,625</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38,463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29,825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345.3</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(51,800)</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(51,800)</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(468,408)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(815,948)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347,540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(42.6)</w:t>
            </w:r>
          </w:p>
        </w:tc>
      </w:tr>
    </w:tbl>
    <w:p>
      <w:pPr>
        <w:pStyle w:val="TextBody"/>
        <w:bidi w:val="0"/>
        <w:spacing w:lineRule="auto" w:line="307" w:before="0" w:after="160"/>
        <w:ind w:left="0" w:right="0" w:hanging="0"/>
        <w:jc w:val="both"/>
        <w:rPr/>
      </w:pPr>
      <w:r>
        <w:rPr/>
        <w:t>​</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expenses decreased by US$103.8 million from US$274.8 million for the year ended December 31, 2024 to US$171.0 million for the year ended December 31, 2025, primarily due to the decrease in employee-related costs and share-based compensation resulting from improved operational efficiencies.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Selling and marketing expenses</w:t>
      </w:r>
      <w:r>
        <w:rPr>
          <w:rFonts w:ascii="Times New Roman;Times;serif" w:hAnsi="Times New Roman;Times;serif"/>
          <w:sz w:val="20"/>
        </w:rPr>
        <w:t>.  Our selling and marketing expenses decreased by US$174.0 million from US$322.3 million for the year ended December 31, 2024 to US$148.3 million for the year ended December 31, 2025, primarily due to reduced advertising and marketing expenses and lower employee-related costs, driven by cost reduction initiatives and improved operational efficiencies.</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decreased by US$91.6 million, from US$227.5 million for the year ended December 31, 2024 to US$135.9 million for the year ended December 31, 2025. This decrease was primarily attributable to reduced employee-related costs and share-based compensation resulting from improved operational efficiencies, as well as lower professional service fees.</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Other operating income</w:t>
      </w:r>
      <w:r>
        <w:rPr>
          <w:rFonts w:ascii="Times New Roman;Times;serif" w:hAnsi="Times New Roman;Times;serif"/>
          <w:sz w:val="20"/>
        </w:rPr>
        <w:t>.  Our other operating income increased by US$29.8 million from US$8.6 million for the year ended December 31, 2024 to US$38.5 million for the year ended December 31, 2025, as we licensed certain internally developed intellectual property to acquire investment and a total of US$33.0 million other operating income was recognized for such licenses.</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Impairment of long-lived assets</w:t>
      </w:r>
      <w:r>
        <w:rPr>
          <w:rFonts w:ascii="Times New Roman;Times;serif" w:hAnsi="Times New Roman;Times;serif"/>
          <w:sz w:val="20"/>
        </w:rPr>
        <w:t>. We recorded a total of US$51.8 million long-lived assets impairment loss for the year ended December 31, 2025, comprising US$47.3 million related to property, equipment and software, and US$4.5 million related to right-of-use assets.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we had a loss from operations of US$423.2 million for the year ended December 31, 2025, in comparison with a loss from operations of US$786.3 million for the year ended December 31, 2024.</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interest expenses increased by US$5.1 million from US$58.2 million for the year ended December 31, 2024 to US$63.3 million for the year ended December 31, 2025, primarily due to an increase in borrowings.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interest income increased by US$5.9 million from US$22.3 million for the year ended December 31, 2024 to US$28.1 million for the year ended December 31, 2025, primarily due to an increase in interest income from loans to a related party.</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income (loss),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investment income of US$10.7 million for the year ended December 31, 2025, compared to an investment income of US$14.2 million for the year ended December 31, 2024. The income during the year ended December 31, 2025 was primarily attributable to the gains from our investment in U.S. Treasury bond.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exchange gains (losses),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net foreign currency exchange gains of US$25.7 million for the year ended December 31, 2025, compared to losses of US$11.7 million for the year ended December 31, 2024. The net change in foreign currency exchange gains or losses was primarily attributable to fluctuations in exchange rates between U.S. dollar and GBP.</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fair values of liabilities, excluding impact of instrument-specific credit risk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losses in changes in fair value of liabilities, excluding impact of instrument-specific credit risk of US$28.3 million for the year ended December 31, 2025, compared to losses of US$285.4 million for the year ended December 31, 2024, primarily due to the recognition of losses from changes in fair values of convertible notes, and exchangeable notes of US$22.1 million and put option liabilities of US$8.7 million for the year ended December 31,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Loss before income taxes and share of results of equity method investments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loss before income taxes and share of results of equity method investments for the year ended December 31, 2025 was US$450.3 million, decreased by US$654.8 million from US$1,105.1 million for the year ended December 31, 2024.</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Some of our subsidiaries are subject to income tax for their taxable income in 2025. The effective income tax rate for the years ended December 31, 2025 and 2024 was negative 3.56% and negative 0.18%, respectively. The effective income tax rate for the years ended December 31, 2025 and 2024 differs from the applicable statutory income tax rate, primarily due to the recognition of full valuation allowance for deferred income tax assets of loss-making entities.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Share of results of equity method investments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gains in share of results of equity method investments of US$2.0 million for the year ended December 31, 2025 attributable to the share of gain from our equity method investments.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net loss decreased by US$643.1 million from US$1,107.3 million for the year ended December 31, 2024 to US$464.2 million for the year ended December 31, 2025.</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Year Ended December 31, 2024 Compared to Year Ended December 31, 2023</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To Revenues</w:t>
      </w:r>
    </w:p>
    <w:tbl>
      <w:tblPr>
        <w:tblW w:w="6054" w:type="dxa"/>
        <w:jc w:val="left"/>
        <w:tblInd w:w="0" w:type="dxa"/>
        <w:tblLayout w:type="fixed"/>
        <w:tblCellMar>
          <w:top w:w="0" w:type="dxa"/>
          <w:left w:w="0" w:type="dxa"/>
          <w:bottom w:w="0" w:type="dxa"/>
          <w:right w:w="0" w:type="dxa"/>
        </w:tblCellMar>
      </w:tblPr>
      <w:tblGrid>
        <w:gridCol w:w="1711"/>
        <w:gridCol w:w="346"/>
        <w:gridCol w:w="781"/>
        <w:gridCol w:w="346"/>
        <w:gridCol w:w="781"/>
        <w:gridCol w:w="346"/>
        <w:gridCol w:w="781"/>
        <w:gridCol w:w="346"/>
        <w:gridCol w:w="61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086485" cy="175260"/>
                      <wp:effectExtent l="0" t="0" r="0" b="0"/>
                      <wp:wrapNone/>
                      <wp:docPr id="148" name="Frame14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49"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95935" cy="175260"/>
                      <wp:effectExtent l="0" t="0" r="0" b="0"/>
                      <wp:wrapNone/>
                      <wp:docPr id="150" name="Frame1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1"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95935" cy="175260"/>
                      <wp:effectExtent l="0" t="0" r="0" b="0"/>
                      <wp:wrapNone/>
                      <wp:docPr id="152"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3"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54" name="Frame1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55"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91160" cy="175260"/>
                      <wp:effectExtent l="0" t="0" r="0" b="0"/>
                      <wp:wrapNone/>
                      <wp:docPr id="156" name="Frame15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08"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16" w:type="dxa"/>
            <w:tcBorders/>
            <w:vAlign w:val="center"/>
          </w:tcPr>
          <w:p>
            <w:pPr>
              <w:pStyle w:val="TableContents"/>
              <w:bidi w:val="0"/>
              <w:spacing w:lineRule="auto" w:line="307" w:before="0" w:after="160"/>
              <w:ind w:left="0" w:right="0" w:hanging="0"/>
              <w:jc w:val="center"/>
              <w:rPr/>
            </w:pPr>
            <w:r>
              <w:rPr/>
              <w:t>​</w: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90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16" w:type="dxa"/>
            <w:tcBorders/>
            <w:vAlign w:val="center"/>
          </w:tcPr>
          <w:p>
            <w:pPr>
              <w:pStyle w:val="TableContents"/>
              <w:bidi w:val="0"/>
              <w:spacing w:lineRule="auto" w:line="307" w:before="0" w:after="160"/>
              <w:ind w:left="0" w:right="0" w:hanging="0"/>
              <w:jc w:val="center"/>
              <w:rPr/>
            </w:pPr>
            <w:r>
              <w:rPr/>
              <w:t>​</w: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lineRule="auto" w:line="307" w:before="0" w:after="160"/>
              <w:ind w:left="0" w:right="0" w:hanging="0"/>
              <w:jc w:val="center"/>
              <w:rPr/>
            </w:pPr>
            <w:r>
              <w:rPr/>
              <w:t>​</w:t>
            </w:r>
          </w:p>
        </w:tc>
        <w:tc>
          <w:tcPr>
            <w:tcW w:w="174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05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997"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7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Sales of goods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891,061</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660,158</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230,903</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35.0</w:t>
            </w:r>
          </w:p>
        </w:tc>
      </w:tr>
      <w:tr>
        <w:trPr/>
        <w:tc>
          <w:tcPr>
            <w:tcW w:w="17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EV lifestyle models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634,333</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465,265</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169,068</w:t>
            </w:r>
          </w:p>
        </w:tc>
        <w:tc>
          <w:tcPr>
            <w:tcW w:w="346" w:type="dxa"/>
            <w:tcBorders/>
            <w:vAlign w:val="center"/>
          </w:tcPr>
          <w:p>
            <w:pPr>
              <w:pStyle w:val="TableContents"/>
              <w:bidi w:val="0"/>
              <w:spacing w:lineRule="auto" w:line="307" w:before="0" w:after="1"/>
              <w:ind w:left="0" w:right="0" w:hanging="0"/>
              <w:jc w:val="left"/>
              <w:rPr/>
            </w:pPr>
            <w:r>
              <w:rPr/>
              <w:t> </w:t>
            </w:r>
          </w:p>
        </w:tc>
        <w:tc>
          <w:tcPr>
            <w:tcW w:w="61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17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Sports cars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215,089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184,111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30,978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17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41,639</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10,782</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30,857</w:t>
            </w:r>
          </w:p>
        </w:tc>
        <w:tc>
          <w:tcPr>
            <w:tcW w:w="346" w:type="dxa"/>
            <w:tcBorders/>
            <w:vAlign w:val="center"/>
          </w:tcPr>
          <w:p>
            <w:pPr>
              <w:pStyle w:val="TableContents"/>
              <w:bidi w:val="0"/>
              <w:spacing w:lineRule="auto" w:line="307" w:before="0" w:after="1"/>
              <w:ind w:left="0" w:right="0" w:hanging="0"/>
              <w:jc w:val="left"/>
              <w:rPr/>
            </w:pPr>
            <w:r>
              <w:rPr/>
              <w:t> </w:t>
            </w:r>
          </w:p>
        </w:tc>
        <w:tc>
          <w:tcPr>
            <w:tcW w:w="61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286.2</w:t>
            </w:r>
          </w:p>
        </w:tc>
      </w:tr>
      <w:tr>
        <w:trPr/>
        <w:tc>
          <w:tcPr>
            <w:tcW w:w="17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Service revenues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33,288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18,850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14,438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76.6</w:t>
            </w:r>
          </w:p>
        </w:tc>
      </w:tr>
      <w:tr>
        <w:trPr/>
        <w:tc>
          <w:tcPr>
            <w:tcW w:w="171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924,349</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679,008</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245,341</w:t>
            </w:r>
          </w:p>
        </w:tc>
        <w:tc>
          <w:tcPr>
            <w:tcW w:w="346" w:type="dxa"/>
            <w:tcBorders/>
            <w:vAlign w:val="center"/>
          </w:tcPr>
          <w:p>
            <w:pPr>
              <w:pStyle w:val="TableContents"/>
              <w:bidi w:val="0"/>
              <w:spacing w:lineRule="auto" w:line="307" w:before="0" w:after="1"/>
              <w:ind w:left="0" w:right="0" w:hanging="0"/>
              <w:jc w:val="left"/>
              <w:rPr/>
            </w:pPr>
            <w:r>
              <w:rPr/>
              <w:t> </w:t>
            </w:r>
          </w:p>
        </w:tc>
        <w:tc>
          <w:tcPr>
            <w:tcW w:w="61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36.1</w:t>
            </w:r>
          </w:p>
        </w:tc>
      </w:tr>
    </w:tbl>
    <w:p>
      <w:pPr>
        <w:pStyle w:val="TextBody"/>
        <w:bidi w:val="0"/>
        <w:spacing w:lineRule="auto" w:line="307" w:before="0" w:after="160"/>
        <w:ind w:left="0" w:right="0" w:hanging="0"/>
        <w:jc w:val="left"/>
        <w:rPr/>
      </w:pPr>
      <w:r>
        <w:rPr/>
        <w:t>​</w:t>
      </w:r>
    </w:p>
    <w:p>
      <w:pPr>
        <w:pStyle w:val="TextBody"/>
        <w:bidi w:val="0"/>
        <w:spacing w:lineRule="auto" w:line="307" w:before="0" w:after="200"/>
        <w:ind w:left="0" w:right="0" w:firstLine="720"/>
        <w:jc w:val="both"/>
        <w:rPr>
          <w:rFonts w:ascii="Times New Roman;Times;serif" w:hAnsi="Times New Roman;Times;serif"/>
          <w:sz w:val="20"/>
        </w:rPr>
      </w:pPr>
      <w:r>
        <w:rPr>
          <w:rFonts w:ascii="Times New Roman;Times;serif" w:hAnsi="Times New Roman;Times;serif"/>
          <w:sz w:val="20"/>
        </w:rPr>
        <w:t>Our total revenues increased by US$245.3 million from US$679.0 million for the year ended December 31, 2023 to US$924.3 million for the year ended December 31, 2024, primarily due to (i) the increased sales of EV lifestyle models, (ii) the increase in the sales revenue from the distribution of Lotus-brand sports cars, auto parts, and peripheral products, and (iii) the increase in intelligent driving service income and automotive design and development services income from OEM customers as well as extended services.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Sales of goods</w:t>
      </w:r>
      <w:r>
        <w:rPr>
          <w:rFonts w:ascii="Times New Roman;Times;serif" w:hAnsi="Times New Roman;Times;serif"/>
          <w:sz w:val="20"/>
        </w:rPr>
        <w:t>.  Our sales of goods revenue increased by US$230.9 million from US$660.2 million for the year ended December 31, 2023 to US$891.1 million for the year ended December 31, 2024, due to (i) the increase in the sales of EV lifestyle models and sports cars in the amount of US$200.0 million; (ii) the increase in the sales of auto parts and peripheral products in the amount of US$30.1 million, and (iii) the increase in other vehicle sales bundled products such as fast charge sales in the amount of US$0.7 million.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Service revenues</w:t>
      </w:r>
      <w:r>
        <w:rPr>
          <w:rFonts w:ascii="Times New Roman;Times;serif" w:hAnsi="Times New Roman;Times;serif"/>
          <w:sz w:val="20"/>
        </w:rPr>
        <w:t>.  Our service revenue increased by US$14.4 million from US$18.9 million for the year ended December 31, 2023 to US$33.3 million for the year ended December 31, 2024, primarily due to (i) the increase in services revenue for the design and development of intelligent driving solutions in the amount of US$20.9 million, and (ii) the increase in extended service and aftersales services revenue for EV lifestyle models and sports cars in the amount of US$3.4 million, partially offset by the decrease in revenue from automotive design and development services provided to OEM customers in the amount of US$9.9 million as projects were completed in 2023.</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Cost of revenues</w:t>
      </w:r>
    </w:p>
    <w:tbl>
      <w:tblPr>
        <w:tblW w:w="6339" w:type="dxa"/>
        <w:jc w:val="left"/>
        <w:tblInd w:w="0" w:type="dxa"/>
        <w:tblLayout w:type="fixed"/>
        <w:tblCellMar>
          <w:top w:w="0" w:type="dxa"/>
          <w:left w:w="0" w:type="dxa"/>
          <w:bottom w:w="0" w:type="dxa"/>
          <w:right w:w="0" w:type="dxa"/>
        </w:tblCellMar>
      </w:tblPr>
      <w:tblGrid>
        <w:gridCol w:w="1636"/>
        <w:gridCol w:w="346"/>
        <w:gridCol w:w="901"/>
        <w:gridCol w:w="346"/>
        <w:gridCol w:w="901"/>
        <w:gridCol w:w="346"/>
        <w:gridCol w:w="901"/>
        <w:gridCol w:w="346"/>
        <w:gridCol w:w="61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038860" cy="175260"/>
                      <wp:effectExtent l="0" t="0" r="0" b="0"/>
                      <wp:wrapNone/>
                      <wp:docPr id="157" name="Frame152"/>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58"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72135" cy="175260"/>
                      <wp:effectExtent l="0" t="0" r="0" b="0"/>
                      <wp:wrapNone/>
                      <wp:docPr id="159" name="Frame1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0"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2135" cy="175260"/>
                      <wp:effectExtent l="0" t="0" r="0" b="0"/>
                      <wp:wrapNone/>
                      <wp:docPr id="161" name="Frame15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2"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72135" cy="175260"/>
                      <wp:effectExtent l="0" t="0" r="0" b="0"/>
                      <wp:wrapNone/>
                      <wp:docPr id="163" name="Frame15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4"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91160" cy="175260"/>
                      <wp:effectExtent l="0" t="0" r="0" b="0"/>
                      <wp:wrapNone/>
                      <wp:docPr id="165" name="Frame16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16" w:type="dxa"/>
            <w:tcBorders/>
            <w:vAlign w:val="center"/>
          </w:tcPr>
          <w:p>
            <w:pPr>
              <w:pStyle w:val="TableContents"/>
              <w:bidi w:val="0"/>
              <w:spacing w:lineRule="auto" w:line="307" w:before="0" w:after="160"/>
              <w:ind w:left="0" w:right="0" w:hanging="0"/>
              <w:jc w:val="center"/>
              <w:rPr/>
            </w:pPr>
            <w:r>
              <w:rPr/>
              <w:t>​</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16" w:type="dxa"/>
            <w:tcBorders/>
            <w:vAlign w:val="center"/>
          </w:tcPr>
          <w:p>
            <w:pPr>
              <w:pStyle w:val="TableContents"/>
              <w:bidi w:val="0"/>
              <w:spacing w:lineRule="auto" w:line="307" w:before="0" w:after="160"/>
              <w:ind w:left="0" w:right="0" w:hanging="0"/>
              <w:jc w:val="center"/>
              <w:rPr/>
            </w:pPr>
            <w:r>
              <w:rPr/>
              <w:t>​</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lineRule="auto" w:line="307" w:before="0" w:after="160"/>
              <w:ind w:left="0" w:right="0" w:hanging="0"/>
              <w:jc w:val="center"/>
              <w:rPr/>
            </w:pPr>
            <w:r>
              <w:rPr/>
              <w:t>​</w:t>
            </w:r>
          </w:p>
        </w:tc>
        <w:tc>
          <w:tcPr>
            <w:tcW w:w="186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33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357"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16" w:type="dxa"/>
            <w:tcBorders/>
            <w:shd w:fill="CCEEFF" w:val="clear"/>
            <w:vAlign w:val="center"/>
          </w:tcPr>
          <w:p>
            <w:pPr>
              <w:pStyle w:val="TableContents"/>
              <w:bidi w:val="0"/>
              <w:spacing w:lineRule="auto" w:line="307" w:before="0" w:after="1"/>
              <w:ind w:left="0" w:right="0" w:hanging="0"/>
              <w:jc w:val="right"/>
              <w:rPr/>
            </w:pPr>
            <w:r>
              <w:rPr/>
              <w:t>  ​</w:t>
            </w:r>
          </w:p>
        </w:tc>
      </w:tr>
      <w:tr>
        <w:trPr/>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(867,061)</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(564,741)</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(302,320)</w:t>
            </w:r>
          </w:p>
        </w:tc>
        <w:tc>
          <w:tcPr>
            <w:tcW w:w="346" w:type="dxa"/>
            <w:tcBorders/>
            <w:vAlign w:val="center"/>
          </w:tcPr>
          <w:p>
            <w:pPr>
              <w:pStyle w:val="TableContents"/>
              <w:bidi w:val="0"/>
              <w:spacing w:lineRule="auto" w:line="307" w:before="0" w:after="160"/>
              <w:ind w:left="0" w:right="0" w:hanging="0"/>
              <w:jc w:val="left"/>
              <w:rPr/>
            </w:pPr>
            <w:r>
              <w:rPr/>
              <w:t>​</w:t>
            </w:r>
          </w:p>
        </w:tc>
        <w:tc>
          <w:tcPr>
            <w:tcW w:w="61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53.5</w:t>
            </w:r>
          </w:p>
        </w:tc>
      </w:tr>
      <w:tr>
        <w:trPr/>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(27,662)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(12,086)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(15,576)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128.9</w:t>
            </w:r>
          </w:p>
        </w:tc>
      </w:tr>
      <w:tr>
        <w:trPr/>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(894,723)</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(576,827)</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(317,896)</w:t>
            </w:r>
          </w:p>
        </w:tc>
        <w:tc>
          <w:tcPr>
            <w:tcW w:w="346" w:type="dxa"/>
            <w:tcBorders/>
            <w:vAlign w:val="center"/>
          </w:tcPr>
          <w:p>
            <w:pPr>
              <w:pStyle w:val="TableContents"/>
              <w:bidi w:val="0"/>
              <w:spacing w:lineRule="auto" w:line="307" w:before="0" w:after="160"/>
              <w:ind w:left="0" w:right="0" w:hanging="0"/>
              <w:jc w:val="left"/>
              <w:rPr/>
            </w:pPr>
            <w:r>
              <w:rPr/>
              <w:t>​</w:t>
            </w:r>
          </w:p>
        </w:tc>
        <w:tc>
          <w:tcPr>
            <w:tcW w:w="61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55.1</w:t>
            </w:r>
          </w:p>
        </w:tc>
      </w:tr>
    </w:tbl>
    <w:p>
      <w:pPr>
        <w:pStyle w:val="TextBody"/>
        <w:bidi w:val="0"/>
        <w:spacing w:lineRule="auto" w:line="307" w:before="0" w:after="160"/>
        <w:ind w:left="0" w:right="0" w:hanging="0"/>
        <w:jc w:val="both"/>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revenues increased by US$317.9 million from US$576.8 million for the year ended December 31, 2023 to US$894.7 million for the year ended December 31, 2024, accompanying the increased revenues in vehicle sales. The increase was attributable to the increase in cost of sales from EV lifestyle models and sports cars of US$278.4 million, from auto parts and peripheral products of US$23.6 million, and from other vehicle sales bundled product for EV lifestyle models and sports cars of US$0.3 million. Cost of revenues for services increased by US$15.6 million primarily due to the increase in costs incurred for design and development of intelligent driving solutions service of US$16.2 million and for extended service and aftersales services cost for EV lifestyle models and sports cars of US$6.9 million, partially offset by the decrease in costs incurred for automotive design and development services provided to OEM customers of US$7.5 million as less services were provided in this regard.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tbl>
      <w:tblPr>
        <w:tblW w:w="5784" w:type="dxa"/>
        <w:jc w:val="left"/>
        <w:tblInd w:w="0" w:type="dxa"/>
        <w:tblLayout w:type="fixed"/>
        <w:tblCellMar>
          <w:top w:w="0" w:type="dxa"/>
          <w:left w:w="0" w:type="dxa"/>
          <w:bottom w:w="0" w:type="dxa"/>
          <w:right w:w="0" w:type="dxa"/>
        </w:tblCellMar>
      </w:tblPr>
      <w:tblGrid>
        <w:gridCol w:w="1516"/>
        <w:gridCol w:w="346"/>
        <w:gridCol w:w="676"/>
        <w:gridCol w:w="346"/>
        <w:gridCol w:w="781"/>
        <w:gridCol w:w="346"/>
        <w:gridCol w:w="796"/>
        <w:gridCol w:w="346"/>
        <w:gridCol w:w="63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62660" cy="175260"/>
                      <wp:effectExtent l="0" t="0" r="0" b="0"/>
                      <wp:wrapNone/>
                      <wp:docPr id="166" name="Frame16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67"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68" name="Frame1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69"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95935" cy="175260"/>
                      <wp:effectExtent l="0" t="0" r="0" b="0"/>
                      <wp:wrapNone/>
                      <wp:docPr id="170" name="Frame1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1"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05460" cy="175260"/>
                      <wp:effectExtent l="0" t="0" r="0" b="0"/>
                      <wp:wrapNone/>
                      <wp:docPr id="172" name="Frame1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3"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00685" cy="175260"/>
                      <wp:effectExtent l="0" t="0" r="0" b="0"/>
                      <wp:wrapNone/>
                      <wp:docPr id="174" name="Frame16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803"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lineRule="auto" w:line="307" w:before="0" w:after="160"/>
              <w:ind w:left="0" w:right="0" w:hanging="0"/>
              <w:jc w:val="center"/>
              <w:rPr/>
            </w:pPr>
            <w:r>
              <w:rPr/>
              <w:t>​</w:t>
            </w:r>
          </w:p>
        </w:tc>
        <w:tc>
          <w:tcPr>
            <w:tcW w:w="17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578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922"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15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29,626</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102,181</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(72,555)</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15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margin (%)</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gross profits decreased from US$102.2 million for the year ended December 31, 2023 to US$29.6 million for the year ended December 31, 2024 and our gross margin decreased from 15.0% for the year ended December 31, 2023 to 3.2% for the year ended December 31, 2024. The decrease in gross profit was primarily due to the reduction in gross profit in vehicle sales of US$78.3 million due to a switch of our business model from a direct to customer model to a dealer model in the UK and Europe markets and the destock under uncertain economic environment, partially offset by the decrease in charging and aftersales service of US$5.7 million. The decrease in gross margin was primarily due to the reduction in our vehicle sales margins as more discounts and rebates were provided to dealers and customers under destock measures.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tbl>
      <w:tblPr>
        <w:tblW w:w="7704" w:type="dxa"/>
        <w:jc w:val="left"/>
        <w:tblInd w:w="0" w:type="dxa"/>
        <w:tblLayout w:type="fixed"/>
        <w:tblCellMar>
          <w:top w:w="0" w:type="dxa"/>
          <w:left w:w="0" w:type="dxa"/>
          <w:bottom w:w="0" w:type="dxa"/>
          <w:right w:w="0" w:type="dxa"/>
        </w:tblCellMar>
      </w:tblPr>
      <w:tblGrid>
        <w:gridCol w:w="3091"/>
        <w:gridCol w:w="346"/>
        <w:gridCol w:w="901"/>
        <w:gridCol w:w="346"/>
        <w:gridCol w:w="901"/>
        <w:gridCol w:w="346"/>
        <w:gridCol w:w="796"/>
        <w:gridCol w:w="346"/>
        <w:gridCol w:w="63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962785" cy="175260"/>
                      <wp:effectExtent l="0" t="0" r="0" b="0"/>
                      <wp:wrapNone/>
                      <wp:docPr id="175" name="Frame17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76"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72135" cy="175260"/>
                      <wp:effectExtent l="0" t="0" r="0" b="0"/>
                      <wp:wrapNone/>
                      <wp:docPr id="177" name="Frame17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78"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72135" cy="175260"/>
                      <wp:effectExtent l="0" t="0" r="0" b="0"/>
                      <wp:wrapNone/>
                      <wp:docPr id="179" name="Frame1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0"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05460" cy="175260"/>
                      <wp:effectExtent l="0" t="0" r="0" b="0"/>
                      <wp:wrapNone/>
                      <wp:docPr id="181" name="Frame1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2"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00685" cy="175260"/>
                      <wp:effectExtent l="0" t="0" r="0" b="0"/>
                      <wp:wrapNone/>
                      <wp:docPr id="183" name="Frame17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14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lineRule="auto" w:line="307" w:before="0" w:after="160"/>
              <w:ind w:left="0" w:right="0" w:hanging="0"/>
              <w:jc w:val="center"/>
              <w:rPr/>
            </w:pPr>
            <w:r>
              <w:rPr/>
              <w:t>​</w:t>
            </w:r>
          </w:p>
        </w:tc>
        <w:tc>
          <w:tcPr>
            <w:tcW w:w="17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770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267" w:type="dxa"/>
            <w:gridSpan w:val="7"/>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9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631" w:type="dxa"/>
            <w:tcBorders/>
            <w:shd w:fill="CCEEFF" w:val="clear"/>
            <w:vAlign w:val="center"/>
          </w:tcPr>
          <w:p>
            <w:pPr>
              <w:pStyle w:val="TableContents"/>
              <w:bidi w:val="0"/>
              <w:spacing w:lineRule="auto" w:line="307" w:before="0" w:after="1"/>
              <w:ind w:left="0" w:right="0" w:hanging="0"/>
              <w:jc w:val="right"/>
              <w:rPr/>
            </w:pPr>
            <w:r>
              <w:rPr/>
              <w:t>  ​</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(274,801)</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(368,729)</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93,928</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(322,310)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(328,935)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(227,475)</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(144,533)</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(82,942)</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57.4</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4,077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4,561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111.9</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(815,948)</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(838,120)</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22,172</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w:t>
            </w:r>
          </w:p>
        </w:tc>
      </w:tr>
    </w:tbl>
    <w:p>
      <w:pPr>
        <w:pStyle w:val="TextBody"/>
        <w:bidi w:val="0"/>
        <w:spacing w:lineRule="auto" w:line="307" w:before="0" w:after="160"/>
        <w:ind w:left="0" w:right="0" w:hanging="0"/>
        <w:jc w:val="left"/>
        <w:rPr/>
      </w:pPr>
      <w:r>
        <w:rPr/>
        <w:t>​</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Our research and development expenses decreased by US$93.9 million from US$368.7 million for the year ended December 31, 2023 to US$274.8 million for the year ended December 31, 2024 primarily due to the </w:t>
      </w:r>
      <w:r>
        <w:rPr>
          <w:rFonts w:ascii="Times New Roman;Times;serif" w:hAnsi="Times New Roman;Times;serif"/>
          <w:color w:val="231F20"/>
          <w:sz w:val="20"/>
        </w:rPr>
        <w:t xml:space="preserve">phase down of </w:t>
      </w:r>
      <w:r>
        <w:rPr>
          <w:rFonts w:ascii="Times New Roman;Times;serif" w:hAnsi="Times New Roman;Times;serif"/>
          <w:sz w:val="20"/>
        </w:rPr>
        <w:t>research and development</w:t>
      </w:r>
      <w:r>
        <w:rPr>
          <w:rFonts w:ascii="Times New Roman;Times;serif" w:hAnsi="Times New Roman;Times;serif"/>
          <w:color w:val="231F20"/>
          <w:sz w:val="20"/>
        </w:rPr>
        <w:t xml:space="preserve"> activities for the Eletre and Emeya models</w:t>
      </w:r>
      <w:r>
        <w:rPr>
          <w:rFonts w:ascii="Times New Roman;Times;serif" w:hAnsi="Times New Roman;Times;serif"/>
          <w:sz w:val="20"/>
        </w:rPr>
        <w:t>.</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Selling and marketing expenses</w:t>
      </w:r>
      <w:r>
        <w:rPr>
          <w:rFonts w:ascii="Times New Roman;Times;serif" w:hAnsi="Times New Roman;Times;serif"/>
          <w:sz w:val="20"/>
        </w:rPr>
        <w:t>.  Our selling and marketing expenses decreased by US$6.6  million from US$</w:t>
      </w:r>
      <w:r>
        <w:rPr>
          <w:rFonts w:ascii="Times New Roman;Times;serif" w:hAnsi="Times New Roman;Times;serif"/>
          <w:color w:val="231F20"/>
          <w:sz w:val="20"/>
        </w:rPr>
        <w:t>328.9</w:t>
      </w:r>
      <w:r>
        <w:rPr>
          <w:rFonts w:ascii="Times New Roman;Times;serif" w:hAnsi="Times New Roman;Times;serif"/>
          <w:sz w:val="20"/>
        </w:rPr>
        <w:t> million for the year ended December 31, 2023 to US$322.3 million for the year ended December 31, 2024, primarily due to (i) the decrease in advertising and marketing expenses for cost reductions and efficiencies, (ii) business model changes from a direct to customer model to a dealer model in the UK and Europe markets.</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Our general and administrative expenses increased by US$82.9 million from US$144.5 million for the year ended December 31, 2023 to US$227.5 million for the year ended December 31, 2024, </w:t>
      </w:r>
      <w:r>
        <w:rPr>
          <w:rFonts w:ascii="Times New Roman;Times;serif" w:hAnsi="Times New Roman;Times;serif"/>
          <w:color w:val="231F20"/>
          <w:sz w:val="20"/>
        </w:rPr>
        <w:t>primarily due to (i) the increase in payroll, staff related expenses, office rental, outsourcing and office administrative expenses of US$54.5 million as a result of the expansion of our UK and European management function and operations in late 2023, (ii) the increase in professional services and insurance expenses of US$14.0 million relating to our listing, and (iii) the increase of share-based compensation expenses of US$14.4 million</w:t>
      </w:r>
      <w:r>
        <w:rPr>
          <w:rFonts w:ascii="Times New Roman;Times;serif" w:hAnsi="Times New Roman;Times;serif"/>
          <w:sz w:val="20"/>
        </w:rPr>
        <w:t>.</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i/>
          <w:sz w:val="20"/>
        </w:rPr>
        <w:t>Other operating income</w:t>
      </w:r>
      <w:r>
        <w:rPr>
          <w:rFonts w:ascii="Times New Roman;Times;serif" w:hAnsi="Times New Roman;Times;serif"/>
          <w:sz w:val="20"/>
        </w:rPr>
        <w:t>.  Our other operating income increased by US$4.6 million from US$4.1 million for the year ended December 31, 2023 to US$8.6 million for the year ended December 31, 2024, as we received government grants of US$8.6 million and US$4.1 million respectively with no future related costs required.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we had a loss from operations of US$786.3  million for the year ended December 31, 2024, in comparison with a loss from operations of US$</w:t>
      </w:r>
      <w:r>
        <w:rPr>
          <w:rFonts w:ascii="Times New Roman;Times;serif" w:hAnsi="Times New Roman;Times;serif"/>
          <w:color w:val="231F20"/>
          <w:sz w:val="20"/>
        </w:rPr>
        <w:t>735.9</w:t>
      </w:r>
      <w:r>
        <w:rPr>
          <w:rFonts w:ascii="Times New Roman;Times;serif" w:hAnsi="Times New Roman;Times;serif"/>
          <w:sz w:val="20"/>
        </w:rPr>
        <w:t> million for the year ended December 31, 2023.</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interest expenses increased by US$48.0 million from US$10.2 million for the year ended December 31, 2023 to US$58.2 million for the year ended December 31, 2024, primarily due to an increase in short-term borrowings.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interest income increased by US$13.1 million from US$9.2 million for the year ended December 31, 2023 to US$22.3 million for the year ended December 31, 2024, primarily due to an increase in interest income from loans to related parties.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income (loss),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investment income of US$14.2 million for the year ended December 31, 2024, compared to an investment loss of US$1.2 million for the year ended December 31, 2023. The income during the year ended December 31, 2024 was primarily due to the fair value changes from U.S. Treasury bond. The loss during the year ended December 31, 2023 was primarily due to the net-off effect of investment income from disposal of a subsidiary of US$3.8 million and loss on investment in equity securities of US$5.0 million.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exchange gains (losses),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net foreign currency exchange losses of US$11.7 million for the year ended December 31, 2024, compared to gains of US$0.04 million for the year ended December 31, 2023. The net change in foreign currency exchange losses was primarily attributable to fluctuations in exchange rates between U.S. dollar and RMB, between U.S. dollar and GBP, as well as between GBP and RMB.</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fair values of liabilities, excluding impact of instrument-specific credit risk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losses in changes in fair value of liabilities, excluding impact of instrument-specific credit risk of US$285.4 million for the year ended December 31, 2024, compared to losses of US$10.0 million for the year ended December 31, 2023, primarily due to the increase of losses from fair value changes of put option liabilities relating to the Meritz Investment.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Loss before income taxes and share of results of equity method investments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our loss before income taxes and share of results of equity method investments for the year ended December 31, 2024 was US$1,105.1 million, increased by US$357.0 million from US$748.1 million for the year ended December 31, 2023.</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Some of our subsidiaries are subject to income tax for their taxable income in 2024. The effective income tax rate for the years ended December 31, 2024 and 2023 was negative 0.18% and negative 0.15%, respectively. The effective income tax rate for the years ended December 31, 2024 and 2023 differs from the applicable statutory income tax rate, primarily due to the recognition of full valuation allowance for deferred income tax assets of loss-making entities.</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Share of results of equity method investments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recorded losses in share of results of equity method investments of US$171 thousand for the year ended December 31, 2024 due to the share of loss from our equity method investments.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As a result of the foregoing, our net loss increased by US$357.0 million from US$750.3 million for the year ended December 31, 2023 to US$1,107.3 million for the year ended December 31, 2024.</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Liquidity and Capital Resources</w:t>
      </w:r>
    </w:p>
    <w:p>
      <w:pPr>
        <w:pStyle w:val="TextBody"/>
        <w:bidi w:val="0"/>
        <w:spacing w:lineRule="auto" w:line="285" w:before="0" w:after="160"/>
        <w:ind w:left="0" w:right="0" w:hanging="0"/>
        <w:jc w:val="left"/>
        <w:rPr>
          <w:rFonts w:ascii="Times New Roman;Times;serif" w:hAnsi="Times New Roman;Times;serif"/>
          <w:b/>
          <w:i/>
          <w:sz w:val="20"/>
        </w:rPr>
      </w:pPr>
      <w:r>
        <w:rPr>
          <w:rFonts w:ascii="Times New Roman;Times;serif" w:hAnsi="Times New Roman;Times;serif"/>
          <w:b/>
          <w:i/>
          <w:sz w:val="20"/>
        </w:rPr>
        <w:t>Cash flows and working capital</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years indicated.</w:t>
      </w:r>
    </w:p>
    <w:tbl>
      <w:tblPr>
        <w:tblW w:w="9910" w:type="dxa"/>
        <w:jc w:val="left"/>
        <w:tblInd w:w="0" w:type="dxa"/>
        <w:tblLayout w:type="fixed"/>
        <w:tblCellMar>
          <w:top w:w="0" w:type="dxa"/>
          <w:left w:w="0" w:type="dxa"/>
          <w:bottom w:w="0" w:type="dxa"/>
          <w:right w:w="0" w:type="dxa"/>
        </w:tblCellMar>
      </w:tblPr>
      <w:tblGrid>
        <w:gridCol w:w="6331"/>
        <w:gridCol w:w="109"/>
        <w:gridCol w:w="901"/>
        <w:gridCol w:w="346"/>
        <w:gridCol w:w="931"/>
        <w:gridCol w:w="346"/>
        <w:gridCol w:w="946"/>
      </w:tblGrid>
      <w:tr>
        <w:trPr/>
        <w:tc>
          <w:tcPr>
            <w:tcW w:w="6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020185" cy="175260"/>
                      <wp:effectExtent l="0" t="0" r="0" b="0"/>
                      <wp:wrapNone/>
                      <wp:docPr id="184" name="Frame179"/>
                      <a:graphic xmlns:a="http://schemas.openxmlformats.org/drawingml/2006/main">
                        <a:graphicData uri="http://schemas.microsoft.com/office/word/2010/wordprocessingShape">
                          <wps:wsp>
                            <wps:cNvSpPr txBox="1"/>
                            <wps:spPr>
                              <a:xfrm>
                                <a:off x="0" y="0"/>
                                <a:ext cx="4020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85"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72135" cy="175260"/>
                      <wp:effectExtent l="0" t="0" r="0" b="0"/>
                      <wp:wrapNone/>
                      <wp:docPr id="186" name="Frame18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87"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91185" cy="175260"/>
                      <wp:effectExtent l="0" t="0" r="0" b="0"/>
                      <wp:wrapNone/>
                      <wp:docPr id="188" name="Frame1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89"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00710" cy="175260"/>
                      <wp:effectExtent l="0" t="0" r="0" b="0"/>
                      <wp:wrapNone/>
                      <wp:docPr id="190" name="Frame18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347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91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center"/>
              <w:rPr/>
            </w:pPr>
            <w:r>
              <w:rPr/>
              <w:t>​</w:t>
            </w:r>
          </w:p>
        </w:tc>
        <w:tc>
          <w:tcPr>
            <w:tcW w:w="3470"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Summary Consolidated Cash Flow Data</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r>
      <w:tr>
        <w:trPr/>
        <w:tc>
          <w:tcPr>
            <w:tcW w:w="6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09"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(333,907)</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(848,520)</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(386,932)</w:t>
            </w:r>
          </w:p>
        </w:tc>
      </w:tr>
      <w:tr>
        <w:trPr/>
        <w:tc>
          <w:tcPr>
            <w:tcW w:w="6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277,559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(579,440)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(197,985)</w:t>
            </w:r>
          </w:p>
        </w:tc>
      </w:tr>
      <w:tr>
        <w:trPr/>
        <w:tc>
          <w:tcPr>
            <w:tcW w:w="6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09"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128,453</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1,459,527</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284,708</w:t>
            </w:r>
          </w:p>
        </w:tc>
      </w:tr>
      <w:tr>
        <w:trPr/>
        <w:tc>
          <w:tcPr>
            <w:tcW w:w="6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109" w:type="dxa"/>
            <w:tcBorders/>
            <w:shd w:fill="CCEEFF" w:val="clear"/>
            <w:vAlign w:val="center"/>
          </w:tcPr>
          <w:p>
            <w:pPr>
              <w:pStyle w:val="TableContents"/>
              <w:bidi w:val="0"/>
              <w:spacing w:lineRule="auto" w:line="307" w:before="0" w:after="160"/>
              <w:ind w:left="0" w:right="0" w:hanging="0"/>
              <w:jc w:val="left"/>
              <w:rPr>
                <w:color w:val="231F20"/>
              </w:rPr>
            </w:pPr>
            <w:r>
              <w:rPr>
                <w:color w:val="231F20"/>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(6,765)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26,235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(12,189)</w:t>
            </w:r>
          </w:p>
        </w:tc>
      </w:tr>
      <w:tr>
        <w:trPr/>
        <w:tc>
          <w:tcPr>
            <w:tcW w:w="6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109"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65,340</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57,802</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(312,398)</w:t>
            </w:r>
          </w:p>
        </w:tc>
      </w:tr>
      <w:tr>
        <w:trPr/>
        <w:tc>
          <w:tcPr>
            <w:tcW w:w="6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the beginning of the year</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484,937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427,135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739,533</w:t>
            </w:r>
          </w:p>
        </w:tc>
      </w:tr>
      <w:tr>
        <w:trPr/>
        <w:tc>
          <w:tcPr>
            <w:tcW w:w="6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the end of the year</w:t>
            </w:r>
          </w:p>
        </w:tc>
        <w:tc>
          <w:tcPr>
            <w:tcW w:w="109" w:type="dxa"/>
            <w:tcBorders/>
            <w:vAlign w:val="center"/>
          </w:tcPr>
          <w:p>
            <w:pPr>
              <w:pStyle w:val="TableContents"/>
              <w:bidi w:val="0"/>
              <w:spacing w:lineRule="auto" w:line="307" w:before="0" w:after="160"/>
              <w:ind w:left="0" w:right="0" w:hanging="0"/>
              <w:jc w:val="left"/>
              <w:rPr>
                <w:color w:val="231F20"/>
              </w:rPr>
            </w:pPr>
            <w:r>
              <w:rPr>
                <w:color w:val="231F20"/>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550,277</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484,937</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427,135</w:t>
            </w:r>
          </w:p>
        </w:tc>
      </w:tr>
    </w:tbl>
    <w:p>
      <w:pPr>
        <w:pStyle w:val="TextBody"/>
        <w:bidi w:val="0"/>
        <w:spacing w:lineRule="auto" w:line="307" w:before="0" w:after="160"/>
        <w:ind w:left="0" w:right="0" w:hanging="0"/>
        <w:jc w:val="both"/>
        <w:rPr/>
      </w:pPr>
      <w:r>
        <w:rPr/>
        <w:t>​</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To date, we have financed our operating and investing activities primarily through cash generated by bank loans and equity and debt financing activities and capital contributions from our shareholders, including through the issuance of redeemable convertible preferred shares, exchangeable notes, convertible notes and related party borrowings. We had cash, cash equivalents and restricted cash of US$550.3 million, US$484.9 million and US$427.1 million as of December 31, 2025, 2024 and 2023, respectively. Cash, cash equivalents and restricted cash from continuing operations comprise cash at bank and on hand, time deposits and highly-liquid investments placed with banks or other financial institutions, and deposits made to banks to secure bank acceptance notes, deposits for short-term and long-term borrowings, and deposits for certain long-term leases.</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On December 23, 2025, we entered into a share subscription agreement with ECARX Holdings Inc., or ECARX, pursuant to which ECARX agreed to subscribe for and purchase from us, through a private placement, a total of 16,788,321 our newly issued ordinary shares at a price of US$1.37 per ordinary share, for a total purchase price of US$23 million.</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On August 19, 2025, we entered into a securities purchase agreement with an institutional investor, pursuant to which we agreed to issue and sell convertible notes for up to an aggregate principal amount of US$300.0 million. Pursuant to this agreement, we issued a note in the original principal amount of US$10.0 million on August 19, 2025, and up to US$290.0 million in aggregate principal amount of additional convertible notes may be issued upon satisfaction of certain conditions. Each note bears interest at a rate of the SOFR plus 6.75% per annum. If certain equity conditions are satisfied, we are entitled to settle a portion of interest, i.e. 4.25% per annum, either in cash or in ADSs. Interest is payable in arrears on the first calendar day of each calendar quarter, beginning October 1, 2025. Unless earlier converted or redeemed, the notes will mature on the two-year anniversary of their respective issuance dates, subject to extension at the option of the holders in certain circumstances. Each holder of notes may convert all, or any part, of the outstanding principal of the notes, together with accrued and unpaid interest, and any late charges thereon, at any time, at such holder’s option, into Ordinary Shares represented by ADSs at a conversion price that is initially set at US$2.19 per ADS or Ordinary Share, subject to adjustment including for anti-dilution events and proportional adjustment upon the occurrence of any share split or subdivision, share dividend, share consolidation or combination and/or similar transactions, recapitalization or similar event. No note may be converted to the extent that such conversion or exercise would cause the then holder of such note to become the beneficial owner of more than 9.99% after giving effect to such conversion or exercise.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On July 28, 2025, we entered into a master credit facility framework agreement with Geely Holding, pursuant to which Geely Holding agrees to provide (including through its affiliates) us and our affiliates with a non-revolving credit facility of up to RMB1.6 billion, or the Geely Facility. The Geely Facility can be drawn by our affiliates in China from Geely Holding and its affiliates in China, which facility is referred to as the “Domestic Facility,” in RMB at a fixed interest rate of 6.0% per annum. Alternatively, we and our overseas affiliates can borrow from Geely Holding’s overseas affiliates in U.S. dollars at a floating interest rate of the SOFR plus 3.55% per annum. The term of the master credit facility framework agreement commenced on July 28, 2025 and will continue until all loans disbursable under the Geely Facility are disbursed and repaid in full. The relevant parties will enter into a separate agreement for each loan to be disbursed under the Geely Facility and each such loan will have a term of no more than 364 days from the relevant drawdown date. We and our affiliates’ obligations under the Domestic Facility will be secured by a pledge over certain of our or our affiliates’ intellectual property rights. In the event of default, Geely Holding is entitled to require us to grant a right to an affiliate of Geely Holding to subscribe for our shares at market price covering the then outstanding loan amount, where the entirety of the proceeds received by us should be used to repay the outstanding loans. Drawdown under this master facility totaled RMB1.58 billion as of December 31, 2025.</w:t>
      </w:r>
    </w:p>
    <w:p>
      <w:pPr>
        <w:pStyle w:val="TextBody"/>
        <w:bidi w:val="0"/>
        <w:spacing w:lineRule="auto" w:line="240" w:before="0" w:after="160"/>
        <w:ind w:left="0" w:right="0" w:firstLine="720"/>
        <w:jc w:val="both"/>
        <w:rPr>
          <w:rFonts w:ascii="Times New Roman;Times;serif" w:hAnsi="Times New Roman;Times;serif"/>
          <w:sz w:val="20"/>
        </w:rPr>
      </w:pPr>
      <w:r>
        <w:rPr>
          <w:rFonts w:ascii="Times New Roman;Times;serif" w:hAnsi="Times New Roman;Times;serif"/>
          <w:sz w:val="20"/>
        </w:rPr>
        <w:t>On June 20, 2025, we entered into the Geely 2</w:t>
      </w:r>
      <w:r>
        <w:rPr>
          <w:rFonts w:ascii="Times New Roman;Times;serif" w:hAnsi="Times New Roman;Times;serif"/>
          <w:sz w:val="15"/>
        </w:rPr>
        <w:t>nd</w:t>
      </w:r>
      <w:r>
        <w:rPr>
          <w:rFonts w:ascii="Times New Roman;Times;serif" w:hAnsi="Times New Roman;Times;serif"/>
          <w:sz w:val="20"/>
        </w:rPr>
        <w:t xml:space="preserve"> 2025 CB Purchase Agreement with Geely HK and issued to Geely HK the Geely 2</w:t>
      </w:r>
      <w:r>
        <w:rPr>
          <w:rFonts w:ascii="Times New Roman;Times;serif" w:hAnsi="Times New Roman;Times;serif"/>
          <w:sz w:val="15"/>
        </w:rPr>
        <w:t>nd</w:t>
      </w:r>
      <w:r>
        <w:rPr>
          <w:rFonts w:ascii="Times New Roman;Times;serif" w:hAnsi="Times New Roman;Times;serif"/>
          <w:sz w:val="20"/>
        </w:rPr>
        <w:t xml:space="preserve"> 2025 CB in the aggregate principal amount of US$119.3 million through a private placement. The note will mature on June 18, 2026 and bears an interest rate per annum equal to the SOFR on the issue date plus 3.35%, payable on the maturity date. Subject to the terms thereof, the note may be convertible into Ordinary Shares or ADSs at the option of Geely HK starting from the 30th trading day after the issue date. The conversion price equals the volume-weighted average of the last reported sale price of the ADSs over the 10 consecutive trading days immediately preceding the conversion date. Unless otherwise agreed upon by Geely HK, the note ranks senior to all other present and future unsecured and unsubordinated indebtedness of ours and our subsidiaries, subject to the requirements of applicable laws.</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On February 28, 2025, we entered into the Geely 2025 CB Purchase Agreement with Geely HK, pursuant to which Geely HK has purchased from us the Geely 2025 CBs, in an aggregate principal amount equal to the US$70,000,000 through a private placement. The Geely 2025 CBs will mature on April 28, 2027 and bears an interest rate per annum equal to the SOFR on the issue date plus 3.35%, payable on the maturity date. Subject to the terms of the notes, the notes may be convertible into Ordinary Shares at the option of Geely HK starting from the 30th trading days after the applicable issue date. The initial conversion price is equal to the volume-weighted average of the last reported sale price of the ADSs over the 10 consecutive trading days immediately preceding the applicable conversion date. In connection with the transaction, 50% equity interests of one of our subsidiaries will be pledged to Geely HK.</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2025, we borrowed loans due within one year or less with total principal amounts of US$720.2 million from related parties, bearing an interest rate of between 3.45% to 7.91% per annum. For the outstanding loan principal and interest as of December 31, 2025, a total of US$178.4 million of such loans was secured by 45% equity interests held by Ningbo Lotus Robotics Co., Ltd. in Ningbo Lotus Robotics Co., Ltd, a total of US$374.5 was secured by our intellectual property with carrying amount of nil as the research and development costs were expensed historically, and US$231.3 million was a stock-settled debt as we granted a right to an affiliate of Geely Holding to subscribe for our shares at market price covering the then outstanding loan amount in the event of default, out of which US$79.7 was further secured by our intellectual property with carrying amount of nil.</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2025, we borrowed loans due within one year or less with aggregated principal amounts of US$587.8 million from banks in Chinese mainland, bearing an interest rate of one-year loan prime rate published by China Foreign Exchange Trade System (“LPR”) at the date of utilization plus 0.40% to 0.75% per annum. We borrowed a two-year long-term loan with aggregated principal amounts of US$98.2 million, bearing an interest rate of 2.4% per annum from a bank in Chinese mainland, which was pledged with a long-term restricted cash of US$99.0 million.</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On November 7, 2024, we entered into the Bond Subscription Agreement with Kershaw Health Limited, the Subscriber, pursuant to which the Subscriber agrees to subscribe for and purchase, and we agree to issue and sell to the Subscriber, a senior bond due 2029, or the 2029 Bond, with the principal amount of US$500,000,000, at a subscription price of 100% of the principal amount of the Bond. As of the date of this annual report, the transaction has not been closed yet.</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In September 2024, LTIL entered into a share sale and transfer agreement with Geely UK Limited, pursuant to which LTIL sold 80% equity in LTIC for an aggregate principal amount of EUR 10,880,000. Immediately upon completion of the transaction, Geely UK Limited beneficially owned 80% of the LTIC’s share capital.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September 29, 2024, our subsidiary, Hangzhou Kingway Technology Co., Ltd., or Kingway, entered into an exchangeable note agreement with an investor. Pursuant to the agreement, Kingway is entitled to issue exchangeable note, or the Kingway Exchangeable Notes, of RMB600,000,000 to obtain financing from the investor. The repayments of the Kingway Exchangeable Notes were guaranteed by the ultimate shareholders of Kingway in mainland China, i.e., Wuhan Lotus Technology Co., Ltd., a wholly-owned subsidiary of ours. Each tranche of Kingway Exchangeable Notes is scheduled to mature on the five-year anniversary date of issuance and bears a simple interest rate of the one-year loan prime rate. In September 2024, Kingway issued the first tranche of exchangeable notes with the principal amount of US$28.5 million to the investor.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September 16, 2024, we entered into the ELOC Purchase Agreement with Westwood Capital Group LLC, or Westwood, pursuant to which Westwood has committed to purchase, subject to certain conditions, up to US$350,000,000, or the Total Commitment, of ADSs during a commitment period of approximately 36 months. Concurrently with the execution of the Purchase Agreement, the Company entered into a Registration Rights Agreement with Westwood pursuant to which we agreed to file and have filed a registration statement to register the resale by Westwood of ADSs that may be issued to it by us under the ELOC Purchase Agreement. Each issuance by the Company under the ELOC Purchase Agreement is subject to a maximum amount equal to 50% of the average daily trading volume in the ADSs on Nasdaq during the five trading days immediately preceding the day Westwood receives a valid purchase notice and subject to a US$100 million cap. The purchase price of ADSs that we may direct Westwood to purchase will be equal to 97% of the lowest daily volume-weighted average price during the three consecutive trading days beginning on the date that a purchase notice is delivered by us to Westwood. As consideration for Westwood’s irrevocable commitment to purchase ADSs upon the terms of and subject to satisfaction of the conditions set forth in the ELOC Purchase Agreement, we issued 700,000 Ordinary Shares to Westwood on September 19, 2024. As of the date of this annual report, we have sold a total 851,500 ordinary shares to Westwood with a total consideration of US$2.1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June 24, 2024, we entered into the Geely 2024 CB Purchase Agreement with Geely HK, pursuant to which Geely HK purchased from us the Geely 2024 CB in two tranches in an aggregate principal amount equal to the U.S. dollar equivalent of RMB800 million through a private placement. Each note matures on June 22, 2025 and bears an interest rate per annum equal to the SOFR on the issue date plus 3.35%, payable on the maturity date. The convertible notes were fully repaid in June 2025.</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2024, we borrowed loans due within one year or less with total principal amounts of US$198.5 million from subsidiaries of Geely Holding, bearing an interest rate of 6% per annum. These loans are secured by our intellectual property with carrying amount of nil, as the research and development costs were expensed historically.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Business Combination, holders of 20,518,519 LCAA Public Shares exercised their right to redeem their shares for cash at a redemption price of US$10.86 per share, for an aggregate redemption amount of US$222.8 million, representing approximately 94.2 % of the total LCAA Class A Ordinary Shares then outstanding. We raised gross cash proceeds of approximately US$895.7 million in connection with the Business Combination, including US$858.5 million from PIPE investors.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November 2023, we entered into a share subscription agreement with Meritz, pursuant to which we issued 50,000,000 Ordinary Shares to Meritz at an aggregate subscription price equal to $500,000,000. We deposited into a restricted securities account consisting of (i) certain U.S. treasury bonds with an aggregate outstanding principal amount of $325,000,000 and (ii) certain U.S. treasury bonds and/or U.S. treasury bills with a par amount of US$189,612,700. Meritz was granted a put option to sell all or part of its subscribed ordinary shares to us at a price that reflects a 12.5% internal rate of return upon the occurrence of certain triggering events. We were granted call options to purchase up to an agreed number of Meritz’s subscribed ordinary shares from Meritz at a per share price that is not lower than $14.00, subject to satisfaction of certain conditions. On July 31, 2025, Meritz sold and surrendered, and we repurchased, a total of 17,500,000 ADSs for a total consideration of US$201.0 million pursuant to a share buyback agreement and an amended and restated share buyback agreement entered into on November 29, 2024 and March 28, 2025, respectively, each between us and Meritz. On September 5, 2025, Meritz sold and surrendered, and we repurchased, a total of 32,500,000 ADSs for a total consideration of US$387.4 million plus additional depositary fees of US$1.0 million pursuant to a share buyback agreement entered into on August 27, 2025 between us and Meritz. The original share subscription agreement, including all our obligations thereunder, terminated immediately upon the closing of the second buyback on September 5, 2025.</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April 2023, we entered into a convertible note purchase agreement with Momenta Global Limited, pursuant to which we agreed to issue to Momenta Global Limited a convertible note denominated in the U.S. dollars in the principal amount of the U.S. dollar equivalent of RMB 80,000,000 due to mature on May 30, 2024. This note was issued in May 2023 following our acquisition of Momenta’s 40% equity interest in Ningbo Robotics. On November 11, 2023, LTC exercised the voluntary redemption right under the note purchase agreement to redeem 50% of the principal amount of the convertible note. LTC subsequently issued to Momenta Global Limited a new convertible note in the principal amount of US$5,648,281.51 upon surrender of the original convertible note. On February 22, 2024, this note was automatically converted into 577,456 Ordinary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During and subsequent to March 2023, we entered into convertible note purchase agreements with certain investors, pursuant to which we issued unsecured convertible notes in an aggregate principal amount of US$23.5 million, each with the maturity date being the date that is one year following the issue date, which can be extended by the respective investor for an additional six months. On February 22, 2024, these convertible notes were automatically converted into a total of 2,433,912 Ordinary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January 2023, we issued put options to each of Geely HK and Etika at nil consideration. Pursuant to the put option agreements, each of Geely HK and Etika will have an option to require us to purchase the equity interests held by Geely HK and Etika in Lotus Advance Technologies Sdn Bhd, the immediate parent of LGIL, between April 1, 2025 and June 30, 2025, at a pre-agreed price. The exercise price will be settled with Ordinary Shares. As of December 31, 2024, the Put Option Exercise Condition had been satisfied. On April 14, 2025, Geely HK exercised its put option, requiring us to purchase 51% of the equity interests in Lotus Advance Technologies Sdn Bhd. On June 30, 2025, Etika also exercised its put option, requiring us to purchase 49% of the equity interests in Lotus Advance Technologies Sdn Bhd. As a result, we are expected to acquire 100% of the equity interests of Lotus UK through non-cash transactions based on pre-agreed prices. Closing of these put options could be subject to approvals of governmental authorities in various jurisdictions (including, for example, pursuant to anti-trust and foreign investment laws and regulations) and is currently expected to take place in 2026.</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November 2022, the former VIE’s subsidiary, Hangzhou Lightning Speed Technology Co., Ltd., or Lightning Speed, entered into an exchangeable note agreement with an investor. Pursuant to the agreement, Lightning Speed is entitled to issue exchangeable notes to obtain financing from the investor. Each tranche of the exchangeable notes is scheduled to mature on the five-year anniversary date of issuance. With the consent of the investor, each tranche of the exchangeable notes is eligible for two extensions and each extension shall not exceed one year. Subject to further agreement by both parties, the investor is entitled to convert the whole or any portion of the outstanding principal amount of the exchangeable notes into the shares of Lightning Speed at the conversion date. In December 2022, Lightning Speed issued the first tranche of exchangeable notes with the principal amount of RMB500,000,000 to the investor.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June 2022, our subsidiary, Ningbo Robotics, issued a seven-year convertible note to an investor, who is entitled to receive annual interest on June 30 every year until the expiration of the convertible note. This note is convertible into the equity interest of Ningbo Robotics.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November 2021, we entered into one-year convertible notes with an investor, which was converted into redeemable convertible preferred shares in February 2022.</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September 2021, our WFOE entered into an exchangeable note agreement with an investor. Pursuant to the agreement, our WFOE is entitled to issue, from time to time, exchangeable notes to obtain financing from the investor. Each tranche of exchangeable notes is scheduled to mature on the one-year anniversary date of issuance. Also, upon the notification in writing by us, the investor is entitled to convert the whole or any portion of the outstanding principal amount of the exchangeable notes into the shares of the subsequent round of equity financing at the post-money equity valuation based on a fixed monetary amount. In April 2023, we entered into a subscription agreement with the investor, pursuant to which the investor has committed to subscribe for and purchase ordinary shares, which will be settled by the then outstanding principal amount of the exchangeable notes, subject to the satisfaction or waiver of certain customary closing conditions of the respective parties. In connection with the business combination, 36,597,038 ordinary shares were issued to exchangeable notes holder following the settlement of the outstanding principal amount of the exchangeable notes to exchangeable notes holder.</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will require additional liquidity to continue our operations over the next 12 months. We are evaluating strategies to obtain the required additional funding for future operations. These strategies may include, but are not limited to (i) reducing discretionary capital and operating expenses, (ii) obtaining additional loans from banks or related parties and renewing existing loans when they are due, (iii) exploring opportunities for further equity financing, and (iv) restructuring our operations to grow revenues and accelerating pace of collections of receivables. However, given the impact of the uncertainty of global economic and global financial markets, we may be unable to access further debt or equity financing when needed. We cannot assure you that financing will be available in amounts or on terms acceptable to us, if at all. In the event that additional financing is required from third party sources, we may not be able to raise it on acceptable terms or at all. See “Item 3. Key Information—D. Risk Factors—Risks Relating to Our Business and Industry—We have not been profitable and had negative net cash flows from operations. If we do not effectively manage our cash and other liquid financial assets, execute our plan to increase profitability and obtain additional financing, we may not be able to continue as a going concern” and “Item 3. Key Information—D. Risk Factors—Risks Relating to Our Business and Industry—Our business plans require a significant amount of capital. In addition, our future capital needs may require us to obtain additional equity or debt financing that may dilute our shareholders or introduce covenants that may restrict our operations or our ability to pay dividends.”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Part of our revenues have been, and are expected to continue to be, denominated in RMB. Under existing foreign exchange regulations in mainland China,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2025, net cash used in operating activities was US$333.9 million. The difference between our net cash used in operating activities and our net loss of US$130.3 million for the same period from continuing operations was attributable to certain non-cash items, primarily consisting of (i) depreciation of US$54.7 million, (ii) impairment of long-lived assets of US$51.8 million, and (iii) other operating income of US$33.0 million recognized through licensing certain internally developed intellectual property to acquire investment, and certain changes in working capital accounts, primarily consisting of (i) decrease of accounts receivable due from third parities of US$89.4 million, primarily attributable to the decline of overseas deliveries, and (ii) decrease of inventories of US$81.2 million, primarily attributable to the gradual destocking and the improved inventory stock management, as partially offset by decrease of accrued expenses and other current liabilities due to third parties of US$99.4 million primarily attributable to the settlement of purchase of property, equipment, software and services related balances.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net cash used in operating activities was US$848.5 million. The difference between our net cash used in operating activities and our net loss of US$1,107.3 million for the same period from continuing operations was attributable to certain non-cash items, primarily consisting of changes in fair values of liabilities, excluding impact of instrument-specific credit risk of US$285.4 million, depreciation of US$76.5 million, share-based compensation expense of US$31.9 million, warranty expenses of US$21.9 million, and certain changes in working capital accounts, primarily consisting of (i) increase in accounts receivable due from third parties of US$67.3 million and due from related parties of US$88.8 million, primarily attributable to the increase of sales of EV lifestyle models and Lotus-brand sports cars to third-party and related-party distributors and the scale of facilitation services in relation to logistics and order processing, (ii) increase in accounts payable due to related parties of US$76.3 million primarily attributable to the increase in purchase of EV lifestyle models and Lotus-brand sports cars, (iii) increase in accounts payable due to third parties of US$43.7 million primarily attributable to the increase in purchase of spare parts, logistic services and outsourcing manpower fee, (iv) decrease in inventories of US$69.7 million primarily attributable to the destock, (v) decrease in accrued expenses and other current liabilities due to related parties of US$55.9 million primarily attributable to the settlement of outsourced R&amp;D services, and (vi) decrease in prepayments and other current assets due to related parties of US$46.6 million primarily attributable to the settlement of R&amp;D service balances, salary payables and reduction of refundable deposits from customers.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2023, net cash used in operating activities was US$386.9 million. The difference between our net cash used in operating activities and our net loss of US$750.3 million for the same period from continuing operations was attributable to certain non-cash items, primarily consisting of depreciation of US$55.0 million, and certain changes in working capital accounts, primarily consisting of (i) increase in accounts payable due to related parties of US$335.3 million primarily attributable to the increase in purchase of EV lifestyle models and Lotus-brand sports cars, (ii) increase in inventories of US$235.1 million primarily attributable to the increase of vehicles available for sale and time required for international shipment and clearance for vehicles to be sold globally, (iii) increase in accrued expenses and other current liabilities due to third parties of US$124.1 million primarily attributable to the increased salary payables and refundable deposits from customers, (iv) increase in accrued expenses and other current liabilities due to related parties of US$89.9 million primarily attributable to the acquisition of the distribution right and the increase of outsourced R&amp;D services, (v) increase in other non-current liabilities due to third parties of US$81.7 million primarily attributable to the conditional and refundable government grants received, and (vi) increase in accounts receivable due from third parties of US$75.3 million primarily attributable to the increase of sales of EV lifestyle models and Lotus-brand sports cars to third-party distributors.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2025, net cash provided by investing activities was US$277.6 million, which was mainly attributable to proceeds from sales of securities pledged to Meritz of US$326.9 million, as partially offset by (i) payments for purchases of property, equipment and software and intangible assets of US$79.4 million, and (ii) payment for loans to related parties of US$60.7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net cash used in investing activities was US$579.4 million, which was mainly attributable to (i) payment for purchase for securities pledged to Meritz of US$500.0 million, and proceeds from sales of securities pledged to Meritz and its interest of US$189.6 million, pursuant to the arrangement of Meritz Investment (ii) payment for loans to related parties of US$262.2 million, (iii) payments for purchases of property, equipment and software and intangible assets of US$57.3 million, (iv) payments for purchases of short-term investments of US$48.2 million, (v) proceeds from sales of short-term investments of US$48.3 million, and (vi) receipts of government grants related to assets of US$28.1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2023, net cash used in investing activities was US$198.0 million, which was mainly attributable to (i) payments for purchases of property, equipment and software and intangible assets of US$213.7 million, (ii) payments for purchases of short-term investments of US$38.3 million, (iii) proceeds from sales of short-term investments of US$37.4 million, and (iv) receipts of government grants related to assets of US$16.3 million.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2025, net cash provided by financing activities was US$128.5 million, which was mainly attributable to (i) proceeds from borrowings of US$1,404.8 million, (ii) proceeds from issuance of convertible notes of US$199.3 million, as partially offset by (i) repayments of borrowings of US$889.5 million, (ii) payments of settlement of Meritz of US$512.9 million, (iii) repayments to convertible notes holders of US$119.3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net cash provided by financing activities was US$1,459.5 million, which was mainly attributable to (i) proceeds from issuance of ordinary shares to PIPE investors and LCAA in conjunction with the Business Combination, net of transaction costs of US$824.2 million, (ii) proceeds from short-term borrowings of US$1,033.0 million, (iii) proceeds from issuance of ordinary shares to exchangeable notes holders of US$361.3 million, (iv) proceeds from issuance of convertible notes to Geely HK of US$119.3 million, (v) proceeds from issuance of exchangeable notes to certain investor of US$28.5 million, (vi) payment of redemption of exchangeable notes to notes holder of US$366.0 million, (vii) repayments for short-term borrowings of US$ 460.9 million, and (viii) payments of cash collateral to Meritz of US$76.5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2023, net cash provided by financing activities was US$284.7 million, which was mainly attributable to (i) proceeds from issuance of exchangeable notes of US$27.9 million, (ii) proceeds from settlement of receivable from shareholders of US$26.1 million, (iii) proceeds from issuance of convertible notes of US$25.3 million, (iv) repayment of mandatorily redeemable noncontrolling interest of US$11.6 million, (v) receipts of refundable deposits in connection with the PIPE investments of US$10.0 million; and (vi) net proceeds from bank loans of US$208.3 million.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Material cash requirements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Other than the ordinary cash requirements for our operations, our material cash requirements as of December 31, 2025 and any subsequent interim period primarily include the following items:</w:t>
      </w:r>
    </w:p>
    <w:tbl>
      <w:tblPr>
        <w:tblW w:w="10205" w:type="dxa"/>
        <w:jc w:val="left"/>
        <w:tblInd w:w="0" w:type="dxa"/>
        <w:tblLayout w:type="fixed"/>
        <w:tblCellMar>
          <w:top w:w="0" w:type="dxa"/>
          <w:left w:w="0" w:type="dxa"/>
          <w:bottom w:w="0" w:type="dxa"/>
          <w:right w:w="0"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(i)</w:t>
            </w:r>
          </w:p>
        </w:tc>
        <w:tc>
          <w:tcPr>
            <w:tcW w:w="984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Our capital expenditures are primarily incurred for purchase of property, equipment and software and intangible assets. Our total capital expenditures were US$79.4 million, US$57.3 million and US$213.7 million for the years ended December 31, 2025, 2024 and 2023, respectively. We will continue to make capital expenditures to meet the needs of our business operations. As of December 31, 2025, our capital expenditure commitment was US$16.3 million.</w:t>
            </w:r>
          </w:p>
        </w:tc>
      </w:tr>
    </w:tbl>
    <w:tbl>
      <w:tblPr>
        <w:tblW w:w="10205" w:type="dxa"/>
        <w:jc w:val="left"/>
        <w:tblInd w:w="0" w:type="dxa"/>
        <w:tblLayout w:type="fixed"/>
        <w:tblCellMar>
          <w:top w:w="0" w:type="dxa"/>
          <w:left w:w="0" w:type="dxa"/>
          <w:bottom w:w="0" w:type="dxa"/>
          <w:right w:w="0"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(ii)</w:t>
            </w:r>
          </w:p>
        </w:tc>
        <w:tc>
          <w:tcPr>
            <w:tcW w:w="9774"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Our purchase commitment primarily consists of future minimum purchase commitment related to the purchase of EV lifestyle models, Lotus-brand sports cars and research and development services and other operating expenses. As of December 31, 2025, our purchase commitment was US$137.3 million.</w:t>
            </w:r>
          </w:p>
        </w:tc>
      </w:tr>
    </w:tbl>
    <w:tbl>
      <w:tblPr>
        <w:tblW w:w="10205" w:type="dxa"/>
        <w:jc w:val="left"/>
        <w:tblInd w:w="0" w:type="dxa"/>
        <w:tblLayout w:type="fixed"/>
        <w:tblCellMar>
          <w:top w:w="0" w:type="dxa"/>
          <w:left w:w="0" w:type="dxa"/>
          <w:bottom w:w="0" w:type="dxa"/>
          <w:right w:w="0" w:type="dxa"/>
        </w:tblCellMar>
      </w:tblPr>
      <w:tblGrid>
        <w:gridCol w:w="124"/>
        <w:gridCol w:w="383"/>
        <w:gridCol w:w="9698"/>
      </w:tblGrid>
      <w:tr>
        <w:trPr/>
        <w:tc>
          <w:tcPr>
            <w:tcW w:w="1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(iii)</w:t>
            </w:r>
          </w:p>
        </w:tc>
        <w:tc>
          <w:tcPr>
            <w:tcW w:w="9698"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Our repurchase commitment primarily consists of dealers’ wholesale floor-plan financing of vehicles. As of December 31, 2025, our total repurchase obligations were US$90.2 million.</w:t>
            </w:r>
          </w:p>
        </w:tc>
      </w:tr>
    </w:tbl>
    <w:tbl>
      <w:tblPr>
        <w:tblW w:w="10205" w:type="dxa"/>
        <w:jc w:val="left"/>
        <w:tblInd w:w="0" w:type="dxa"/>
        <w:tblLayout w:type="fixed"/>
        <w:tblCellMar>
          <w:top w:w="0" w:type="dxa"/>
          <w:left w:w="0" w:type="dxa"/>
          <w:bottom w:w="0" w:type="dxa"/>
          <w:right w:w="0" w:type="dxa"/>
        </w:tblCellMar>
      </w:tblPr>
      <w:tblGrid>
        <w:gridCol w:w="124"/>
        <w:gridCol w:w="355"/>
        <w:gridCol w:w="9726"/>
      </w:tblGrid>
      <w:tr>
        <w:trPr/>
        <w:tc>
          <w:tcPr>
            <w:tcW w:w="12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(iv)</w:t>
            </w:r>
          </w:p>
        </w:tc>
        <w:tc>
          <w:tcPr>
            <w:tcW w:w="9726"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Our operating lease obligation primarily consists of non-cancellable operating lease agreements for certain offices, warehouses, retail and service locations, equipment and vehicles worldwide. As of December 31, 2025, our operating lease obligation was US$88.3 million.</w:t>
            </w:r>
          </w:p>
        </w:tc>
      </w:tr>
    </w:tbl>
    <w:tbl>
      <w:tblPr>
        <w:tblW w:w="7821" w:type="dxa"/>
        <w:jc w:val="left"/>
        <w:tblInd w:w="0" w:type="dxa"/>
        <w:tblLayout w:type="fixed"/>
        <w:tblCellMar>
          <w:top w:w="0" w:type="dxa"/>
          <w:left w:w="0" w:type="dxa"/>
          <w:bottom w:w="0" w:type="dxa"/>
          <w:right w:w="0" w:type="dxa"/>
        </w:tblCellMar>
      </w:tblPr>
      <w:tblGrid>
        <w:gridCol w:w="124"/>
        <w:gridCol w:w="331"/>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(v)</w:t>
            </w:r>
          </w:p>
        </w:tc>
        <w:tc>
          <w:tcPr>
            <w:tcW w:w="7366"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As of December 31, 2025, the outstanding balance of borrowing was US$1,362.0 million.</w:t>
            </w:r>
          </w:p>
        </w:tc>
      </w:tr>
    </w:tbl>
    <w:tbl>
      <w:tblPr>
        <w:tblW w:w="7386" w:type="dxa"/>
        <w:jc w:val="left"/>
        <w:tblInd w:w="0" w:type="dxa"/>
        <w:tblLayout w:type="fixed"/>
        <w:tblCellMar>
          <w:top w:w="0" w:type="dxa"/>
          <w:left w:w="0" w:type="dxa"/>
          <w:bottom w:w="0" w:type="dxa"/>
          <w:right w:w="0" w:type="dxa"/>
        </w:tblCellMar>
      </w:tblPr>
      <w:tblGrid>
        <w:gridCol w:w="124"/>
        <w:gridCol w:w="391"/>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(vi)</w:t>
            </w:r>
          </w:p>
        </w:tc>
        <w:tc>
          <w:tcPr>
            <w:tcW w:w="687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The following table sets forth our contractual obligations as of December 31, 2025.</w:t>
            </w:r>
          </w:p>
        </w:tc>
      </w:tr>
    </w:tbl>
    <w:tbl>
      <w:tblPr>
        <w:tblW w:w="6682" w:type="dxa"/>
        <w:jc w:val="left"/>
        <w:tblInd w:w="0" w:type="dxa"/>
        <w:tblLayout w:type="fixed"/>
        <w:tblCellMar>
          <w:top w:w="0" w:type="dxa"/>
          <w:left w:w="0" w:type="dxa"/>
          <w:bottom w:w="0" w:type="dxa"/>
          <w:right w:w="0" w:type="dxa"/>
        </w:tblCellMar>
      </w:tblPr>
      <w:tblGrid>
        <w:gridCol w:w="2806"/>
        <w:gridCol w:w="346"/>
        <w:gridCol w:w="931"/>
        <w:gridCol w:w="346"/>
        <w:gridCol w:w="946"/>
        <w:gridCol w:w="346"/>
        <w:gridCol w:w="961"/>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81810" cy="175260"/>
                      <wp:effectExtent l="0" t="0" r="0" b="0"/>
                      <wp:wrapNone/>
                      <wp:docPr id="191" name="Frame186"/>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2"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91185" cy="175260"/>
                      <wp:effectExtent l="0" t="0" r="0" b="0"/>
                      <wp:wrapNone/>
                      <wp:docPr id="193" name="Frame1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4"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00710" cy="175260"/>
                      <wp:effectExtent l="0" t="0" r="0" b="0"/>
                      <wp:wrapNone/>
                      <wp:docPr id="195" name="Frame19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6"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10235" cy="175260"/>
                      <wp:effectExtent l="0" t="0" r="0" b="0"/>
                      <wp:wrapNone/>
                      <wp:docPr id="197" name="Frame19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25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Within One</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lineRule="auto" w:line="307" w:before="0" w:after="16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One Year</w:t>
            </w:r>
          </w:p>
        </w:tc>
      </w:tr>
      <w:tr>
        <w:trPr/>
        <w:tc>
          <w:tcPr>
            <w:tcW w:w="668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530"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2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Capital expenditure commitment</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16,308</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15,071</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9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1,237</w:t>
            </w:r>
          </w:p>
        </w:tc>
      </w:tr>
      <w:tr>
        <w:trPr/>
        <w:tc>
          <w:tcPr>
            <w:tcW w:w="28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commitment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137,265</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137,245</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Repurchase commitment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90,183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90,183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shd w:fill="CCEEFF" w:val="clear"/>
            <w:vAlign w:val="center"/>
          </w:tcPr>
          <w:p>
            <w:pPr>
              <w:pStyle w:val="TableContents"/>
              <w:bidi w:val="0"/>
              <w:spacing w:lineRule="auto" w:line="307" w:before="0" w:after="1"/>
              <w:ind w:left="0" w:right="0" w:hanging="0"/>
              <w:jc w:val="right"/>
              <w:rPr/>
            </w:pPr>
            <w:r>
              <w:rPr/>
              <w:t>—</w:t>
            </w:r>
          </w:p>
        </w:tc>
      </w:tr>
      <w:tr>
        <w:trPr/>
        <w:tc>
          <w:tcPr>
            <w:tcW w:w="28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obligation</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88,273</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15,876</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72,397</w:t>
            </w:r>
          </w:p>
        </w:tc>
      </w:tr>
      <w:tr>
        <w:trPr/>
        <w:tc>
          <w:tcPr>
            <w:tcW w:w="28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Borrowing</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1,361,961</w:t>
            </w:r>
          </w:p>
        </w:tc>
        <w:tc>
          <w:tcPr>
            <w:tcW w:w="346" w:type="dxa"/>
            <w:tcBorders/>
            <w:shd w:fill="CCEEFF" w:val="clear"/>
            <w:vAlign w:val="center"/>
          </w:tcPr>
          <w:p>
            <w:pPr>
              <w:pStyle w:val="TableContents"/>
              <w:bidi w:val="0"/>
              <w:spacing w:lineRule="auto" w:line="307" w:before="0" w:after="1"/>
              <w:ind w:left="0" w:right="0" w:hanging="0"/>
              <w:jc w:val="left"/>
              <w:rPr>
                <w:color w:val="231F20"/>
              </w:rPr>
            </w:pPr>
            <w:r>
              <w:rPr>
                <w:color w:val="231F20"/>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1,263,707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98,254</w:t>
            </w:r>
          </w:p>
        </w:tc>
      </w:tr>
      <w:tr>
        <w:trPr/>
        <w:tc>
          <w:tcPr>
            <w:tcW w:w="280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1,693,990</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1,522,082</w:t>
            </w:r>
          </w:p>
        </w:tc>
        <w:tc>
          <w:tcPr>
            <w:tcW w:w="346" w:type="dxa"/>
            <w:tcBorders/>
            <w:vAlign w:val="center"/>
          </w:tcPr>
          <w:p>
            <w:pPr>
              <w:pStyle w:val="TableContents"/>
              <w:bidi w:val="0"/>
              <w:spacing w:lineRule="auto" w:line="307"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171,908</w:t>
            </w:r>
          </w:p>
        </w:tc>
      </w:tr>
    </w:tbl>
    <w:p>
      <w:pPr>
        <w:pStyle w:val="TextBody"/>
        <w:bidi w:val="0"/>
        <w:spacing w:lineRule="auto" w:line="307" w:before="0" w:after="160"/>
        <w:ind w:left="0" w:right="0" w:hanging="0"/>
        <w:jc w:val="left"/>
        <w:rPr/>
      </w:pPr>
      <w:r>
        <w:rPr/>
        <w:t>​</w:t>
      </w:r>
    </w:p>
    <w:p>
      <w:pPr>
        <w:pStyle w:val="TextBody"/>
        <w:bidi w:val="0"/>
        <w:spacing w:lineRule="auto" w:line="240" w:before="0" w:after="220"/>
        <w:ind w:left="0" w:right="0" w:firstLine="720"/>
        <w:jc w:val="both"/>
        <w:rPr>
          <w:rFonts w:ascii="Times New Roman;Times;serif" w:hAnsi="Times New Roman;Times;serif"/>
          <w:sz w:val="20"/>
        </w:rPr>
      </w:pPr>
      <w:r>
        <w:rPr>
          <w:rFonts w:ascii="Times New Roman;Times;serif" w:hAnsi="Times New Roman;Times;serif"/>
          <w:sz w:val="20"/>
        </w:rPr>
        <w:t>In addition, our convertible notes as of December 31, 2025 consist of (i) a seven-year convertible note issued by one of our subsidiaries, Ningbo Robotics, to an investor, with an aggregate principal amount of RMB500.0 million, bearing an annual interest equal to the outstanding principal multiplied by the latest five-year LPR plus 79.8% per annum, i.e., LPR*(1+79.8%), which will mature in June 2029, (ii) a two-year Geely 2025 CB issued to Geely HK with an aggregate principal amount of US$70.0 million, bearing an interest rate per annum equal to SORF on the issuance date plus 3.35%, which will mature in April 2027, (iii) a one-year Geely 2</w:t>
      </w:r>
      <w:r>
        <w:rPr>
          <w:rFonts w:ascii="Times New Roman;Times;serif" w:hAnsi="Times New Roman;Times;serif"/>
          <w:sz w:val="15"/>
        </w:rPr>
        <w:t>nd</w:t>
      </w:r>
      <w:r>
        <w:rPr>
          <w:rFonts w:ascii="Times New Roman;Times;serif" w:hAnsi="Times New Roman;Times;serif"/>
          <w:sz w:val="20"/>
        </w:rPr>
        <w:t xml:space="preserve"> 2025 CB issued to Geely HK with an aggregate principal amount of US$119.3 million, bearing an interest rate per annum equal to the SOFR on the issuance date plus 3.35%, which will mature in June 2026, and (iv) a two-year ATW 2025 CB issued to an institutional investor affiliated with ATW with an aggregate principal amount of US$10.0 million, bearing an interest rate per annum equal to SORF on the issuance date plus 6.75%, which will mature in August 2027.</w:t>
      </w:r>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Our exchangeable notes as of December 31, 2025 consist of (i) a five-year exchangeable note issued by Lightning Speed, with an aggregate principal amount of RMB500.0 million, bearing a simple interest rate of 110% of LPR, which will mature in December 2027, and (ii) five-year exchangeable notes issued by Kingway, with aggregate principal amounts of RMB400.0 million, bearing a simple interest rate of LPR, out of which RMB200.0 million will mature in September 2029, RMB100.0 million will mature in January 2030, and remaining RMB100.0 million will mature in April 2030.</w:t>
      </w:r>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We intend to fund our existing and future material cash requirements with our existing cash balance and other financing alternatives. We will continue to make cash commitments, including capital expenditures, to support the growth of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Other than as shown above, we did not have any other significant capital and other commitments, long-term obligations, or guarantees as of December 31, 2025.</w:t>
      </w:r>
    </w:p>
    <w:p>
      <w:pPr>
        <w:pStyle w:val="TextBody"/>
        <w:bidi w:val="0"/>
        <w:spacing w:lineRule="auto" w:line="285" w:before="0" w:after="220"/>
        <w:ind w:left="0" w:right="0" w:hanging="0"/>
        <w:jc w:val="left"/>
        <w:rPr>
          <w:rFonts w:ascii="Times New Roman;Times;serif" w:hAnsi="Times New Roman;Times;serif"/>
          <w:b/>
          <w:sz w:val="20"/>
        </w:rPr>
      </w:pPr>
      <w:r>
        <w:rPr>
          <w:rFonts w:ascii="Times New Roman;Times;serif" w:hAnsi="Times New Roman;Times;serif"/>
          <w:b/>
          <w:sz w:val="20"/>
        </w:rPr>
        <w:t>Off-balance Sheets Arrangements</w:t>
      </w:r>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We have entered into repurchase agreements with a lending institution in connection with our dealers’ wholesale floor-plan financing of vehicles. Pursuant to the agreements, in the event that a dealer declares the intention to file for bankruptcy, and a lender is able to repossess the vehicle and deliver the repossessed vehicle to us, we are obligated to repurchase the vehicle from the lender at the unpaid balance of the original invoice price for the vehicle. We did not repurchase any vehicles under the repurchase agreements since the inception of the repurchase agreements, and we believe that, based on historical experience, the likelihood of a material loss pursuant to these repurchase obligations is remote. The total amount financed under the floor financing programs with repurchase obligations was US$90.2 million as of December 31, 2025.</w:t>
      </w:r>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Except for the above, we have not entered into any material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Lotus Technology Inc. is a holding company with no material operations of its own. We conduct our operations through our subsidiaries in China, the U.K., and Netherlands currently. As a result, although other means are available for us to obtain financing at the holding company level, our ability to pay dividends to the shareholders and to service any debt we may incur may depend upon dividends paid by our mainland China subsidiaries.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any of our subsidiaries incurs debt on its own behalf in the future, the instruments governing such debt may restrict its ability to pay dividends to us. In addition, our mainland China subsidiaries are permitted to pay dividends to us only out of their retained earnings, if any, as determined in accordance with PRC accounting standards and regulations. Under the laws of mainland China, each of our mainland China subsidiaries is required to set aside at least 10% of its after-tax profits each year, if any, after making up previous years’ accumulated losses,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The statutory reserve funds and the discretionary funds are not distributable as cash dividends. Remittance of dividends by a wholly foreign-owned company out of China is subject to examination by the banks designated by SAFE. Our PRC subsidiaries will not be able to pay dividends until they generate accumulated profits and meet the requirements for statutory reserve funds.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list of recently issued accounting pronouncements that are relevant to us is included in Note 2 of our consolidated financial statements included elsewhere in this annual report.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Research and Development, Patents and Licenses, etc.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Overview—Intellectual Property” of this annual report.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Trend Information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since January 1, 2025 that are reasonably likely to have a material and adverse effect on our total revenues, income, profitability, liquidity or capital resources, or that would cause the disclosed financial information to be not necessarily indicative of future results of operations or financial conditions.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Critical Accounting Estimates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 accounting estimate is considered critical if it requires an accounting estimate to be made based on assumptions about matters that are uncertain and requires significant judgment at the time such estimate is made, and if different accounting estimates that reasonably could have been used, or changes in the accounting estimates that are reasonably likely to occur periodically, could materially impact the consolidated financial statements.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prepare our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Long-lived assets, including property, equipment and software and operating lease right-of-use assets, are evaluated for impairment whenever events or changes in circumstances indicate that the carrying amount of an asset or asset group may not be recoverable. When such events or circumstances occur, we first compare the carrying amount of the asset or asset group to future undiscounted net cash flows expected to be resulted from the use and eventual disposition of the assets. If the carrying amount of the asset or asset group is not recoverable based on undiscounted cash flows, an impairment is recognized for the excess of the asset or asset group’s carrying value over its fair value. Fair value is determined through various valuation techniques including discounted cash flow models and quoted market values, as considered necessary. Estimation of future cash flows requires management to make assumptions and to apply judgments, including projecting future sales forecast, gross margin ratios and discount rate.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When an impairment loss is recognized, the loss is allocated to the assets of the group on a pro rata basis using the relative carrying amounts of those assets, except that the loss allocated to an individual long-lived asset of the group shall not reduce the carrying amount of that asset below its fair value whenever that fair value is determinable without undue cost and effort.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trademark licenses with indefinite useful lives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Trademark licenses with indefinite useful lives is tested for impairment at least annually and more frequently if events or changes in circumstances indicate that it is more likely than not that the asset is impaired. We unconditionally opted to skip the qualitative assessment and proceed directly to calculate the fair value of the intangible asset and performs a quantitative impairment test by comparing the fair value of the asset with its carrying amount. If the carrying amount of an indefinite-lived intangible asset exceeds its fair value, we recognize an impairment loss in an amount equal to that excess.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determined the estimated fair value of the trademark licenses based upon the relief from royalty method. Under this method, a royalty rate based on observed market royalties is applied to projected revenue supporting the trademark licenses and discounted to present value, using forecasted revenue growth rate projections and a discount rate, respectively, that required significant judgment by management.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Lower of cost and net realizable value of vehicles in inventory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make ongoing estimates relating to the net realizable value of inventories based upon our assumptions about future demand and market conditions. If we estimate the net realizable value of our inventory is less than the cost of the inventory, we record a reserve equal to the difference between the cost of the inventory and the estimated net realizable value. This reserve is recorded as a charge to Cost of sales. If changes in market conditions result in reductions to the estimated net realizable value of our inventory below our previous estimate, we would increase our reserve in the period in which we made such a determination.</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reserve involves uncertainty because the calculations require management to make assumptions and to apply judgment about the expected revenue and incremental costs we will generate for selling current inventory. Such estimates include the evaluation of factors such as product condition, forecasted consumer demand, product lifecycles, regulatory actions, retail and wholesale rebates and the expected sales channel. We also apply judgment in the assumptions about other components of net realizable value, such as selling costs.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bookmarkStart w:id="48" w:name="Item6DirectorsSeniorManagementandEmploye"/>
      <w:bookmarkStart w:id="49" w:name="_bb393fc5_bb7e_42ec_9353_bdfd44774c8b"/>
      <w:bookmarkEnd w:id="48"/>
      <w:bookmarkEnd w:id="49"/>
      <w:r>
        <w:rPr>
          <w:rFonts w:ascii="Times New Roman;Times;serif" w:hAnsi="Times New Roman;Times;serif"/>
          <w:b/>
          <w:i w:val="false"/>
          <w:caps w:val="false"/>
          <w:smallCaps w:val="false"/>
          <w:sz w:val="20"/>
        </w:rPr>
        <w:t>Item 6.</w:t>
      </w:r>
      <w:r>
        <w:rPr>
          <w:rFonts w:ascii="Times New Roman;Times;serif" w:hAnsi="Times New Roman;Times;serif"/>
          <w:b/>
          <w:sz w:val="20"/>
        </w:rPr>
        <w:t>Directors, Senior Management and Employees</w:t>
      </w:r>
    </w:p>
    <w:tbl>
      <w:tblPr>
        <w:tblW w:w="3362" w:type="dxa"/>
        <w:jc w:val="left"/>
        <w:tblInd w:w="0" w:type="dxa"/>
        <w:tblLayout w:type="fixed"/>
        <w:tblCellMar>
          <w:top w:w="0" w:type="dxa"/>
          <w:left w:w="0" w:type="dxa"/>
          <w:bottom w:w="0" w:type="dxa"/>
          <w:right w:w="0" w:type="dxa"/>
        </w:tblCellMar>
      </w:tblPr>
      <w:tblGrid>
        <w:gridCol w:w="301"/>
        <w:gridCol w:w="3061"/>
      </w:tblGrid>
      <w:tr>
        <w:trPr/>
        <w:tc>
          <w:tcPr>
            <w:tcW w:w="30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A.</w:t>
            </w:r>
          </w:p>
        </w:tc>
        <w:tc>
          <w:tcPr>
            <w:tcW w:w="306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Directors and Senior Management</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certain information relating to our executive officers and directors as of the date of this annual report. Our board of directors is comprised of seven directors.</w:t>
      </w:r>
    </w:p>
    <w:tbl>
      <w:tblPr>
        <w:tblW w:w="6695" w:type="dxa"/>
        <w:jc w:val="left"/>
        <w:tblInd w:w="0" w:type="dxa"/>
        <w:tblLayout w:type="fixed"/>
        <w:tblCellMar>
          <w:top w:w="0" w:type="dxa"/>
          <w:left w:w="0" w:type="dxa"/>
          <w:bottom w:w="0" w:type="dxa"/>
          <w:right w:w="0" w:type="dxa"/>
        </w:tblCellMar>
      </w:tblPr>
      <w:tblGrid>
        <w:gridCol w:w="2491"/>
        <w:gridCol w:w="346"/>
        <w:gridCol w:w="391"/>
        <w:gridCol w:w="346"/>
        <w:gridCol w:w="312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581785" cy="29210"/>
                      <wp:effectExtent l="0" t="0" r="0" b="0"/>
                      <wp:wrapNone/>
                      <wp:docPr id="198" name="Frame193"/>
                      <a:graphic xmlns:a="http://schemas.openxmlformats.org/drawingml/2006/main">
                        <a:graphicData uri="http://schemas.microsoft.com/office/word/2010/wordprocessingShape">
                          <wps:wsp>
                            <wps:cNvSpPr txBox="1"/>
                            <wps:spPr>
                              <a:xfrm>
                                <a:off x="0" y="0"/>
                                <a:ext cx="1581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29210"/>
                      <wp:effectExtent l="0" t="0" r="0" b="0"/>
                      <wp:wrapNone/>
                      <wp:docPr id="199" name="Frame19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48285" cy="29210"/>
                      <wp:effectExtent l="0" t="0" r="0" b="0"/>
                      <wp:wrapNone/>
                      <wp:docPr id="200" name="Frame195"/>
                      <a:graphic xmlns:a="http://schemas.openxmlformats.org/drawingml/2006/main">
                        <a:graphicData uri="http://schemas.microsoft.com/office/word/2010/wordprocessingShape">
                          <wps:wsp>
                            <wps:cNvSpPr txBox="1"/>
                            <wps:spPr>
                              <a:xfrm>
                                <a:off x="0" y="0"/>
                                <a:ext cx="248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29210"/>
                      <wp:effectExtent l="0" t="0" r="0" b="0"/>
                      <wp:wrapNone/>
                      <wp:docPr id="201" name="Frame19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981835" cy="29210"/>
                      <wp:effectExtent l="0" t="0" r="0" b="0"/>
                      <wp:wrapNone/>
                      <wp:docPr id="202" name="Frame197"/>
                      <a:graphic xmlns:a="http://schemas.openxmlformats.org/drawingml/2006/main">
                        <a:graphicData uri="http://schemas.microsoft.com/office/word/2010/wordprocessingShape">
                          <wps:wsp>
                            <wps:cNvSpPr txBox="1"/>
                            <wps:spPr>
                              <a:xfrm>
                                <a:off x="0" y="0"/>
                                <a:ext cx="1981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91"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Directors and Executive Officers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31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Position/Title</w:t>
            </w:r>
          </w:p>
        </w:tc>
      </w:tr>
      <w:tr>
        <w:trPr/>
        <w:tc>
          <w:tcPr>
            <w:tcW w:w="2491" w:type="dxa"/>
            <w:tcBorders>
              <w:top w:val="single" w:sz="2" w:space="0" w:color="000000"/>
            </w:tcBorders>
            <w:shd w:fill="CCEEFF" w:val="clear"/>
            <w:tcMar>
              <w:top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Donghui Li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12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249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Qingfeng Feng</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lineRule="auto" w:line="307" w:before="0" w:after="160"/>
              <w:ind w:left="0" w:right="0" w:hanging="0"/>
              <w:jc w:val="left"/>
              <w:rPr/>
            </w:pPr>
            <w:r>
              <w:rPr/>
              <w:t>​</w:t>
            </w:r>
          </w:p>
        </w:tc>
        <w:tc>
          <w:tcPr>
            <w:tcW w:w="31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Director and Chief Executive Officer</w:t>
            </w:r>
          </w:p>
        </w:tc>
      </w:tr>
      <w:tr>
        <w:trPr/>
        <w:tc>
          <w:tcPr>
            <w:tcW w:w="249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James Rowan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w:t>
            </w:r>
          </w:p>
        </w:tc>
      </w:tr>
      <w:tr>
        <w:trPr/>
        <w:tc>
          <w:tcPr>
            <w:tcW w:w="249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Ning Yu</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lineRule="auto" w:line="307" w:before="0" w:after="160"/>
              <w:ind w:left="0" w:right="0" w:hanging="0"/>
              <w:jc w:val="left"/>
              <w:rPr/>
            </w:pPr>
            <w:r>
              <w:rPr/>
              <w:t>​</w:t>
            </w:r>
          </w:p>
        </w:tc>
        <w:tc>
          <w:tcPr>
            <w:tcW w:w="31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Dato’ Sri Amrin Awaluddin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49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Ada Yunfeng Yan</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lineRule="auto" w:line="307" w:before="0" w:after="160"/>
              <w:ind w:left="0" w:right="0" w:hanging="0"/>
              <w:jc w:val="left"/>
              <w:rPr/>
            </w:pPr>
            <w:r>
              <w:rPr/>
              <w:t>​</w:t>
            </w:r>
          </w:p>
        </w:tc>
        <w:tc>
          <w:tcPr>
            <w:tcW w:w="31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Catherine Hongjun Cai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Daxue Wang</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lineRule="auto" w:line="307" w:before="0" w:after="160"/>
              <w:ind w:left="0" w:right="0" w:hanging="0"/>
              <w:jc w:val="left"/>
              <w:rPr/>
            </w:pPr>
            <w:r>
              <w:rPr/>
              <w:t>​</w:t>
            </w:r>
          </w:p>
        </w:tc>
        <w:tc>
          <w:tcPr>
            <w:tcW w:w="31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Daniel Donghui Li</w:t>
      </w:r>
      <w:r>
        <w:rPr>
          <w:rFonts w:ascii="Times New Roman;Times;serif" w:hAnsi="Times New Roman;Times;serif"/>
          <w:sz w:val="20"/>
        </w:rPr>
        <w:t xml:space="preserve"> has served as chairman of our board of directors since November 2021. Mr. Li is currently the Executive Vice Chairman of Geely Holding Group. Mr. Li joined Geely Holding Group in April 2011 as Vice President and Chief Financial Officer. Since November 2011, he has served as a Director on the Board of Geely Holding Group. In April 2012, he was appointed as a Director on the Board of Volvo Cars (VOLCAR B). From May 2011 to April 2014, he served as Executive Director of Geely Automobile Holdings Co., Ltd. (HK.0175). From June 2016 to November 2020, he served as Executive Vice President and Chief Financial Officer of Geely Holding Group. In July 2016, he was appointed the position of Executive Director and Vice Chairman of Geely Automobile Holdings Co., Ltd. (HK.0175). In 2017, he was appointed as a member on the board of Polestar (NASDAQ: PSNY). In November 2020, he was appointed CEO of Geely Holding Group. In June 2022, he was appointed as a member on the board of Polestar Automotive Holding UK PLC (Nasdaq: PSNY). In January 2026, he was appointed Executive Vice Chairman of Geely Holding Group. Mr. Li obtained an MBA degree from the Indiana University Kelley School of Business in 2010. He graduated from the Beijing Institute of Machinery in 1997 with a master’s degree in management engineering (with a focus on financial management). He also obtained a bachelor’s degree in philosophy from China Renmin University in 1991.</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Qingfeng Feng</w:t>
      </w:r>
      <w:r>
        <w:rPr>
          <w:rFonts w:ascii="Times New Roman;Times;serif" w:hAnsi="Times New Roman;Times;serif"/>
          <w:sz w:val="20"/>
        </w:rPr>
        <w:t xml:space="preserve"> has served as our director and chief executive officer since our inception. Since joining Geely Holding Group in 1999, he has worked in sales, manufacturing, supply chain and quality management and R&amp;D, among other areas, holding multiple key positions in Geely Holding, including General Manager of Group Sales Company and Deputy General Manager of Geely Ningbo Company. In 2012, he was appointed as a vice president of Geely Holding Group and a member of the management board. In 2013, he became the Chief Technical Officer of Geely Holding Group, where he was responsible for establishment and management of R&amp;D systems and product strategic planning, and was in charge of Geely’s Market Strategy Centre, Technology Management Department, Geely Automobile Research Institute, and Geely Components and Parts Development Centre. In 2018, he was appointed as the Chief Executive Officer of Lotus Group. Qingfeng Feng graduated from East China University of Science and Technology in 1997 with a bachelor’s degree in Chemical Engineering. He completed an EMBA program at Tsinghua University in 2006.</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 xml:space="preserve">James Rowan </w:t>
      </w:r>
      <w:r>
        <w:rPr>
          <w:rFonts w:ascii="Times New Roman;Times;serif" w:hAnsi="Times New Roman;Times;serif"/>
          <w:sz w:val="20"/>
        </w:rPr>
        <w:t>has served as our director since June 2025. He has over three decades of global experience in auto, consumer and technology sectors, delivering strong growth and profitability through transformation strategies and customer engagement. He served as the chief executive officer and president of Volvo Cars from 2022 to 2025, and was a board member at Polestar and Lynk &amp; Co. Before joining Volvo Cars, James served as the chief executive officer of Dyson, where he was also a board member from 2012 to 2020. Prior to Dyson, he was chief operating officer of BlackBerry. James also served as a board member for Henkel GmbH, and sat on the industrial advisory board of Nanyang Technology University.</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Ning Yu</w:t>
      </w:r>
      <w:r>
        <w:rPr>
          <w:rFonts w:ascii="Times New Roman;Times;serif" w:hAnsi="Times New Roman;Times;serif"/>
          <w:sz w:val="20"/>
        </w:rPr>
        <w:t xml:space="preserve"> has served as our director since July 2022. Mr. Yu has 30 years of working experience in the automotive industry. Mr. Yu currently serves as the managing partner of Hone Capital. Prior to that, Mr. Yu served as the Managing Partner of NIO Capital for five years. Before joining NIO Capital, Mr. Yu had worked at Geely Holding Group as Vice President for five years responsible for Geely’s international business. Prior to Geely, Mr. Yu was the CEO of Fiat Powertrain Technologies in Asia Pacific, a division of the Fiat Group. Prior to that, he held management positions at General Dynamics and Daimler Chrysler in U.S. and was an engineer at Ministry of Machinery of China. Mr. Yu holds a Ph.D in Automotive Engineering from China Agricultural University and a Master Degree in Industrial Engineering from University of Windsor in Canada.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Dato’ Sri Amrin Awaluddin</w:t>
      </w:r>
      <w:r>
        <w:rPr>
          <w:rFonts w:ascii="Times New Roman;Times;serif" w:hAnsi="Times New Roman;Times;serif"/>
          <w:sz w:val="20"/>
        </w:rPr>
        <w:t xml:space="preserve"> has served as our director since May 2025. He has over 30 years of experience in corporate and banking sectors with large caps and institutions including Lembaga Tabung Haji, Boustead Holdings Berhad, Sime Darby Properties Berhad, Media Prima Berhad Group of Companies and so on. He currently serves as the group managing director and chief executive officer of Tradewinds Group (M) Sdn Bhd, board member of Majlis Agama Islam Wilayah Persekutuan, and chairman of Pusat Pungutan Zakat Wilayah Persekutuan.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Ada Yunfeng Yan</w:t>
      </w:r>
      <w:r>
        <w:rPr>
          <w:rFonts w:ascii="Times New Roman;Times;serif" w:hAnsi="Times New Roman;Times;serif"/>
          <w:sz w:val="20"/>
        </w:rPr>
        <w:t xml:space="preserve"> has served as our independent director since February 2024. Ms. Yan started her career at Exxon (as it was then known) in 1994, where she spent thirteen years working in Exxon and ExxonMobil’s affiliate companies in Beijing, Houston, Hong Kong and Shanghai. From 2007 to 2012, Ms. Yan served as the general manager at Delphi Wanyuan Engine Management Systems Co., Ltd. and the CFO of Delphi’s joint venture and R&amp;D companies in Beijing. Ms. Yan joined Shell in 2012, serving as cluster finance manager at Shell China/HK Lubricant Sales and Marketing business, regional finance manager at Shell Lubricant Supply Chain Asia Pacific and Middle East, and the CFO of Tongyi Lubricant Oil Company (a Shell joint venture). Ms. Yan started her sole proprietary business in 2018, providing financial consulting services for manufacturing companies based in California. Ms. Yan has been a member of ACCA since 1999, the Hong Kong Institute of Certified Public Accountant since 2002, a Fellow of FCCA since 2004 and a Fellow of the Hong Kong Institute (FCPA) since 2026. Ms. Yan graduated from China Institute of Finance (currently School of Banking and Finance of University of International Business and Economics) with a bachelor’s degree in international finance in 1992. She received her MBA from the State University of New Jersey, Rutgers in 2001.</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i/>
          <w:sz w:val="20"/>
        </w:rPr>
        <w:t>Catherine Hongjun Cai</w:t>
      </w:r>
      <w:r>
        <w:rPr>
          <w:rFonts w:ascii="Times New Roman;Times;serif" w:hAnsi="Times New Roman;Times;serif"/>
          <w:sz w:val="20"/>
        </w:rPr>
        <w:t xml:space="preserve"> has served as our independent director since April 2025. Ms. Cai has more than three decades of experience in China’s investment banking industry and has held senior positions at international investment banks. She served as the Group Managing Director, Global Executive Vice Chairman, and Chairman of Greater China at UBS from 2018 to 2024. Prior to that, she was the Managing Director, Chairman and Head of China at Citigroup from 2016 to 2018. Ms. Cai also held the position of Managing Director, Chairman and Head of China Investment Banking at Bank of America Merrill Lynch. Ms. Cai obtained her bachelor’s degree in law from Peking University.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Daxue Wang</w:t>
      </w:r>
      <w:r>
        <w:rPr>
          <w:rFonts w:ascii="Times New Roman;Times;serif" w:hAnsi="Times New Roman;Times;serif"/>
          <w:sz w:val="20"/>
        </w:rPr>
        <w:t xml:space="preserve"> has served as our chief financial officer since April 2025. Mr. Wang is a seasoned executive across corporate and prominent financial institutions, most recently serving as CFO of Radar Auto. Prior to that, Mr. Wang held several executive positions in Zhejiang Kangsheng, Huzhou Moshan Asset Management, Morgan Stanley Securities, ICBC Credit Suisse Asset Management and Citi Group. The Board believes that Mr. Wang is highly qualified and a suitable candidate.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Compensation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Compensation of Directors and Executive Officers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2025, we paid RMB12.0 million in cash to our directors and executive officers as a group. We have not set aside or accrued any amount to provide pension, retirement or other similar benefits to our executive officers. Our mainland China subsidiaries are required by law to make contributions equal to certain percentages of each employee’s salary for his or her pension insurance, medical insurance, unemployment insurance, work-related injury insurance and maternity insurance and other statutory benefits, and a housing provident fund.</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Each of the executive officers is party to an employment agreement with the WFOE. Under these agreements, the employment of each of executive officers is for a specified time period, and may be terminated for cause, at any time and without advance notice or compensation, for certain acts of the executive officer, such as violation of company policies, conviction of crime, continued failure to satisfactorily perform agreed duties, or misconduct or dishonest act to our detriment. The employment may also be terminated without cause upon 30-day advance written notice. The executive officer may resign at any time with 30-day advance written notice.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Each executive officer of us has agreed to hold, both during and after the termination or expiry of his or her employment agreement, in strict confidence and not to use, except as required in the performance of his or her duties in connection with the employment or pursuant to applicable law, any confidential information of us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 In addition, each executive officer of us has agreed to be bound by non-competition and non-solicitation restrictions during the term of his or her employment and typically for one year following the last date of employment.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indemnification agreements with each of our directors and executive officers. Under these agreements, we agree to indemnify the directors and executive officers against certain liabilities and expenses incurred by such persons in connection with claims made by reason of their being a director or officer of us.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2022 Share Incentive Plan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September 2022, our shareholders approved and adopted the 2022 Share Incentive Plan, to attract and retain the best available personnel, provide additional incentives to employees, directors and consultants, and promote the success of our business. The maximum aggregate number of ordinary shares that may be issued under the 2022 Share Incentive Plan is 51,550,661 (after giving effect to the recapitalization upon the business combination with LCAA). As of December 31, 2025, a total of awards to purchase 11,707,266 ordinary shares have been granted under the 2022 Share Incentive Plan and outstanding, excluding awards that were forfeited or cancelled after the grant dates and after giving effect to the recapitalization upon the business combination with LCAA.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summarize the principal terms of the 2022 Share Incentive Plan.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Type of Awards</w:t>
      </w:r>
      <w:r>
        <w:rPr>
          <w:rFonts w:ascii="Times New Roman;Times;serif" w:hAnsi="Times New Roman;Times;serif"/>
          <w:sz w:val="20"/>
        </w:rPr>
        <w:t>. The 2022 Share Incentive Plan permits the awards of options.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Mr. Qingfeng Feng will administer the 2022 Share Incentive Plan. The plan administrator will determine the participants to receive awards, the type and number of awards to be granted to each participant, and the terms and conditions of each grant.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Awards granted under the 2022 Share Incentive Plan are evidenced by an award agreement that sets forth the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We may grant awards to employees, directors and consultants.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In general, the plan administrator determines the vesting schedule, which is specified in the award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The plan administrator determines the exercise price for each award, which is stated in the award agreement. Options that are vested and exercisable will terminate if they are not exercised prior to the time as the plan administrator determines at the time of grant. However, the maximum exercisable term is ten years from the date of grant.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Awards may not be transferred in any manner by the participant other than in accordance with the exceptions provided in the 2022 Share Incentive Plan or the award agreement or otherwise determined by the plan administrator.</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i/>
          <w:sz w:val="20"/>
        </w:rPr>
        <w:t>Termination and Amendment of the Plan</w:t>
      </w:r>
      <w:r>
        <w:rPr>
          <w:rFonts w:ascii="Times New Roman;Times;serif" w:hAnsi="Times New Roman;Times;serif"/>
          <w:sz w:val="20"/>
        </w:rPr>
        <w:t>. Unless terminated earlier, the 2022 Share Incentive Plan has a term of ten years from the date of its effectiveness. Our board of directors has the authority to terminate, amend, suspend or modify the 2022 Share Incentive Plan, provided that certain amendments to the plan require the approval of our shareholders. However, unless otherwise determined by the plan administrator in good faith, no such action may adversely affect in any material way any award previously issued pursuant to the 2022 Share Incentive Plan.</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Awards Granted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of February 28, 2026, we have not granted any option to our directors and officers, excluding awards that were forfeited or cancelled after the relevant grant dates.</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Board Practices</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Our board of directors consists of seven directors as of the date of this annual report. The Amended Articles provide that the minimum number of directors shall be three and the exact number of directors shall be determined from time to time by our board of directors.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 director is not required to hold any shares in us by way of qualification. A director who is in any way, whether directly or indirectly, interested in a contract or transaction or proposed contract or transaction with us is required to declare the nature of his or her interest at a board meeting. Subject to Nasdaq listing rules and disqualification by the chairman of the board meeting, a director may vote in respect of any contract or proposed contract or arrangement in which such director may be interested provided that (a) the nature of his/her interest is declared at a meeting of the directors, either specifically or by way of a general notice, and such director’s vote may be counted in the quorum at any meeting of directors at which any such contract or proposed contract or arrangement is considered, and (b) if such contract or arrangement is a transaction with a related party, such transaction has been approved by the audit committee.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directors may exercise all the powers of the company to raise or borrow money, mortgage, or charge its undertaking, property, and assets (present or future), uncalled capital or any part thereof, and to issue debentures, debenture stock, bonds, or other securities, whether outright or as collateral security for any debt, liability, or obligation of our company or of any third party.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No non-employee director has a service contract with us that provides for benefits upon termination of service.</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We have established an audit committee, a compensation committee, and a nominating and corporate governance committee under our board of directors and have adopted a charter for each of the three committees. Each committee’s members and functions are described below.</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audit committee consists of Ms. Ada Yunfeng Yan and Ms. Catherine Hongjun Cai. Ms. Ada Yunfeng Yan is the chairperson of the audit committee. Ms. Ada Yunfeng Yan satisfies the criteria of an audit committee financial expert as set forth under the applicable rules of the SEC. Each of Ms. Ada Yunfeng Yan and Ms. Catherine Cai satisfies the requirements for an “independent director” within the meaning of the Nasdaq listing rules and the criteria for independence set forth in Rule 10A-3 of the Exchange Act.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audit committee oversees our accounting and financial reporting processes.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compensation committee consists of Mr. Daniel Donghui Li, Ms. Ada Yunfeng Yan and Ms. Catherine Hongjun Cai. Mr. Daniel Donghui Li is the chairperson of the compensation committee. Each of Ms. Catherine Hongjun Cai and Mr. Ada Yunfeng Yan satisfies the requirements for an “independent director” within the meaning of the Nasdaq listing rules.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chief executive officer and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incentive compensation or equity plans, programs similar arrangements;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compensation consultant, legal counsel or other adviser only after taking into consideration all factors relevant to that person’s independence from management.</w:t>
            </w:r>
          </w:p>
        </w:tc>
      </w:tr>
    </w:tbl>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Nominating and Corporate Governance Committee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nominating and corporate governance committee consists of Mr. Daniel Donghui Li, Ms. Ada Yunfeng Yan and Ms. Catherine Hongjun Cai. Mr. Daniel Donghui Li is the chairperson of the nominating and corporate governance committee. Each of Ms. Catherine Hongjun Cai and Ms. Ada Yunfeng Yan satisfies the requirements for an “independent director” within the meaning of the Nasdaq listing rules.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nominees for election by the shareholders or appointment by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knowledge, skills, experience and diversity;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on the frequency and structure of board meetings and monitoring the functioning of the committees of the board;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regards to significant developments in the law and practice of corporate governance as well as compliance with applicable laws and regulations, and making recommendations to the board on all matters of corporate governance and on any remedial action to be taken.</w:t>
            </w:r>
          </w:p>
        </w:tc>
      </w:tr>
    </w:tbl>
    <w:p>
      <w:pPr>
        <w:pStyle w:val="TextBody"/>
        <w:bidi w:val="0"/>
        <w:spacing w:lineRule="auto" w:line="285" w:before="0" w:after="22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Under Cayman Islands law, directors owe fiduciary duties to the company, including a duty of loyalty, a duty to act honestly, and a duty to act in what they consider in good faith to be in the company’s best interests. Directors must also exercise their powers only for a proper purpose. Directors also have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We have the right to seek damages if a duty owed by our directors is breached. A shareholder may in certain circumstances have rights to seek damages in the name of the company if a duty owed by our directors is breached.</w:t>
      </w:r>
    </w:p>
    <w:p>
      <w:pPr>
        <w:pStyle w:val="TextBody"/>
        <w:bidi w:val="0"/>
        <w:spacing w:lineRule="auto" w:line="285" w:before="0" w:after="220"/>
        <w:ind w:left="0" w:right="0" w:hanging="0"/>
        <w:jc w:val="left"/>
        <w:rPr>
          <w:rFonts w:ascii="Times New Roman;Times;serif" w:hAnsi="Times New Roman;Times;serif"/>
          <w:b/>
          <w:sz w:val="20"/>
        </w:rPr>
      </w:pPr>
      <w:r>
        <w:rPr>
          <w:rFonts w:ascii="Times New Roman;Times;serif" w:hAnsi="Times New Roman;Times;serif"/>
          <w:b/>
          <w:sz w:val="20"/>
        </w:rPr>
        <w:t>Appointment and Removal of Directors</w:t>
      </w:r>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The Amended Articles provide that all directors may be appointed by ordinary resolution and removed by ordinary resolution, except with regard to the removal of the Chairperson, who may be removed from office by special resolution. The Amended Articles also provide that the directors may, so long as a quorum of directors remains in office, appoint any person to be a director so as to fill a casual vacancy or as an addition to the existing board of director. Our directors do not serve for a fixed term and there is no requirement for them to retire by rotation nor to make themselves eligible for re-election.</w:t>
      </w:r>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The office of a director shall be vacated if, amongst other things, such director (a) becomes prohibited by applicable law from being a Director, (b) becomes bankrupt or makes any arrangement or composition with his or her creditors, (c) dies or is found to be or becomes of unsound mind, (d) resigns his or her office by notice in writing to us, (e) without special leave of absence from the board, is absent from meetings of the board for three consecutive meetings, and the board resolves that his or her office be vacated; or (f) is removed from office pursuant to any other provision of the Amended Articles.</w:t>
      </w:r>
    </w:p>
    <w:p>
      <w:pPr>
        <w:pStyle w:val="TextBody"/>
        <w:bidi w:val="0"/>
        <w:spacing w:lineRule="auto" w:line="285" w:before="0" w:after="220"/>
        <w:ind w:left="0" w:right="0" w:hanging="0"/>
        <w:jc w:val="left"/>
        <w:rPr>
          <w:rFonts w:ascii="Times New Roman;Times;serif" w:hAnsi="Times New Roman;Times;serif"/>
          <w:b/>
          <w:sz w:val="20"/>
        </w:rPr>
      </w:pPr>
      <w:r>
        <w:rPr>
          <w:rFonts w:ascii="Times New Roman;Times;serif" w:hAnsi="Times New Roman;Times;serif"/>
          <w:b/>
          <w:sz w:val="20"/>
        </w:rPr>
        <w:t>Terms of Directors and Executive Officers</w:t>
      </w:r>
    </w:p>
    <w:p>
      <w:pPr>
        <w:pStyle w:val="TextBody"/>
        <w:bidi w:val="0"/>
        <w:spacing w:lineRule="auto" w:line="285" w:before="0" w:after="220"/>
        <w:ind w:left="0" w:right="0" w:firstLine="720"/>
        <w:jc w:val="both"/>
        <w:rPr>
          <w:rFonts w:ascii="Times New Roman;Times;serif" w:hAnsi="Times New Roman;Times;serif"/>
          <w:sz w:val="20"/>
        </w:rPr>
      </w:pPr>
      <w:r>
        <w:rPr>
          <w:rFonts w:ascii="Times New Roman;Times;serif" w:hAnsi="Times New Roman;Times;serif"/>
          <w:sz w:val="20"/>
        </w:rPr>
        <w:t>A director shall hold office until such time as he or she resigns his office by notice in writing to us, is removed from office by ordinary resolution or is otherwise disqualified from acting as a director or removed in accordance with the Amended Articles.</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Employees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2024 and 2025, we had approximately 3,180, 1,996 and 1,132 full-time employees, respectively. The following table sets forth the numbers of our employees categorized by function as of December 31, 2025.</w:t>
      </w:r>
    </w:p>
    <w:tbl>
      <w:tblPr>
        <w:tblW w:w="4262" w:type="dxa"/>
        <w:jc w:val="left"/>
        <w:tblInd w:w="0" w:type="dxa"/>
        <w:tblLayout w:type="fixed"/>
        <w:tblCellMar>
          <w:top w:w="0" w:type="dxa"/>
          <w:left w:w="0" w:type="dxa"/>
          <w:bottom w:w="0" w:type="dxa"/>
          <w:right w:w="0" w:type="dxa"/>
        </w:tblCellMar>
      </w:tblPr>
      <w:tblGrid>
        <w:gridCol w:w="2311"/>
        <w:gridCol w:w="346"/>
        <w:gridCol w:w="710"/>
        <w:gridCol w:w="355"/>
        <w:gridCol w:w="540"/>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67485" cy="175260"/>
                      <wp:effectExtent l="0" t="0" r="0" b="0"/>
                      <wp:wrapNone/>
                      <wp:docPr id="203" name="Frame19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04"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50850" cy="175260"/>
                      <wp:effectExtent l="0" t="0" r="0" b="0"/>
                      <wp:wrapNone/>
                      <wp:docPr id="205" name="Frame200"/>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5425" cy="175260"/>
                      <wp:effectExtent l="0" t="0" r="0" b="0"/>
                      <wp:wrapNone/>
                      <wp:docPr id="206" name="Frame20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42900" cy="175260"/>
                      <wp:effectExtent l="0" t="0" r="0" b="0"/>
                      <wp:wrapNone/>
                      <wp:docPr id="207" name="Frame20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605"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3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605"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10"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55" w:type="dxa"/>
            <w:tcBorders/>
            <w:vAlign w:val="center"/>
          </w:tcPr>
          <w:p>
            <w:pPr>
              <w:pStyle w:val="TableContents"/>
              <w:bidi w:val="0"/>
              <w:spacing w:lineRule="auto" w:line="307" w:before="0" w:after="160"/>
              <w:ind w:left="0" w:right="0" w:hanging="0"/>
              <w:jc w:val="center"/>
              <w:rPr/>
            </w:pPr>
            <w:r>
              <w:rPr/>
              <w:t>​</w:t>
            </w:r>
          </w:p>
        </w:tc>
        <w:tc>
          <w:tcPr>
            <w:tcW w:w="540"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3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Functions: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10" w:type="dxa"/>
            <w:tcBorders/>
            <w:shd w:fill="CCEEFF" w:val="clear"/>
            <w:vAlign w:val="center"/>
          </w:tcPr>
          <w:p>
            <w:pPr>
              <w:pStyle w:val="TableContents"/>
              <w:bidi w:val="0"/>
              <w:spacing w:lineRule="auto" w:line="307" w:before="0" w:after="1"/>
              <w:ind w:left="0" w:right="0" w:hanging="0"/>
              <w:jc w:val="right"/>
              <w:rPr/>
            </w:pPr>
            <w:r>
              <w:rPr/>
              <w:t>  ​</w:t>
            </w:r>
          </w:p>
        </w:tc>
        <w:tc>
          <w:tcPr>
            <w:tcW w:w="355" w:type="dxa"/>
            <w:tcBorders/>
            <w:shd w:fill="CCEEFF" w:val="clear"/>
            <w:vAlign w:val="center"/>
          </w:tcPr>
          <w:p>
            <w:pPr>
              <w:pStyle w:val="TableContents"/>
              <w:bidi w:val="0"/>
              <w:spacing w:lineRule="auto" w:line="307" w:before="0" w:after="1"/>
              <w:ind w:left="0" w:right="0" w:hanging="0"/>
              <w:jc w:val="left"/>
              <w:rPr/>
            </w:pPr>
            <w:r>
              <w:rPr/>
              <w:t>  ​ ​ ​</w:t>
            </w:r>
          </w:p>
        </w:tc>
        <w:tc>
          <w:tcPr>
            <w:tcW w:w="540" w:type="dxa"/>
            <w:tcBorders/>
            <w:shd w:fill="CCEEFF" w:val="clear"/>
            <w:vAlign w:val="center"/>
          </w:tcPr>
          <w:p>
            <w:pPr>
              <w:pStyle w:val="TableContents"/>
              <w:bidi w:val="0"/>
              <w:spacing w:lineRule="auto" w:line="307" w:before="0" w:after="1"/>
              <w:ind w:left="0" w:right="0" w:hanging="0"/>
              <w:jc w:val="right"/>
              <w:rPr/>
            </w:pPr>
            <w:r>
              <w:rPr/>
              <w:t>  ​</w:t>
            </w:r>
          </w:p>
        </w:tc>
      </w:tr>
      <w:tr>
        <w:trPr/>
        <w:tc>
          <w:tcPr>
            <w:tcW w:w="23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307" w:before="0" w:after="1"/>
              <w:ind w:left="0" w:right="0" w:hanging="0"/>
              <w:jc w:val="left"/>
              <w:rPr/>
            </w:pPr>
            <w:r>
              <w:rPr/>
              <w:t> </w:t>
            </w:r>
          </w:p>
        </w:tc>
        <w:tc>
          <w:tcPr>
            <w:tcW w:w="710"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55" w:type="dxa"/>
            <w:tcBorders/>
            <w:vAlign w:val="center"/>
          </w:tcPr>
          <w:p>
            <w:pPr>
              <w:pStyle w:val="TableContents"/>
              <w:bidi w:val="0"/>
              <w:spacing w:lineRule="auto" w:line="307" w:before="0" w:after="1"/>
              <w:ind w:left="0" w:right="0" w:hanging="0"/>
              <w:jc w:val="left"/>
              <w:rPr/>
            </w:pPr>
            <w:r>
              <w:rPr/>
              <w:t> </w:t>
            </w:r>
          </w:p>
        </w:tc>
        <w:tc>
          <w:tcPr>
            <w:tcW w:w="540"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3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Marketing and sales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1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55" w:type="dxa"/>
            <w:tcBorders/>
            <w:shd w:fill="CCEEFF" w:val="clear"/>
            <w:vAlign w:val="center"/>
          </w:tcPr>
          <w:p>
            <w:pPr>
              <w:pStyle w:val="TableContents"/>
              <w:bidi w:val="0"/>
              <w:spacing w:lineRule="auto" w:line="307" w:before="0" w:after="1"/>
              <w:ind w:left="0" w:right="0" w:hanging="0"/>
              <w:jc w:val="left"/>
              <w:rPr/>
            </w:pPr>
            <w:r>
              <w:rPr/>
              <w:t> </w:t>
            </w:r>
          </w:p>
        </w:tc>
        <w:tc>
          <w:tcPr>
            <w:tcW w:w="54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3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Supply chain</w:t>
            </w:r>
          </w:p>
        </w:tc>
        <w:tc>
          <w:tcPr>
            <w:tcW w:w="346" w:type="dxa"/>
            <w:tcBorders/>
            <w:vAlign w:val="center"/>
          </w:tcPr>
          <w:p>
            <w:pPr>
              <w:pStyle w:val="TableContents"/>
              <w:bidi w:val="0"/>
              <w:spacing w:lineRule="auto" w:line="307" w:before="0" w:after="1"/>
              <w:ind w:left="0" w:right="0" w:hanging="0"/>
              <w:jc w:val="left"/>
              <w:rPr/>
            </w:pPr>
            <w:r>
              <w:rPr/>
              <w:t> </w:t>
            </w:r>
          </w:p>
        </w:tc>
        <w:tc>
          <w:tcPr>
            <w:tcW w:w="710"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55" w:type="dxa"/>
            <w:tcBorders/>
            <w:vAlign w:val="center"/>
          </w:tcPr>
          <w:p>
            <w:pPr>
              <w:pStyle w:val="TableContents"/>
              <w:bidi w:val="0"/>
              <w:spacing w:lineRule="auto" w:line="307" w:before="0" w:after="1"/>
              <w:ind w:left="0" w:right="0" w:hanging="0"/>
              <w:jc w:val="left"/>
              <w:rPr/>
            </w:pPr>
            <w:r>
              <w:rPr/>
              <w:t> </w:t>
            </w:r>
          </w:p>
        </w:tc>
        <w:tc>
          <w:tcPr>
            <w:tcW w:w="540"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3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Functional support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55" w:type="dxa"/>
            <w:tcBorders/>
            <w:shd w:fill="CCEEFF" w:val="clear"/>
            <w:vAlign w:val="center"/>
          </w:tcPr>
          <w:p>
            <w:pPr>
              <w:pStyle w:val="TableContents"/>
              <w:bidi w:val="0"/>
              <w:spacing w:lineRule="auto" w:line="307" w:before="0" w:after="1"/>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31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710"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1,132</w:t>
            </w:r>
          </w:p>
        </w:tc>
        <w:tc>
          <w:tcPr>
            <w:tcW w:w="355" w:type="dxa"/>
            <w:tcBorders/>
            <w:vAlign w:val="center"/>
          </w:tcPr>
          <w:p>
            <w:pPr>
              <w:pStyle w:val="TableContents"/>
              <w:bidi w:val="0"/>
              <w:spacing w:lineRule="auto" w:line="307" w:before="0" w:after="1"/>
              <w:ind w:left="0" w:right="0" w:hanging="0"/>
              <w:jc w:val="left"/>
              <w:rPr/>
            </w:pPr>
            <w:r>
              <w:rPr/>
              <w:t> </w:t>
            </w:r>
          </w:p>
        </w:tc>
        <w:tc>
          <w:tcPr>
            <w:tcW w:w="540"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100</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on our ability to attract, motivate, train and retain qualified personnel. We believe we offer our employees competitive compensation packages and an environment that encourages self-development and, as a result, have generally been able to attract and retain qualified personnel and maintain a stable core management team.</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required by applicable regulations, we participate in various employee social security plans that are organized by municipal and provincial governments, including pension, unemployment insurance, maternity insurance, work-related injury insurance, medical insurance, and housing insurance. We are required under applicable laws to make contributions to employee benefit plans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of our business. We have granted, and plan to continue to grant, share-based incentive awards to our employees to incentivize their contributions to our growth and development.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enter into standard labor contracts and confidentiality agreements with our employees. To date, we have not experienced any significant labor disputes.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Share Ownership</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regarding the beneficial ownership of our Ordinary Shares as of February 28, 2026:</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principal shareholders who beneficially own more than 5% of our total outstanding shares on an as-converted basis.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Warrants or any option or other right or the conversion of any other security. However, these shares are not included in the computation of the percentage ownership of any other person.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percentage of our Ordinary Shares beneficially owned by the parties listed below is calculated based on 647,302,183 Ordinary Shares issued and outstanding as of February 28, 2026. There were also 14,541,306 Warrants issued and outstanding as of February 28, 2026.</w:t>
      </w:r>
    </w:p>
    <w:tbl>
      <w:tblPr>
        <w:tblW w:w="10205" w:type="dxa"/>
        <w:jc w:val="left"/>
        <w:tblInd w:w="0" w:type="dxa"/>
        <w:tblLayout w:type="fixed"/>
        <w:tblCellMar>
          <w:top w:w="0" w:type="dxa"/>
          <w:left w:w="0" w:type="dxa"/>
          <w:bottom w:w="0" w:type="dxa"/>
          <w:right w:w="0" w:type="dxa"/>
        </w:tblCellMar>
      </w:tblPr>
      <w:tblGrid>
        <w:gridCol w:w="6349"/>
        <w:gridCol w:w="346"/>
        <w:gridCol w:w="1321"/>
        <w:gridCol w:w="346"/>
        <w:gridCol w:w="1496"/>
        <w:gridCol w:w="347"/>
      </w:tblGrid>
      <w:tr>
        <w:trPr/>
        <w:tc>
          <w:tcPr>
            <w:tcW w:w="6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031615" cy="175260"/>
                      <wp:effectExtent l="0" t="0" r="0" b="0"/>
                      <wp:wrapNone/>
                      <wp:docPr id="208" name="Frame203"/>
                      <a:graphic xmlns:a="http://schemas.openxmlformats.org/drawingml/2006/main">
                        <a:graphicData uri="http://schemas.microsoft.com/office/word/2010/wordprocessingShape">
                          <wps:wsp>
                            <wps:cNvSpPr txBox="1"/>
                            <wps:spPr>
                              <a:xfrm>
                                <a:off x="0" y="0"/>
                                <a:ext cx="40316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09"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38835" cy="175260"/>
                      <wp:effectExtent l="0" t="0" r="0" b="0"/>
                      <wp:wrapNone/>
                      <wp:docPr id="210" name="Frame20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1"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49960" cy="175260"/>
                      <wp:effectExtent l="0" t="0" r="0" b="0"/>
                      <wp:wrapNone/>
                      <wp:docPr id="212" name="Frame207"/>
                      <a:graphic xmlns:a="http://schemas.openxmlformats.org/drawingml/2006/main">
                        <a:graphicData uri="http://schemas.microsoft.com/office/word/2010/wordprocessingShape">
                          <wps:wsp>
                            <wps:cNvSpPr txBox="1"/>
                            <wps:spPr>
                              <a:xfrm>
                                <a:off x="0" y="0"/>
                                <a:ext cx="9499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20345" cy="175260"/>
                      <wp:effectExtent l="0" t="0" r="0" b="0"/>
                      <wp:wrapNone/>
                      <wp:docPr id="213" name="Frame208"/>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34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32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49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of Beneficial Ownership</w:t>
            </w:r>
          </w:p>
        </w:tc>
        <w:tc>
          <w:tcPr>
            <w:tcW w:w="347" w:type="dxa"/>
            <w:tcBorders/>
            <w:vAlign w:val="center"/>
          </w:tcPr>
          <w:p>
            <w:pPr>
              <w:pStyle w:val="TableContents"/>
              <w:bidi w:val="0"/>
              <w:spacing w:lineRule="auto" w:line="307" w:before="0" w:after="1"/>
              <w:ind w:left="0" w:right="0" w:hanging="0"/>
              <w:jc w:val="left"/>
              <w:rPr/>
            </w:pPr>
            <w:r>
              <w:rPr/>
              <w:t> </w:t>
            </w:r>
          </w:p>
        </w:tc>
      </w:tr>
      <w:tr>
        <w:trPr/>
        <w:tc>
          <w:tcPr>
            <w:tcW w:w="634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lineRule="auto" w:line="307" w:before="0" w:after="160"/>
              <w:ind w:left="0" w:right="0" w:hanging="0"/>
              <w:jc w:val="center"/>
              <w:rPr/>
            </w:pPr>
            <w:r>
              <w:rPr/>
              <w:t>​</w:t>
            </w:r>
          </w:p>
        </w:tc>
        <w:tc>
          <w:tcPr>
            <w:tcW w:w="149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/Voting Power</w:t>
            </w:r>
          </w:p>
        </w:tc>
        <w:tc>
          <w:tcPr>
            <w:tcW w:w="347" w:type="dxa"/>
            <w:tcBorders/>
            <w:vAlign w:val="center"/>
          </w:tcPr>
          <w:p>
            <w:pPr>
              <w:pStyle w:val="TableContents"/>
              <w:bidi w:val="0"/>
              <w:spacing w:lineRule="auto" w:line="307" w:before="0" w:after="1"/>
              <w:ind w:left="0" w:right="0" w:hanging="0"/>
              <w:jc w:val="left"/>
              <w:rPr/>
            </w:pPr>
            <w:r>
              <w:rPr/>
              <w:t> </w:t>
            </w:r>
          </w:p>
        </w:tc>
      </w:tr>
      <w:tr>
        <w:trPr/>
        <w:tc>
          <w:tcPr>
            <w:tcW w:w="6349"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Directors and Executive Officers</w:t>
            </w:r>
            <w:r>
              <w:rPr>
                <w:rFonts w:ascii="Times New Roman;Times;serif" w:hAnsi="Times New Roman;Times;serif"/>
                <w:b/>
                <w:sz w:val="15"/>
              </w:rPr>
              <w:t>(1)</w:t>
            </w:r>
            <w:r>
              <w:rPr>
                <w:rFonts w:ascii="Times New Roman;Times;serif" w:hAnsi="Times New Roman;Times;serif"/>
                <w:b/>
                <w:sz w:val="20"/>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96" w:type="dxa"/>
            <w:tcBorders/>
            <w:shd w:fill="CCEEFF" w:val="clear"/>
            <w:vAlign w:val="center"/>
          </w:tcPr>
          <w:p>
            <w:pPr>
              <w:pStyle w:val="TableContents"/>
              <w:bidi w:val="0"/>
              <w:spacing w:lineRule="auto" w:line="307" w:before="0" w:after="1"/>
              <w:ind w:left="0" w:right="0" w:hanging="0"/>
              <w:jc w:val="right"/>
              <w:rPr/>
            </w:pPr>
            <w:r>
              <w:rPr/>
              <w:t>  ​</w:t>
            </w:r>
          </w:p>
        </w:tc>
        <w:tc>
          <w:tcPr>
            <w:tcW w:w="347" w:type="dxa"/>
            <w:tcBorders/>
            <w:shd w:fill="CCEEFF" w:val="clear"/>
            <w:vAlign w:val="center"/>
          </w:tcPr>
          <w:p>
            <w:pPr>
              <w:pStyle w:val="TableContents"/>
              <w:bidi w:val="0"/>
              <w:spacing w:lineRule="auto" w:line="307" w:before="0" w:after="160"/>
              <w:ind w:left="0" w:right="0" w:hanging="0"/>
              <w:jc w:val="left"/>
              <w:rPr/>
            </w:pPr>
            <w:r>
              <w:rPr/>
              <w:t>​</w:t>
            </w:r>
          </w:p>
        </w:tc>
      </w:tr>
      <w:tr>
        <w:trPr/>
        <w:tc>
          <w:tcPr>
            <w:tcW w:w="6349"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Daniel Donghui Li</w:t>
            </w:r>
            <w:r>
              <w:rPr>
                <w:rFonts w:ascii="Times New Roman;Times;serif" w:hAnsi="Times New Roman;Times;serif"/>
                <w:sz w:val="15"/>
              </w:rPr>
              <w:t>(2)</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14,398,660</w:t>
            </w:r>
          </w:p>
        </w:tc>
        <w:tc>
          <w:tcPr>
            <w:tcW w:w="346" w:type="dxa"/>
            <w:tcBorders/>
            <w:vAlign w:val="center"/>
          </w:tcPr>
          <w:p>
            <w:pPr>
              <w:pStyle w:val="TableContents"/>
              <w:bidi w:val="0"/>
              <w:spacing w:lineRule="auto" w:line="307" w:before="0" w:after="1"/>
              <w:ind w:left="0" w:right="0" w:hanging="0"/>
              <w:jc w:val="left"/>
              <w:rPr/>
            </w:pPr>
            <w:r>
              <w:rPr/>
              <w:t> </w:t>
            </w:r>
          </w:p>
        </w:tc>
        <w:tc>
          <w:tcPr>
            <w:tcW w:w="14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49"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Qingfeng Feng</w:t>
            </w:r>
            <w:r>
              <w:rPr>
                <w:rFonts w:ascii="Times New Roman;Times;serif" w:hAnsi="Times New Roman;Times;serif"/>
                <w:sz w:val="15"/>
              </w:rPr>
              <w:t>(3)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57,061,196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49"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James Rowan</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496" w:type="dxa"/>
            <w:tcBorders/>
            <w:vAlign w:val="center"/>
          </w:tcPr>
          <w:p>
            <w:pPr>
              <w:pStyle w:val="TableContents"/>
              <w:bidi w:val="0"/>
              <w:spacing w:lineRule="auto" w:line="307" w:before="0" w:after="1"/>
              <w:ind w:left="0" w:right="0" w:hanging="0"/>
              <w:jc w:val="right"/>
              <w:rPr/>
            </w:pPr>
            <w:r>
              <w:rPr/>
              <w:t>—</w:t>
            </w:r>
          </w:p>
        </w:tc>
        <w:tc>
          <w:tcPr>
            <w:tcW w:w="347" w:type="dxa"/>
            <w:tcBorders/>
            <w:vAlign w:val="center"/>
          </w:tcPr>
          <w:p>
            <w:pPr>
              <w:pStyle w:val="TableContents"/>
              <w:bidi w:val="0"/>
              <w:spacing w:lineRule="auto" w:line="307" w:before="0" w:after="160"/>
              <w:ind w:left="0" w:right="0" w:hanging="0"/>
              <w:jc w:val="left"/>
              <w:rPr/>
            </w:pPr>
            <w:r>
              <w:rPr/>
              <w:t>​</w:t>
            </w:r>
          </w:p>
        </w:tc>
      </w:tr>
      <w:tr>
        <w:trPr/>
        <w:tc>
          <w:tcPr>
            <w:tcW w:w="6349"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Ning Yu</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96" w:type="dxa"/>
            <w:tcBorders/>
            <w:shd w:fill="CCEEFF" w:val="clear"/>
            <w:vAlign w:val="center"/>
          </w:tcPr>
          <w:p>
            <w:pPr>
              <w:pStyle w:val="TableContents"/>
              <w:bidi w:val="0"/>
              <w:spacing w:lineRule="auto" w:line="307" w:before="0" w:after="1"/>
              <w:ind w:left="0" w:right="0" w:hanging="0"/>
              <w:jc w:val="right"/>
              <w:rPr/>
            </w:pPr>
            <w:r>
              <w:rPr/>
              <w:t>—</w:t>
            </w:r>
          </w:p>
        </w:tc>
        <w:tc>
          <w:tcPr>
            <w:tcW w:w="347" w:type="dxa"/>
            <w:tcBorders/>
            <w:shd w:fill="CCEEFF" w:val="clear"/>
            <w:vAlign w:val="center"/>
          </w:tcPr>
          <w:p>
            <w:pPr>
              <w:pStyle w:val="TableContents"/>
              <w:bidi w:val="0"/>
              <w:spacing w:lineRule="auto" w:line="307" w:before="0" w:after="160"/>
              <w:ind w:left="0" w:right="0" w:hanging="0"/>
              <w:jc w:val="left"/>
              <w:rPr/>
            </w:pPr>
            <w:r>
              <w:rPr/>
              <w:t>​</w:t>
            </w:r>
          </w:p>
        </w:tc>
      </w:tr>
      <w:tr>
        <w:trPr/>
        <w:tc>
          <w:tcPr>
            <w:tcW w:w="6349"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Dato’ Sri Amrin Awaluddin</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496" w:type="dxa"/>
            <w:tcBorders/>
            <w:vAlign w:val="center"/>
          </w:tcPr>
          <w:p>
            <w:pPr>
              <w:pStyle w:val="TableContents"/>
              <w:bidi w:val="0"/>
              <w:spacing w:lineRule="auto" w:line="307" w:before="0" w:after="1"/>
              <w:ind w:left="0" w:right="0" w:hanging="0"/>
              <w:jc w:val="right"/>
              <w:rPr/>
            </w:pPr>
            <w:r>
              <w:rPr/>
              <w:t>—</w:t>
            </w:r>
          </w:p>
        </w:tc>
        <w:tc>
          <w:tcPr>
            <w:tcW w:w="347" w:type="dxa"/>
            <w:tcBorders/>
            <w:vAlign w:val="center"/>
          </w:tcPr>
          <w:p>
            <w:pPr>
              <w:pStyle w:val="TableContents"/>
              <w:bidi w:val="0"/>
              <w:spacing w:lineRule="auto" w:line="307" w:before="0" w:after="160"/>
              <w:ind w:left="0" w:right="0" w:hanging="0"/>
              <w:jc w:val="left"/>
              <w:rPr/>
            </w:pPr>
            <w:r>
              <w:rPr/>
              <w:t>​</w:t>
            </w:r>
          </w:p>
        </w:tc>
      </w:tr>
      <w:tr>
        <w:trPr/>
        <w:tc>
          <w:tcPr>
            <w:tcW w:w="6349"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Ada Yunfeng Yan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96" w:type="dxa"/>
            <w:tcBorders/>
            <w:shd w:fill="CCEEFF" w:val="clear"/>
            <w:vAlign w:val="center"/>
          </w:tcPr>
          <w:p>
            <w:pPr>
              <w:pStyle w:val="TableContents"/>
              <w:bidi w:val="0"/>
              <w:spacing w:lineRule="auto" w:line="307" w:before="0" w:after="1"/>
              <w:ind w:left="0" w:right="0" w:hanging="0"/>
              <w:jc w:val="right"/>
              <w:rPr/>
            </w:pPr>
            <w:r>
              <w:rPr/>
              <w:t>—</w:t>
            </w:r>
          </w:p>
        </w:tc>
        <w:tc>
          <w:tcPr>
            <w:tcW w:w="347" w:type="dxa"/>
            <w:tcBorders/>
            <w:shd w:fill="CCEEFF" w:val="clear"/>
            <w:vAlign w:val="center"/>
          </w:tcPr>
          <w:p>
            <w:pPr>
              <w:pStyle w:val="TableContents"/>
              <w:bidi w:val="0"/>
              <w:spacing w:lineRule="auto" w:line="307" w:before="0" w:after="160"/>
              <w:ind w:left="0" w:right="0" w:hanging="0"/>
              <w:jc w:val="left"/>
              <w:rPr/>
            </w:pPr>
            <w:r>
              <w:rPr/>
              <w:t>​</w:t>
            </w:r>
          </w:p>
        </w:tc>
      </w:tr>
      <w:tr>
        <w:trPr/>
        <w:tc>
          <w:tcPr>
            <w:tcW w:w="6349"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Catherine Cai </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496" w:type="dxa"/>
            <w:tcBorders/>
            <w:vAlign w:val="center"/>
          </w:tcPr>
          <w:p>
            <w:pPr>
              <w:pStyle w:val="TableContents"/>
              <w:bidi w:val="0"/>
              <w:spacing w:lineRule="auto" w:line="307" w:before="0" w:after="1"/>
              <w:ind w:left="0" w:right="0" w:hanging="0"/>
              <w:jc w:val="right"/>
              <w:rPr/>
            </w:pPr>
            <w:r>
              <w:rPr/>
              <w:t>—</w:t>
            </w:r>
          </w:p>
        </w:tc>
        <w:tc>
          <w:tcPr>
            <w:tcW w:w="347" w:type="dxa"/>
            <w:tcBorders/>
            <w:vAlign w:val="center"/>
          </w:tcPr>
          <w:p>
            <w:pPr>
              <w:pStyle w:val="TableContents"/>
              <w:bidi w:val="0"/>
              <w:spacing w:lineRule="auto" w:line="307" w:before="0" w:after="160"/>
              <w:ind w:left="0" w:right="0" w:hanging="0"/>
              <w:jc w:val="left"/>
              <w:rPr/>
            </w:pPr>
            <w:r>
              <w:rPr/>
              <w:t>​</w:t>
            </w:r>
          </w:p>
        </w:tc>
      </w:tr>
      <w:tr>
        <w:trPr/>
        <w:tc>
          <w:tcPr>
            <w:tcW w:w="6349"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Daxue Wang</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496" w:type="dxa"/>
            <w:tcBorders/>
            <w:shd w:fill="CCEEFF" w:val="clear"/>
            <w:vAlign w:val="center"/>
          </w:tcPr>
          <w:p>
            <w:pPr>
              <w:pStyle w:val="TableContents"/>
              <w:bidi w:val="0"/>
              <w:spacing w:lineRule="auto" w:line="307" w:before="0" w:after="1"/>
              <w:ind w:left="0" w:right="0" w:hanging="0"/>
              <w:jc w:val="right"/>
              <w:rPr/>
            </w:pPr>
            <w:r>
              <w:rPr/>
              <w:t>—</w:t>
            </w:r>
          </w:p>
        </w:tc>
        <w:tc>
          <w:tcPr>
            <w:tcW w:w="347" w:type="dxa"/>
            <w:tcBorders/>
            <w:shd w:fill="CCEEFF" w:val="clear"/>
            <w:vAlign w:val="center"/>
          </w:tcPr>
          <w:p>
            <w:pPr>
              <w:pStyle w:val="TableContents"/>
              <w:bidi w:val="0"/>
              <w:spacing w:lineRule="auto" w:line="307" w:before="0" w:after="160"/>
              <w:ind w:left="0" w:right="0" w:hanging="0"/>
              <w:jc w:val="left"/>
              <w:rPr/>
            </w:pPr>
            <w:r>
              <w:rPr/>
              <w:t>​</w:t>
            </w:r>
          </w:p>
        </w:tc>
      </w:tr>
      <w:tr>
        <w:trPr/>
        <w:tc>
          <w:tcPr>
            <w:tcW w:w="6349"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All Directors and Executive Officers as a Group</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71,459,856</w:t>
            </w:r>
          </w:p>
        </w:tc>
        <w:tc>
          <w:tcPr>
            <w:tcW w:w="346" w:type="dxa"/>
            <w:tcBorders/>
            <w:vAlign w:val="center"/>
          </w:tcPr>
          <w:p>
            <w:pPr>
              <w:pStyle w:val="TableContents"/>
              <w:bidi w:val="0"/>
              <w:spacing w:lineRule="auto" w:line="307" w:before="0" w:after="160"/>
              <w:ind w:left="0" w:right="0" w:hanging="0"/>
              <w:jc w:val="left"/>
              <w:rPr/>
            </w:pPr>
            <w:r>
              <w:rPr/>
              <w:t>​</w:t>
            </w:r>
          </w:p>
        </w:tc>
        <w:tc>
          <w:tcPr>
            <w:tcW w:w="149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11.0</w:t>
            </w:r>
          </w:p>
        </w:tc>
        <w:tc>
          <w:tcPr>
            <w:tcW w:w="347"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6349"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96" w:type="dxa"/>
            <w:tcBorders/>
            <w:shd w:fill="CCEEFF" w:val="clear"/>
            <w:vAlign w:val="center"/>
          </w:tcPr>
          <w:p>
            <w:pPr>
              <w:pStyle w:val="TableContents"/>
              <w:bidi w:val="0"/>
              <w:spacing w:lineRule="auto" w:line="307" w:before="0" w:after="1"/>
              <w:ind w:left="0" w:right="0" w:hanging="0"/>
              <w:jc w:val="right"/>
              <w:rPr/>
            </w:pPr>
            <w:r>
              <w:rPr/>
              <w:t>  ​</w:t>
            </w:r>
          </w:p>
        </w:tc>
        <w:tc>
          <w:tcPr>
            <w:tcW w:w="347" w:type="dxa"/>
            <w:tcBorders/>
            <w:shd w:fill="CCEEFF" w:val="clear"/>
            <w:vAlign w:val="center"/>
          </w:tcPr>
          <w:p>
            <w:pPr>
              <w:pStyle w:val="TableContents"/>
              <w:bidi w:val="0"/>
              <w:spacing w:lineRule="auto" w:line="307" w:before="0" w:after="160"/>
              <w:ind w:left="0" w:right="0" w:hanging="0"/>
              <w:jc w:val="left"/>
              <w:rPr/>
            </w:pPr>
            <w:r>
              <w:rPr/>
              <w:t>​</w:t>
            </w:r>
          </w:p>
        </w:tc>
      </w:tr>
      <w:tr>
        <w:trPr/>
        <w:tc>
          <w:tcPr>
            <w:tcW w:w="6349"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5.0% Shareholders: </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496" w:type="dxa"/>
            <w:tcBorders/>
            <w:vAlign w:val="center"/>
          </w:tcPr>
          <w:p>
            <w:pPr>
              <w:pStyle w:val="TableContents"/>
              <w:bidi w:val="0"/>
              <w:spacing w:lineRule="auto" w:line="307" w:before="0" w:after="160"/>
              <w:ind w:left="0" w:right="0" w:hanging="0"/>
              <w:jc w:val="right"/>
              <w:rPr/>
            </w:pPr>
            <w:r>
              <w:rPr/>
              <w:t>​</w:t>
            </w:r>
          </w:p>
        </w:tc>
        <w:tc>
          <w:tcPr>
            <w:tcW w:w="347" w:type="dxa"/>
            <w:tcBorders/>
            <w:vAlign w:val="center"/>
          </w:tcPr>
          <w:p>
            <w:pPr>
              <w:pStyle w:val="TableContents"/>
              <w:bidi w:val="0"/>
              <w:spacing w:lineRule="auto" w:line="307" w:before="0" w:after="160"/>
              <w:ind w:left="0" w:right="0" w:hanging="0"/>
              <w:jc w:val="left"/>
              <w:rPr/>
            </w:pPr>
            <w:r>
              <w:rPr/>
              <w:t>​</w:t>
            </w:r>
          </w:p>
        </w:tc>
      </w:tr>
      <w:tr>
        <w:trPr/>
        <w:tc>
          <w:tcPr>
            <w:tcW w:w="6349"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Lotus Advanced Technology Limited Partnership</w:t>
            </w:r>
            <w:r>
              <w:rPr>
                <w:rFonts w:ascii="Times New Roman;Times;serif" w:hAnsi="Times New Roman;Times;serif"/>
                <w:sz w:val="15"/>
              </w:rPr>
              <w:t>(4)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186,648,945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4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49"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Etika</w:t>
            </w:r>
            <w:r>
              <w:rPr>
                <w:rFonts w:ascii="Times New Roman;Times;serif" w:hAnsi="Times New Roman;Times;serif"/>
                <w:sz w:val="15"/>
              </w:rPr>
              <w:t>(5)</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156,236,329</w:t>
            </w:r>
          </w:p>
        </w:tc>
        <w:tc>
          <w:tcPr>
            <w:tcW w:w="346" w:type="dxa"/>
            <w:tcBorders/>
            <w:vAlign w:val="center"/>
          </w:tcPr>
          <w:p>
            <w:pPr>
              <w:pStyle w:val="TableContents"/>
              <w:bidi w:val="0"/>
              <w:spacing w:lineRule="auto" w:line="307" w:before="0" w:after="1"/>
              <w:ind w:left="0" w:right="0" w:hanging="0"/>
              <w:jc w:val="left"/>
              <w:rPr/>
            </w:pPr>
            <w:r>
              <w:rPr/>
              <w:t> </w:t>
            </w:r>
          </w:p>
        </w:tc>
        <w:tc>
          <w:tcPr>
            <w:tcW w:w="14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4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49"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Lotus Technology International Investment Limited</w:t>
            </w:r>
            <w:r>
              <w:rPr>
                <w:rFonts w:ascii="Times New Roman;Times;serif" w:hAnsi="Times New Roman;Times;serif"/>
                <w:sz w:val="15"/>
              </w:rPr>
              <w:t>(6)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108,740,886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4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49"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ATW</w:t>
            </w:r>
            <w:r>
              <w:rPr>
                <w:rFonts w:ascii="Times New Roman;Times;serif" w:hAnsi="Times New Roman;Times;serif"/>
                <w:sz w:val="15"/>
              </w:rPr>
              <w:t>(7)</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75,327,923</w:t>
            </w:r>
          </w:p>
        </w:tc>
        <w:tc>
          <w:tcPr>
            <w:tcW w:w="346" w:type="dxa"/>
            <w:tcBorders/>
            <w:vAlign w:val="center"/>
          </w:tcPr>
          <w:p>
            <w:pPr>
              <w:pStyle w:val="TableContents"/>
              <w:bidi w:val="0"/>
              <w:spacing w:lineRule="auto" w:line="307" w:before="0" w:after="1"/>
              <w:ind w:left="0" w:right="0" w:hanging="0"/>
              <w:jc w:val="left"/>
              <w:rPr/>
            </w:pPr>
            <w:r>
              <w:rPr/>
              <w:t> </w:t>
            </w:r>
          </w:p>
        </w:tc>
        <w:tc>
          <w:tcPr>
            <w:tcW w:w="14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49"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Lotus Group International Limited</w:t>
            </w:r>
            <w:r>
              <w:rPr>
                <w:rFonts w:ascii="Times New Roman;Times;serif" w:hAnsi="Times New Roman;Times;serif"/>
                <w:sz w:val="15"/>
              </w:rPr>
              <w:t>(8)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47,995,443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7"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49"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HUBEI CHANGJIANG JINGKAI AUTOMOBILE INDUSTRY INVESTMENT FUND PARTNERSHIP (LIMITED PARTNERSHIP)</w:t>
            </w:r>
            <w:r>
              <w:rPr>
                <w:rFonts w:ascii="Times New Roman;Times;serif" w:hAnsi="Times New Roman;Times;serif"/>
                <w:sz w:val="15"/>
              </w:rPr>
              <w:t>(9)</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44,997,886</w:t>
            </w:r>
          </w:p>
        </w:tc>
        <w:tc>
          <w:tcPr>
            <w:tcW w:w="346" w:type="dxa"/>
            <w:tcBorders/>
            <w:vAlign w:val="center"/>
          </w:tcPr>
          <w:p>
            <w:pPr>
              <w:pStyle w:val="TableContents"/>
              <w:bidi w:val="0"/>
              <w:spacing w:lineRule="auto" w:line="307" w:before="0" w:after="160"/>
              <w:ind w:left="0" w:right="0" w:hanging="0"/>
              <w:jc w:val="left"/>
              <w:rPr/>
            </w:pPr>
            <w:r>
              <w:rPr/>
              <w:t>​</w:t>
            </w:r>
          </w:p>
        </w:tc>
        <w:tc>
          <w:tcPr>
            <w:tcW w:w="14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7"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(1)</w:t>
            </w:r>
          </w:p>
        </w:tc>
        <w:tc>
          <w:tcPr>
            <w:tcW w:w="9916"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Except as indicated otherwise, the business address for the directors and executive officers of Lotus Technology Inc. is 800 Century Avenue, Pudong New Area, Shanghai, China. The business address for Mr. Daniel Donghui Li is 1760 Jiangling Road, Hangzhou, China. The business address for Mr. Ning Yu is Unit 2103, T3 Lujiazui Financial Plaza, No. 826 Century Avenue, Pudong New District, Shanghai, China.</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(2)</w:t>
            </w:r>
          </w:p>
        </w:tc>
        <w:tc>
          <w:tcPr>
            <w:tcW w:w="9914"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Represents 14,398,660 Ordinary Shares held by Lotus Advanced Technology Limited Partnership, or LATLP. Mr. Daniel Donghui Li indirectly holds 7.7143% pecuniary interest in LATLP. See footnote (4) for further details about LATLP. Mr. Daniel Donghui Li disclaims beneficial ownership of all of the ordinary shares held by LATLP, except to the extent of his pecuniary interest therein.</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(3)</w:t>
            </w:r>
          </w:p>
        </w:tc>
        <w:tc>
          <w:tcPr>
            <w:tcW w:w="9911"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Represents 57,061,196 Ordinary Shares held by LATLP. Mr. Qingfeng Feng indirectly holds 30.5714% pecuniary interest in LATLP. See footnote (4) for further details about LATLP. Mr. Qingfeng Feng disclaims beneficial ownership of all of the ordinary shares held by LATLP, except to the extent of his pecuniary interest therein.</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(4)</w:t>
            </w:r>
          </w:p>
        </w:tc>
        <w:tc>
          <w:tcPr>
            <w:tcW w:w="9927"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Represents 186,648,945 Ordinary Shares held by LATLP. LATLP is a limited liability partnership incorporated under the laws of British Virgin Islands and its general partner is Yin Qing Holdings Limited. Yin Qing Holdings Limited is wholly owned by Mr. Qingfeng Feng, the CEO and director of the Company. On July 30, 2021, the partners of LATLP, namely Ming Jun Holdings Limited, Yin Qing Holdings Limited, Xing Rong Holdings Limited and Jing Can Holdings Limited signed an agreement, later joined by State Rainbow Investments Limited and Radiant Field Investments Limited, under which these partners agreed to act in concert with Ming Jun Holdings Limited. Ming Jun Holdings Limited is wholly owned by Mr. Shufu Li. Therefore, Mr. Shufu Li may be deemed to beneficially own all of the shares held of record by LATLP. The registered address of Lotus Advanced Technology Limited Partnership is Sertus Chambers, P.O. Box 905, Quastisky Building, Road Town, Tortola, British Virgin Islands.</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(5)</w:t>
            </w:r>
          </w:p>
        </w:tc>
        <w:tc>
          <w:tcPr>
            <w:tcW w:w="9924"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Represents 156,236,329 Ordinary Shares held by Etika. Etika is wholly owned by Albukhary Corporation Sdn. Bhd., which is 99.9% owned by Syed Mokhtar Shah Syed Nor. The address of Etika is Level 4B, No. 88, Jalan Perdana, Taman Tasik Perdana, 50480 Kuala Lumpur W.P. Kuala Lumpur. The above information is based on the Schedule 13G filed by Etika Automotive Sdn Bhd on November 8, 2024. The percentage of total ordinary shares and the percentage of aggregate voting power for Etika Automotive Sdn Bhd are calculated based on the number of our company’s total outstanding shares as of April 28, 2025 and assuming Etika Automotive Sdn Bhd’s shareholding has not changed since September 30, 2024.</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(6)</w:t>
            </w:r>
          </w:p>
        </w:tc>
        <w:tc>
          <w:tcPr>
            <w:tcW w:w="9919"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Represents 108,740,886 Ordinary Shares held by Lotus Technology International Investment Limited, or LTIIL. LTIIL is wholly owned by Geely HK, which is wholly owned by Geely Holding. Geely Holding is 82.233% owned by Mr. Shufu Li, 8.0583% owned by Mr. Xingxing Li, and 9.7087% owned by Ningbo Yima Enterprise Management Partnership (Limited Partnership). The registered address of LTIIL is Craigmuir Chambers, Road Town, Tortola, VG 1110, British Virgin Islands.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(7)</w:t>
            </w:r>
          </w:p>
        </w:tc>
        <w:tc>
          <w:tcPr>
            <w:tcW w:w="9928"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Represents 75,327,923 beneficially owned by ATW. The business address of ATW is 1 Pennsylvania Plaza, Suite 4810, New York, New York 10119. JAK Opportunities XXV LLC is wholly owned by the private fund, ATW Master Fund V LP. ATW Partners Opportunities Management, LLC serves as the investment manager to ATW Master Fund V LP. Antonio Ruiz-Gimenez and Kerry Propper are the control persons of ATW Partners Opportunities Management, LLC. By virtue of these relationships, ATW (as defined below) may be deemed to have shared voting and dispositive power with respect to the shares owned directly by JAK Opportunities XXV LLC. The percentage of total ordinary shares and the percentage of aggregate voting power for JAK Opportunities XXV LLC are calculated based on the number of our company’s total outstanding shares as of 647,302,183 and assuming JAK Opportunities XXV LLC’s shareholding has not changed since October 3, 2025. The above information is based on the Schedule 13G jointly filed by JAK Opportunities XXV LLC, ATW Master Fund V LP, ATW Partners Opportunities Management, LLC, Kerry Propper and Antonio Ruiz-Gimenez on October 3, 2025.</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(8)</w:t>
            </w:r>
          </w:p>
        </w:tc>
        <w:tc>
          <w:tcPr>
            <w:tcW w:w="9919"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Represents 47,995,443 Ordinary Shares held by LGIL. LGIL is wholly owned by Lotus Advance Technologies Sdn. Bhd, which is 51% owned by Geely HK and 49% owned by Etika. Geely HK is 100% owned by Geely Holding. See footnote (5) for details about Geely Holding. Etika is wholly owned by Albukhary Corporation Sdn. Bhd., which is 99.9% owned by Syed Mokhtar Shah Syed Nor. The registered address of LGIL is Potash Lane, Hethel, Norwich, Norfold, NR14 8EZ, England.</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(9)</w:t>
            </w:r>
          </w:p>
        </w:tc>
        <w:tc>
          <w:tcPr>
            <w:tcW w:w="9914" w:type="dxa"/>
            <w:tcBorders/>
            <w:vAlign w:val="center"/>
          </w:tcPr>
          <w:p>
            <w:pPr>
              <w:pStyle w:val="TableContents"/>
              <w:bidi w:val="0"/>
              <w:spacing w:lineRule="auto" w:line="285" w:before="0" w:after="200"/>
              <w:jc w:val="both"/>
              <w:rPr>
                <w:rFonts w:ascii="Times New Roman;Times;serif" w:hAnsi="Times New Roman;Times;serif"/>
                <w:sz w:val="16"/>
              </w:rPr>
            </w:pPr>
            <w:r>
              <w:rPr>
                <w:rFonts w:ascii="Times New Roman;Times;serif" w:hAnsi="Times New Roman;Times;serif"/>
                <w:sz w:val="16"/>
              </w:rPr>
              <w:t>Represents 44,997,886 held by Jingkai Fund. Jingkai Fund is a limited liability partnership established under the laws of the People’s Republic of China. The registered address of Jingkai Fund is Room A, No. 05, 14/F., Building 6, Phase II, Wuhan Economic Development Wanda Plaza, Plot 12C2, Wuhan Economic and Technological Development Zone, Wuhan City, Hubei Province, China.</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To our knowledge, as of February 28, 2026, none of our ordinary shares were held by record holders in the United States.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none of our ordinary shares are held by governmental entities of our place of incorporation, and no government entity in the place where our registered public accounting firm is located and organized has a controlling financial interest in our company.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our company.</w:t>
      </w:r>
    </w:p>
    <w:tbl>
      <w:tblPr>
        <w:tblW w:w="7487" w:type="dxa"/>
        <w:jc w:val="left"/>
        <w:tblInd w:w="0" w:type="dxa"/>
        <w:tblLayout w:type="fixed"/>
        <w:tblCellMar>
          <w:top w:w="0" w:type="dxa"/>
          <w:left w:w="0" w:type="dxa"/>
          <w:bottom w:w="0" w:type="dxa"/>
          <w:right w:w="0" w:type="dxa"/>
        </w:tblCellMar>
      </w:tblPr>
      <w:tblGrid>
        <w:gridCol w:w="286"/>
        <w:gridCol w:w="7201"/>
      </w:tblGrid>
      <w:tr>
        <w:trPr/>
        <w:tc>
          <w:tcPr>
            <w:tcW w:w="286" w:type="dxa"/>
            <w:tcBorders/>
            <w:vAlign w:val="center"/>
          </w:tcPr>
          <w:p>
            <w:pPr>
              <w:pStyle w:val="TableContents"/>
              <w:bidi w:val="0"/>
              <w:spacing w:lineRule="auto" w:line="285" w:before="0" w:after="200"/>
              <w:jc w:val="both"/>
              <w:rPr>
                <w:rFonts w:ascii="Times New Roman;Times;serif" w:hAnsi="Times New Roman;Times;serif"/>
                <w:b/>
                <w:sz w:val="20"/>
              </w:rPr>
            </w:pPr>
            <w:r>
              <w:rPr>
                <w:rFonts w:ascii="Times New Roman;Times;serif" w:hAnsi="Times New Roman;Times;serif"/>
                <w:b/>
                <w:sz w:val="20"/>
              </w:rPr>
              <w:t>F.</w:t>
            </w:r>
          </w:p>
        </w:tc>
        <w:tc>
          <w:tcPr>
            <w:tcW w:w="7201" w:type="dxa"/>
            <w:tcBorders/>
            <w:vAlign w:val="center"/>
          </w:tcPr>
          <w:p>
            <w:pPr>
              <w:pStyle w:val="TableContents"/>
              <w:bidi w:val="0"/>
              <w:spacing w:lineRule="auto" w:line="285" w:before="0" w:after="200"/>
              <w:jc w:val="both"/>
              <w:rPr>
                <w:rFonts w:ascii="Times New Roman;Times;serif" w:hAnsi="Times New Roman;Times;serif"/>
                <w:b/>
                <w:sz w:val="20"/>
              </w:rPr>
            </w:pPr>
            <w:r>
              <w:rPr>
                <w:rFonts w:ascii="Times New Roman;Times;serif" w:hAnsi="Times New Roman;Times;serif"/>
                <w:b/>
                <w:sz w:val="20"/>
              </w:rPr>
              <w:t>Disclosure of a Registrant’s Action to Recover Erroneously Awarded Compensation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00"/>
        <w:ind w:left="0" w:right="0" w:hanging="0"/>
        <w:jc w:val="left"/>
        <w:rPr>
          <w:rFonts w:ascii="Times New Roman;Times;serif" w:hAnsi="Times New Roman;Times;serif"/>
          <w:sz w:val="20"/>
        </w:rPr>
      </w:pPr>
      <w:bookmarkStart w:id="50" w:name="Item7MajorShareholdersandRelatedPartyTra"/>
      <w:bookmarkStart w:id="51" w:name="_f036832c_2f19_403d_9528_e9909be9e364"/>
      <w:bookmarkEnd w:id="50"/>
      <w:bookmarkEnd w:id="51"/>
      <w:r>
        <w:rPr>
          <w:rFonts w:ascii="Times New Roman;Times;serif" w:hAnsi="Times New Roman;Times;serif"/>
          <w:b/>
          <w:i w:val="false"/>
          <w:caps w:val="false"/>
          <w:smallCaps w:val="false"/>
          <w:sz w:val="20"/>
        </w:rPr>
        <w:t>Item 7.</w:t>
      </w:r>
      <w:r>
        <w:rPr>
          <w:rFonts w:ascii="Times New Roman;Times;serif" w:hAnsi="Times New Roman;Times;serif"/>
          <w:b/>
          <w:sz w:val="20"/>
        </w:rPr>
        <w:t>Major Shareholders and Related Party Transactions</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Major Shareholders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Related Party Transactions</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Certain Business Combination Related Agreements</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Sponsor Support Agreement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January 31, 2023, concurrently with the execution of the Original Merger Agreement, LCAA, the LCAA Founder Shareholders and LTC entered into the Sponsor Support Agreement, which was amended by the parties thereto on November 13, 2023, pursuant to which each LCAA Founder Shareholder has agreed, among other things and subject to the terms and conditions set forth therein, not to transfer any Ordinary Shares or Warrants (including any Ordinary Shares underlying such Warrants) held by such LCAA Founder Shareholder immediately after the Closing Date, if any, for a period of six months after February 22, 2024, subject to certain exceptions. The Sponsor also agreed to use commercially reasonable efforts to facilitate discussions between LTC and entities holding brands that may be approved by LTC from time to time with respect to potential collaborations between us and such entities in connection with the following activities of LTC: product development, marketing, customer engagement, retail space, and technology infrastructure development.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Some of the LCAA Class B Ordinary Shares held by the Sponsor as of the date of the Sponsor Support Agreement were subject to earn-out restrictions pursuant to the Sponsor Support Agreement.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Distribution Agreement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Concurrently with the execution of the Original Merger Agreement, on January 31, 2023, LTIL entered into the Distribution Agreement with Lotus Cars Limited, the entity carrying out the sportscar manufacturing operations of Lotus UK, pursuant to which LTIL is appointed as the exclusive global distributor (excluding the U.S., where LTIL will act as the head distributor with the existing regional distributor continuing its functions) for Lotus Cars Limited to distribute vehicles, parts and certain tools, and to provide after sale services and brand, marketing and public relations for such vehicles, part and tools distributed by it on the terms and conditions of the Distribution Agreement.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Put Option Agreements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Concurrently with the execution of the Original Merger Agreement, on January 31, 2023, LTC entered into a put option agreement with each of Geely HK and Etika, pursuant to which each of Geely HK and Etika is granted the right to require LTC to purchase all of the equity interests held by each of Geely HK and Etika in Lotus Advance Technologies Sdn Bhd, the parent company of Lotus UK, at a pre-agreed price which will be calculated based on the total revenue of LGIL for the year of 2024 adjusted to exclude net debt, at a future date during the period from April 1, 2025 to June 30, 2025 and contingent upon satisfaction of the LAT Put Option Exercise Condition. As of December 31, 2024, the Put Option Exercise Condition had been satisfied. On April 14, 2025, Geely HK exercised its put option, requiring us to purchase 51% of the equity interests in Lotus Advance Technologies Sdn Bhd. On June 30, 2025, Etika also exercised its put option, requiring us to purchase 49% of the equity interests in Lotus Advance Technologies Sdn Bhd. Lotus Advance Technologies Sdn Bhd is currently owned by Geely HK and Etika, and with Geely HK and Etika having exercised their put options, we are expected to acquire 100% of the equity interests of Lotus UK through non-cash transactions based on pre-agreed prices. Upon completion, we will gain control over Lotus Advance Technologies Sdn Bhd and consolidate its financial results. The strategic transaction will enable us to integrate all businesses and operations under the Lotus brand. Lotus Advance Technologies Sdn Bhd controls the manufacturing operations of Lotus’ sportscars and hyper cars, and Lotus Engineering which provides comprehensive consultancy services to many of the OEMs and Tier 1 suppliers around the world. Closing of the Geely HK put option and Etika put option could be subject to approvals of governmental authorities in various jurisdictions and is currently expected to take place in 2026.</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Lock-Up Agreements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and following the execution of the Original Merger Agreement, LCAA and LTC entered into lock-up agreements with each of the shareholders of LTC that are not parties to the LTC Shareholder Support Agreement, pursuant to which, among other things, each such LTC shareholder agrees not to transfer, for a period of six months following February 22, 2024, certain Ordinary Shares such LTC shareholder will hold following the Closing, on the terms and subject to the conditions set forth in the lock-up Agreements.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Registration Rights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22, 2024, LTC, the LCAA Founder Shareholders entered into a Registration Rights Agreement, which provides for the customary registration rights of the LCAA Founder Shareholders.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Assignment, Assumption and Amendment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22, 2024, LTC, LCAA, Continental and Equiniti entered into the Assignment, Assumption and Amendment Agreement, pursuant to which the LCAA Warrants were assumed by LTC, Equiniti was engaged as the warrant agent under the Warrant Agreement, and Continental, as the warrant agent for LCAA, assigned to Equiniti all of its rights, interests and obligations in and under the Warrant Agreement dated as of March 10, 2021 between LCAA and Continental.</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Meritz Investment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November 15, 2023, LTC entered into the Meritz Subscription Agreement with Meritz, pursuant to which, among other things, Meritz agreed to subscribe for, and LTC agreed to issue to Meritz 50,000,000 Ordinary Shares, or the Meritz Subscription Shares, at an aggregate subscription price equal to US$500,000,000. Pursuant to the Meritz Subscription Agreement, security documents were executed and delivered, granting certain security interests over the Restricted Cash Account (as defined below) and the Restricted Securities Account (as defined below) in favor of Meritz (such documents being collectively referred to as the “Security Documents”) to secure the put options and certain other obligations of LTC under the Meritz Subscription Agreement and the security interests granted to Meritz in accordance with the Security Documents were created and perfected. Pursuant to the Meritz Subscription Agreement, LTC deposited into the Restricted Securities Account (i) certain U.S. treasury bonds with the aggregate outstanding principal amount of US$325,000,000, and (ii) certain U.S. treasury bonds and/or U.S. treasury bills with the aggregate outstanding principal amount of US$175,000,000 after February 22, 2024. The Meritz Subscription Agreement shall terminate upon the earliest to occur of (a) termination of the Merger Agreement; (b) March 15, 2024, or such later Termination Date of the Merger Agreement as agreed among the parties hereto; (c) such date on which Meritz ceases to hold any of the Meritz Subscription Shares; and (d) March 24, 2027. Upon the termination of the Meritz Subscription Agreement, Meritz shall release all U.S. treasury bonds and/or U.S. treasury bills from the Restricted Securities Account and all the cash collateral from the Restricted Cash Account, in the manner set out in the Security Documents.</w:t>
      </w:r>
    </w:p>
    <w:p>
      <w:pPr>
        <w:pStyle w:val="TextBody"/>
        <w:bidi w:val="0"/>
        <w:spacing w:lineRule="auto" w:line="285" w:before="0" w:after="240"/>
        <w:ind w:left="360" w:right="0" w:hanging="0"/>
        <w:jc w:val="left"/>
        <w:rPr>
          <w:rFonts w:ascii="Times New Roman;Times;serif" w:hAnsi="Times New Roman;Times;serif"/>
          <w:i/>
          <w:sz w:val="20"/>
        </w:rPr>
      </w:pPr>
      <w:r>
        <w:rPr>
          <w:rFonts w:ascii="Times New Roman;Times;serif" w:hAnsi="Times New Roman;Times;serif"/>
          <w:i/>
          <w:sz w:val="20"/>
        </w:rPr>
        <w:t>(i) Meritz Put Option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Meritz has a put option, or the Put Option, to sell all or part of the Meritz Subscription Shares then held by it to LTC or any third party as nominated by LTC and approved by Meritz at a price, or the Put Option Price, equal to the Agreed Return upon the occurrence of (a) any Credit Event (as defined below) in respect of LTC; (b) any Collateral Default (as defined below); (c) failure by LTC to either (i) ensure the total amount of freely available cash that is not subject to any legal or contractual restrictions as to withdrawal or use (excluding any restriction that is imposed by the foreign exchange rules or policies under applicable law) held by it as of the last date of each fiscal quarter shall be no less than US$175,000,000, in each case as evidenced in the applicable quarterly financial results filed or furnished by it with the SEC pursuant to a Current Report on Form 6-K, or (ii) file or furnish with the SEC pursuant to a Current Report on Form 6-K, (A) its quarterly financial results for each of the first and the third fiscal quarters within 60 calendar days following the last date of such fiscal quarter, (B) its second quarter and half-year financial results within 120 calendar days following the last date of such fiscal quarter, and (C) its fourth quarter and full-year financial results within 120 calendar days following the last date of such fiscal quarter; (d) failure of any of the Meritz Subscription Shares (including in the form of ADS) being eligible for resale pursuant to an effective registration statement filed with and declared effective by the SEC (such condition being referred to as the “Registration Condition”) and any such Meritz Subscription Shares not being eligible for resale under Rule 144 solely due to failure of LTC to meet the public information requirement under such rule at any time after August 22, 2024; or (e) February 22, 2027, which date may be extended by LTC subject to Meritz’s prior written consent (each of the events described in (a) through (e) is referred to as a “Put Option Trigger Event”). Meritz shall have the right to exercise the Put Option at any time from the date of occurrence of the applicable Put Option Trigger Event but on or before the 30th day after the receipt of a written notice from LTC of the occurrence of the applicable Put Option Trigger Event. Whether or not the Put Option has lapsed with respect to a particular Put Option Trigger Event, in the event of occurrence of another Put Option Trigger Event and provided that Meritz has not exercised the Put Option with respect to any of the Meritz Subscription Shares, the Put Option shall be deemed to be reinstated with respect to such other Put Option Trigger Event. The Put Option lapses if Meritz has not exercised the Put Option within 30 calendar days after the Third Anniversary. On the date on which LTC acquires such Meritz Subscription Shares with respect to which Meritz exercises its Put Option, or the “Put Option Shares, LTC shall be permitted to withdraw, and Meritz shall cause to be re-leased, all U.S. treasury bonds and/or U.S. treasury bills from the Restricted Securities Account and all the cash col-lateral from the Restricted Cash Account.</w:t>
      </w:r>
    </w:p>
    <w:p>
      <w:pPr>
        <w:pStyle w:val="TextBody"/>
        <w:bidi w:val="0"/>
        <w:spacing w:lineRule="auto" w:line="285" w:before="0" w:after="240"/>
        <w:ind w:left="0" w:right="0" w:firstLine="720"/>
        <w:jc w:val="both"/>
        <w:rPr/>
      </w:pPr>
      <w:r>
        <w:rPr/>
        <w:t>“</w:t>
      </w:r>
      <w:r>
        <w:rPr>
          <w:rFonts w:ascii="Times New Roman;Times;serif" w:hAnsi="Times New Roman;Times;serif"/>
          <w:sz w:val="20"/>
        </w:rPr>
        <w:t>Agreed Return” means (i) an amount that provides Meritz with a 12.5% internal rate of return on the product of: (a) US$500,000,000; and (b) a fraction, (x) the numerator of which is the number of the Put Option Shares; and (y) the denominator of which is 50,000,000 (subject to any applicable anti-dilution adjustment), less (ii) an amount that yields a 12.5% internal rate of return on any cash dividends actually received by Meritz from LTC with respect to the Put Option Shares. “Credit Event” means any change of control, delisting or suspension of trading for 30 consecutive trading days, or non-payment of financial indebtedness or final judgment or court order over specified amount. “Collateral Default” means any failure to satisfy the Cash Top Up Obligation (as defined below), any failure to deposit the U.S. treasury bonds and/or U.S. treasury bills in the manner and amounts as required under the Meritz Subscription Agreement, any failure by LTC to perfect the security interests in the manner as required under the Meritz Subscription Agreement, or any material breach of any Security Document.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rFonts w:ascii="Times New Roman;Times;serif" w:hAnsi="Times New Roman;Times;serif"/>
          <w:i/>
          <w:sz w:val="20"/>
        </w:rPr>
      </w:pPr>
      <w:r>
        <w:rPr>
          <w:rFonts w:ascii="Times New Roman;Times;serif" w:hAnsi="Times New Roman;Times;serif"/>
          <w:i/>
          <w:sz w:val="20"/>
        </w:rPr>
        <w:t>(ii) LTC Call Options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LTC has the right to acquire from Meritz (i) not more than the lower of (a) 17,500,000 Meritz Subscription Shares and (b) the number of Meritz Subscription Shares actually held by Meritz at the relevant time after the satisfaction of the Registration Condition and after the first date on which the arithmetic mean (such arithmetic mean being referred to as the “Market Price”) of the last reported publicly traded price of the Ordinary Shares of the Company at the closing of trading on a trading day (such traded price at closing being referred to as the “Closing Price”) for the five (5) trading days immediately prior to the date of determination is greater than US$14.00, at a per share purchase price of US$14.00 (such option being referred to as “Call Option 1”); (ii) not more than the lower of (a) 7,500,000 Meritz Subscription Shares and (b) the number of Meritz Subscription Shares actually held by Meritz at the relevant time ((such option being referred to as “Call Option 2”) after February 22, 2025 at a per share price equal to the greater of (a) US$14.00 and (b) the Market Price on the date of delivery of the notice by LTC to exercise Call Option 2; and (iii) not more than the lower of (a) 7,500,000 Meritz Subscription Shares and (b) the number of Meritz Subscription Shares actually held by Meritz at the relevant time (such option being referred to as “Call Option 3,” and together with Call Option 1 and Call Option 2, being collectively referred to as the “Call Options”) after February 22, 2026 at a per share price equal to the greater of (a) US$14.00 and (b) the Market Price on the date of delivery of the notice by LTC to exercise Call Option 3. Call Option 1 lapses on the earlier of the date that is (i) two business days after Call Option 1 becomes exercisable if LTC has not delivered the notice to exercise Call Option 1 before then, and (ii) 25 months after the closing date of the Meritz Investment. Each of Call Option 2 and Call Option 3 lapses 30 calendar days after the applicable Call Option becomes exercisable if LTC has not delivered the notice exercise the applicable Call Option before then. On the date on which LTC acquires such Meritz Subscription Shares with respect to which LTC exercises Call Option 2 or Call Option 3 (subject to payment of the applicable Call Option price to Meritz), LTC shall be permitted to withdraw U.S. treasury bonds from the Restricted Securities Account in the outstanding principal amount that is equal to (a) the number of the Meritz Subscription Shares subject to the applicable Call Option multiplied by (b) US$10.00.</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LTC declines (or fails to accept the offer) to acquire the Meritz Subscription Shares pursuant to its right of first offer as described below, Call Option 2 and Call Option 3 shall immediately lapse.</w:t>
      </w:r>
    </w:p>
    <w:p>
      <w:pPr>
        <w:pStyle w:val="TextBody"/>
        <w:bidi w:val="0"/>
        <w:spacing w:lineRule="auto" w:line="285" w:before="0" w:after="240"/>
        <w:ind w:left="360" w:right="0" w:hanging="0"/>
        <w:jc w:val="left"/>
        <w:rPr>
          <w:rFonts w:ascii="Times New Roman;Times;serif" w:hAnsi="Times New Roman;Times;serif"/>
          <w:i/>
          <w:sz w:val="20"/>
        </w:rPr>
      </w:pPr>
      <w:r>
        <w:rPr>
          <w:rFonts w:ascii="Times New Roman;Times;serif" w:hAnsi="Times New Roman;Times;serif"/>
          <w:i/>
          <w:sz w:val="20"/>
        </w:rPr>
        <w:t>(iii) LTC Right of First Offer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From and after the first date on which Meritz holds 15,000,000 (or 7,500,000, if as of such date, LTC has exercised Call Option 2) or fewer Meritz Subscription Shares, if Meritz desires to sell, dispose of or otherwise transfer 1,000,000 or more Meritz Subscription Shares to any third party in one or a series of related transactions, then LTC shall have a right of first offer to purchase all (but not less than all) Meritz Subscription Shares then held by Meritz, at a per share price equal to the Market Price as of the date of delivery of a written notice to LTC from Meritz of the proposed transfer. LTC shall have two business days following the receipt of such notice to accept or reject such offer. In the event that LTC does not elect to exercise its right of first offer, Meritz may transfer the relevant Meritz Subscription Shares to such third party within 180 days (as may be extended for regulatory approval) at a per share price equal to or higher than the Market Price as of the date of delivery of the written notice to LTC. In no event shall Meritz be required to deliver any notice pursuant to LTC’s right of first offer more than once.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LTC’s right of first offer shall be void and of no force and effect upon the earlier of (a) the exercise of both Call Option 2 and Call Option 3 by LTC, and (b) March 22, 2026.</w:t>
      </w:r>
    </w:p>
    <w:p>
      <w:pPr>
        <w:pStyle w:val="TextBody"/>
        <w:bidi w:val="0"/>
        <w:spacing w:lineRule="auto" w:line="285" w:before="0" w:after="240"/>
        <w:ind w:left="360" w:right="0" w:hanging="0"/>
        <w:jc w:val="left"/>
        <w:rPr>
          <w:rFonts w:ascii="Times New Roman;Times;serif" w:hAnsi="Times New Roman;Times;serif"/>
          <w:i/>
          <w:sz w:val="20"/>
        </w:rPr>
      </w:pPr>
      <w:r>
        <w:rPr>
          <w:rFonts w:ascii="Times New Roman;Times;serif" w:hAnsi="Times New Roman;Times;serif"/>
          <w:i/>
          <w:sz w:val="20"/>
        </w:rPr>
        <w:t>(iv) Security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LTC’s obligations to pay the Put Option Price, purchase price for Call Options and purchase price for the Meritz Subscription Shares with respect to which LTC has exercised its right of first offer under the Meritz Subscription Agreement (amount of payment by LTC to Meritz to fulfil such obligations and any obligations under any of the Security Documents, together with any expenses of Meritz in connection with any sale or other realization to enforce its security interest, are collectively referred to as the “Secured Amount”) are secured by (a) a fixed charge over a restricted securities account, or the Restricted Securities Account, of LTC holding certain U.S. treasury bonds and/or U.S. treasury bills granted in favor of Meritz, and (b) a fixed charge over a restricted cash account of LTC granted in favor of Meritz, subject to the requirement for LTC to deposit cash into and/or the right of LTC to have certain cash be released from such cash account, or the Restricted Cash Account, depending on the trading price of Ordinary Shares (including in the form of ADS), as described below.</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After Meritz has released U.S. treasury bonds and/or U.S. treasury bills with outstanding principal amount equal to US$175,000,000, in the event that the Closing Price drops below a certain level, LTC is obligated to, within five business days thereafter, deposit additional cash in U.S. dollars in the Restricted Cash Account such that the balance thereof would meet the applicable requirement for cash collateral (such obligation to top up being referred to as the “Cash Top Up Obligation”). If the Closing Price on any trading day exceeds US$7.00 and if no Event of Default, Credit Event or Collateral Default has occurred and is continuing or would result therefrom, LTC shall be permitted to withdraw all cash in the Restricted Cash Account on such trading day, with such withdrawal to take place on such trading day or the immediately following trading day. Subject to the satisfaction of the Registration Condition, LTC’s Cash Top Up Obligations shall terminate from and after the earlier of (a) the first date on which the Closing Price exceeds US$14.00, and (b) the full payment of the Put Option Price to Meritz.</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Upon the later of (i) May 22, 2024 and (ii) satisfaction of the Registration Condition, if no Event of Default, Credit Event or Collateral Default has occurred and is continuing or would result therefrom, LTC shall be permitted to withdraw U.S. treasury bonds and/or U.S. treasury bills with outstanding principal amount equal to US$175,000,000 from the Restricted Securities Account.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Meritz shall have the right to Rehypothecate all collateralized U.S. treasury bonds and/or U.S. treasury bills during the applicable security period without any further consent of LTC, subject to the applicable terms and conditions of the Security Documents. Subject to the terms and conditions of the Security Documents, (a) Meritz shall pay any coupon payments received in respect of the Rehypothecated U.S. treasury bonds and/or U.S. treasury bills to an account designated by LTC promptly following the date of actual payment thereof, (b) in the event that LTC is permitted under the Meritz Subscription Agreement to withdraw any Rehypothecated U.S. treasury bonds and/or U.S. treasury bills and provides Meritz with written notice of such requested withdrawal, Meritz shall return (or cause to be returned) to the Restricted Securities Account U.S. treasury bonds and/or U.S. treasury bills of the same (i) class and issue (as shall be evidenced by such returned U.S. treasury bonds and/or U.S. treasury bills having the same CUSIP/ISIN number) and (ii) outstanding principal amount as the U.S. treasury bonds and/or U.S. treasury bills subject to withdrawal, and (c) Meritz shall be obligated, upon the earlier of (i) the expiry of the applicable security period or (ii) the occurrence of any insolvency event, bankruptcy, liquidation, dissolution or winding up or similar event, whether voluntary of involuntary, or a filing for bankruptcy or similar proceedings in respect of Meritz, return all Rehypothecated U.S. treasury bonds and/or U.S. treasury bills to the Restricted Securities Ac-count.</w:t>
      </w:r>
    </w:p>
    <w:p>
      <w:pPr>
        <w:pStyle w:val="TextBody"/>
        <w:bidi w:val="0"/>
        <w:spacing w:lineRule="auto" w:line="285" w:before="0" w:after="240"/>
        <w:ind w:left="0" w:right="0" w:firstLine="720"/>
        <w:jc w:val="both"/>
        <w:rPr/>
      </w:pPr>
      <w:r>
        <w:rPr/>
        <w:t>“</w:t>
      </w:r>
      <w:r>
        <w:rPr>
          <w:rFonts w:ascii="Times New Roman;Times;serif" w:hAnsi="Times New Roman;Times;serif"/>
          <w:sz w:val="20"/>
        </w:rPr>
        <w:t>Events of Default” means any of the following: (a) if LTC fails to fulfil its obligations with respect to the Put Option, (b) if LTC fails to deliver a written notice of the occurrence of a Put Option Trigger Event to Meritz with-in five business days of such occurrence (February 22, 2027), (c) if LTC exercises any of the Call Options but fails to fulfil its obligations with respect to such Call Options, (d) if LTC exercises its right of first offer but fails to fulfil its obligations with respect to its right of first offer, or (e) any voluntary or involuntary insolvency event, bankruptcy, liquidation, dissolution or winding up or similar event, or a filing for bankruptcy or similar proceedings, of LTC.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an Event of Default occurs, Meritz shall have the right to enforce the security interests granted to Meritz in accordance with the Security Documents to recover the Secured Amount, and to the extent there is a shortfall between the gross proceeds that Meritz has realized from enforcement of the security interests and the Secured Amount, LTC remains liable to pay such shortfall to Meritz. Immediately after and solely to the extent that Meritz has actually received the Secured Amount, Meritz shall surrender the applicable Meritz Subscription Shares (which are the subject of the event or occurrence giving rise to the applicable Event of Default) to LTC at nil consideration.</w:t>
      </w:r>
    </w:p>
    <w:p>
      <w:pPr>
        <w:pStyle w:val="TextBody"/>
        <w:bidi w:val="0"/>
        <w:spacing w:lineRule="auto" w:line="285" w:before="0" w:after="240"/>
        <w:ind w:left="360" w:right="0" w:hanging="0"/>
        <w:jc w:val="left"/>
        <w:rPr>
          <w:rFonts w:ascii="Times New Roman;Times;serif" w:hAnsi="Times New Roman;Times;serif"/>
          <w:i/>
          <w:sz w:val="20"/>
        </w:rPr>
      </w:pPr>
      <w:r>
        <w:rPr>
          <w:rFonts w:ascii="Times New Roman;Times;serif" w:hAnsi="Times New Roman;Times;serif"/>
          <w:i/>
          <w:sz w:val="20"/>
        </w:rPr>
        <w:t>(v) Registration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Ordinary Shares were issued to Meritz pursuant to the Meritz Investment in an offshore transaction under the ex-emption from registration requirements of the Securities Act provided by Regulation S promulgated thereunder. The Meritz Subscription Agreement provides that LTC will file with the SEC (at LTC’s sole cost and expense) a registration statement registering the resale of the Ordinary Shares subscribed by Meritz and will use its commercially reasonable efforts to have such registration statement declared effective as soon as practicable after the filing thereof but no later than August 22, 2024. Meritz will also have piggyback registration rights for the Meritz Subscription Shares in connection with certain registrations of securities that LTC undertakes. On September 30, 2024, the Company and Meritz entered into a supplemental agreement for the Meritz Subscription Agreement.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rFonts w:ascii="Times New Roman;Times;serif" w:hAnsi="Times New Roman;Times;serif"/>
          <w:i/>
          <w:sz w:val="20"/>
        </w:rPr>
      </w:pPr>
      <w:r>
        <w:rPr>
          <w:rFonts w:ascii="Times New Roman;Times;serif" w:hAnsi="Times New Roman;Times;serif"/>
          <w:i/>
          <w:sz w:val="20"/>
        </w:rPr>
        <w:t>(vi) Subsequent Agreements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November 29, 2024, we entered into a share buyback agreement, or the Meritz Share Buyback Agreement with Meritz, pursuant to which Meritz agrees to sell and surrender, and we agree to repurchase, 17,500,000 ADSs, or the Repurchased Meritz ADSs. Ordinary Shares underlying the Repurchased Meritz ADSs constitute a part of Meritz Investment, or the Meritz Shares. The total consideration payable by us for the buyback equals the amount that provides Meritz with a 12.5% internal rate of return, calculated for the period between the Closing Date and the date of the closing of the buyback, on US$175 million. We did not repurchase the 17,500,000 ADSs under the Meritz Share Buyback Agreement by December 31, 2024, and we entered into an amended and restated share buyback agreement, or the A&amp;R Meritz Share Buyback Agreement with Meritz and our wholly-owned subsidiary, Lotus EV Limited on March 28, 2025, to amend and restate in its entirety the Meritz Share Buyback Agreement. Pursuant to the A&amp;R Meritz Share Buyback Agreement. Under the A&amp;R Meritz Share Buyback Agreement, Meritz agrees to sell, and we agree to repurchase, 17,500,000 ADSs. Ordinary Shares underlying the repurchased ADSs constitute a part of the Meritz Investment. Pursuant to the A&amp;R Meritz Share Buyback Agreement, we agree to and complete the full payment of a deposit of US$150,937,500, herein referred to as the SBA Deposit, to Meritz on or before April 30, 2025 and the remaining repurchase price (an amount that provides Meritz with a 12.5% IRR on US$48,109,420, calculated for the period between March 28, 2025 and the date of buyback closing), together with any accrued default interest (to the extent not waived by Meritz in accordance with the A&amp;R Meritz Share Buyback Agreement), at the buyback closing to take place on or before September 30, 2025. Closing of the buyback is subject to customary closing conditions. At the buyback losing, Meritz is required to return 17,500,000 ADSs to us against payment by us of the amount payable at closing. The SBA Deposit was paid in full as of April 30, 2025.</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Upon signing of the A&amp;R Meritz Share Buyback Agreement and until the buyback closing, (i) certain obligations of us under the Meritz Subscription Agreement have been suspended, including our obligations (A) to deposit additional cash as collateral in the restricted cash account to secure its obligations due to changes in the closing price of the ADSs; and (B) to maintain US$175 million of unrestricted cash as of the last date of each fiscal quarter; and (ii) Meritz agreed not to enforce the U.S. treasury bonds with the aggregate outstanding principal amount of US$325,000,000 which was pledged by the Company in favor of Meritz. Upon the completion of the share buyback, certain provisions under Meritz Subscription Agreement will terminate, including: (i) our obligation to maintain US$175 million of unrestricted cash as of the last date of each fiscal quarter; (ii) our call option to acquire certain ADSs held y Meritz at US$14.00 per share if the closing price of the ADSs for a five-trading-day period exceeds US$14.00; and (iii) our obligation to deposit additional cash as collateral in the restricted cash account to secure its obligations due to changes in the closing price of the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July 31, 2025, Meritz sold and surrendered, and we repurchased, a total of 17,500,000 ADSs for a total consideration of US$201.0 million pursuant to a share buyback agreement and an amended and restated share buyback agreement entered into on November 29, 2024 and March 28, 2025, respectively, each between us and Meritz. On September 5, 2025, Meritz sold and surrendered, and we repurchased, a total of 32,500,000 ADSs for a total consideration of US$387.4 million plus additional depositary fees of US$1.0 million pursuant to a share buyback agreement entered into on August 27, 2025 between us and Meritz. The original share subscription agreement, including all our obligations thereunder, terminated immediately upon the closing of the second buyback on September 5, 2025.</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Compensation—Share Incentive Plans.”</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sold sports cars, EV lifestyle models, auto parts and peripheral products and provided R&amp;D services and other consulting services to a number of related parties. We provided services to related parties amounting to US$29.0 million, US$24.4 million and US$12.6 million for the years ended December 31, 2025, 2024 and 2023, respectively. We sold sports cars, EV lifestyle models, auto parts and peripheral products to related parties amounting to US$5.9 million, US$18.2 million and US$3.4 million for the years end December 31, 2025, 2024 and 2023, respectively. Accounts receivable due from related parties arising from sales of goods and provision of services, including facilitation services in relation to logistics and order processing, were US$114.1 million and US$107.8 million as of December 31, 2025 and 2024, respectively. As of December 31, 2025 and 2024, receipts in advance of US$228 thousand and US$150 thousand were included in contract liabilities – related parties, respectively.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Prepayments and other current assets – related parties and other non-current assets – related parties of us are arising from transactions related to purchase of products and services, loans to related parties, and cash receipts on behalf of us as follows.</w:t>
      </w:r>
    </w:p>
    <w:tbl>
      <w:tblPr>
        <w:tblW w:w="10205" w:type="dxa"/>
        <w:jc w:val="left"/>
        <w:tblInd w:w="0" w:type="dxa"/>
        <w:tblLayout w:type="fixed"/>
        <w:tblCellMar>
          <w:top w:w="0" w:type="dxa"/>
          <w:left w:w="0" w:type="dxa"/>
          <w:bottom w:w="0" w:type="dxa"/>
          <w:right w:w="0" w:type="dxa"/>
        </w:tblCellMar>
      </w:tblPr>
      <w:tblGrid>
        <w:gridCol w:w="124"/>
        <w:gridCol w:w="269"/>
        <w:gridCol w:w="9812"/>
      </w:tblGrid>
      <w:tr>
        <w:trPr/>
        <w:tc>
          <w:tcPr>
            <w:tcW w:w="1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(a)</w:t>
            </w:r>
          </w:p>
        </w:tc>
        <w:tc>
          <w:tcPr>
            <w:tcW w:w="9812"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We made payments of US$11.1 million, US$24.1 million and US$4.0 million on behalf of related parties for the years ended December 31, 2025, 2024 and 2023, respectively. Related parties collected cash receipts of nil, nil and US$3.7 million on behalf of us for the years ended December 31, 2025, 2024 and 2023, respectively. As of December 31, 2025 and 2024, receivables of US$5.8 million and US$21.7 million were included in prepayments and other current assets – related parties, respectively.</w:t>
            </w:r>
          </w:p>
        </w:tc>
      </w:tr>
    </w:tbl>
    <w:tbl>
      <w:tblPr>
        <w:tblW w:w="10205" w:type="dxa"/>
        <w:jc w:val="left"/>
        <w:tblInd w:w="0" w:type="dxa"/>
        <w:tblLayout w:type="fixed"/>
        <w:tblCellMar>
          <w:top w:w="0" w:type="dxa"/>
          <w:left w:w="0" w:type="dxa"/>
          <w:bottom w:w="0" w:type="dxa"/>
          <w:right w:w="0" w:type="dxa"/>
        </w:tblCellMar>
      </w:tblPr>
      <w:tblGrid>
        <w:gridCol w:w="124"/>
        <w:gridCol w:w="281"/>
        <w:gridCol w:w="98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(b)</w:t>
            </w:r>
          </w:p>
        </w:tc>
        <w:tc>
          <w:tcPr>
            <w:tcW w:w="9800"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On March 11, 2024, our subsidiary and a related party, ultimately controlled by the Controlling Shareholder, entered into a loan agreement, pursuant to which our subsidiary provided unsecured loans with a total principal amount of US$354.0 million with a term of five years and annual interest rate of 6.95%. During the year ended December 31, 2025, we provided loan principal of US$60.7 million and recognized interest income of US$20.1 million. As of December 31, 2025, the receivable for the loan principal and interest was US$351.5 million was included in loan receivable from a related party.</w:t>
            </w:r>
          </w:p>
        </w:tc>
      </w:tr>
    </w:tbl>
    <w:p>
      <w:pPr>
        <w:pStyle w:val="TextBody"/>
        <w:bidi w:val="0"/>
        <w:spacing w:lineRule="auto" w:line="285" w:before="0" w:after="240"/>
        <w:ind w:left="1440" w:right="0" w:hanging="0"/>
        <w:jc w:val="both"/>
        <w:rPr>
          <w:rFonts w:ascii="Times New Roman;Times;serif" w:hAnsi="Times New Roman;Times;serif"/>
          <w:sz w:val="20"/>
        </w:rPr>
      </w:pPr>
      <w:r>
        <w:rPr>
          <w:rFonts w:ascii="Times New Roman;Times;serif" w:hAnsi="Times New Roman;Times;serif"/>
          <w:sz w:val="20"/>
        </w:rPr>
        <w:t>We disposed a subsidiary in September 2024. We provided unsecured short-term loans to that subsidiary with an interest rate of 3% per annum. During the year ended December 31, 2025, we recognized interest income of US$482 thousand. As of December 31, 2025, the receivable for the loan principal and interest of US$18.1 million was included in prepayments and other current assets – related parties.</w:t>
      </w:r>
    </w:p>
    <w:p>
      <w:pPr>
        <w:pStyle w:val="TextBody"/>
        <w:bidi w:val="0"/>
        <w:spacing w:lineRule="auto" w:line="285" w:before="0" w:after="240"/>
        <w:ind w:left="1440" w:right="0" w:hanging="0"/>
        <w:jc w:val="both"/>
        <w:rPr>
          <w:rFonts w:ascii="Times New Roman;Times;serif" w:hAnsi="Times New Roman;Times;serif"/>
          <w:sz w:val="20"/>
        </w:rPr>
      </w:pPr>
      <w:r>
        <w:rPr>
          <w:rFonts w:ascii="Times New Roman;Times;serif" w:hAnsi="Times New Roman;Times;serif"/>
          <w:sz w:val="20"/>
        </w:rPr>
        <w:t>During the years ended December 31, 2025, 2024 and 2023, we provided unsecured short-term loans of nil, US$0.6 million and US$1.2 million, respectively, to related parties with interest rates of 3.65%-4.5% per annum. We recognized interest income of US$153 thousand, US$131 thousand and US$122 thousand for the years ended December 31, 2025, 2024 and 2023, respectively. As of December 31, 2025 and 2024, the receivable for the loan principal and interest of US$4.7 million and US$3.3 million were included in prepayments and other current assets – related parties, respectively.</w:t>
      </w:r>
    </w:p>
    <w:tbl>
      <w:tblPr>
        <w:tblW w:w="10205" w:type="dxa"/>
        <w:jc w:val="left"/>
        <w:tblInd w:w="0" w:type="dxa"/>
        <w:tblLayout w:type="fixed"/>
        <w:tblCellMar>
          <w:top w:w="0" w:type="dxa"/>
          <w:left w:w="0" w:type="dxa"/>
          <w:bottom w:w="0" w:type="dxa"/>
          <w:right w:w="0" w:type="dxa"/>
        </w:tblCellMar>
      </w:tblPr>
      <w:tblGrid>
        <w:gridCol w:w="124"/>
        <w:gridCol w:w="281"/>
        <w:gridCol w:w="98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(c)</w:t>
            </w:r>
          </w:p>
        </w:tc>
        <w:tc>
          <w:tcPr>
            <w:tcW w:w="9800"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The amounts of prepayments to related parties for purchase of vehicles, auto parts and peripheral products of US$83.3 million and US$33.2 million were included in prepayments and other current assets – related parties as of December 31, 2025 and 2024, respectively.</w:t>
            </w:r>
          </w:p>
        </w:tc>
      </w:tr>
    </w:tbl>
    <w:tbl>
      <w:tblPr>
        <w:tblW w:w="10205" w:type="dxa"/>
        <w:jc w:val="left"/>
        <w:tblInd w:w="0" w:type="dxa"/>
        <w:tblLayout w:type="fixed"/>
        <w:tblCellMar>
          <w:top w:w="0" w:type="dxa"/>
          <w:left w:w="0" w:type="dxa"/>
          <w:bottom w:w="0" w:type="dxa"/>
          <w:right w:w="0" w:type="dxa"/>
        </w:tblCellMar>
      </w:tblPr>
      <w:tblGrid>
        <w:gridCol w:w="124"/>
        <w:gridCol w:w="299"/>
        <w:gridCol w:w="97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(d)</w:t>
            </w:r>
          </w:p>
        </w:tc>
        <w:tc>
          <w:tcPr>
            <w:tcW w:w="9782"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The amounts of prepayments to related parties for short-term lease agreements of US$9 thousand and US$5 thousand were included in prepayments and other current assets – related parties as of December 31, 2025 and 2024, respectively.</w:t>
            </w:r>
          </w:p>
        </w:tc>
      </w:tr>
    </w:tbl>
    <w:tbl>
      <w:tblPr>
        <w:tblW w:w="10205" w:type="dxa"/>
        <w:jc w:val="left"/>
        <w:tblInd w:w="0" w:type="dxa"/>
        <w:tblLayout w:type="fixed"/>
        <w:tblCellMar>
          <w:top w:w="0" w:type="dxa"/>
          <w:left w:w="0" w:type="dxa"/>
          <w:bottom w:w="0" w:type="dxa"/>
          <w:right w:w="0" w:type="dxa"/>
        </w:tblCellMar>
      </w:tblPr>
      <w:tblGrid>
        <w:gridCol w:w="124"/>
        <w:gridCol w:w="275"/>
        <w:gridCol w:w="9806"/>
      </w:tblGrid>
      <w:tr>
        <w:trPr/>
        <w:tc>
          <w:tcPr>
            <w:tcW w:w="1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(e)</w:t>
            </w:r>
          </w:p>
        </w:tc>
        <w:tc>
          <w:tcPr>
            <w:tcW w:w="9806"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During the years ended December 31, 2025, 2024 and 2023, we paid nil, US$1.1 million and nil as deposit for services, which was included in other non-current assets - related parties. As of December 31, 2025 and 2024, the deposit paid recorded in other non-current assets - related parties was US$569 thousand and US$1.1 million, respectively.</w:t>
            </w:r>
          </w:p>
        </w:tc>
      </w:tr>
    </w:tbl>
    <w:tbl>
      <w:tblPr>
        <w:tblW w:w="10205" w:type="dxa"/>
        <w:jc w:val="left"/>
        <w:tblInd w:w="0" w:type="dxa"/>
        <w:tblLayout w:type="fixed"/>
        <w:tblCellMar>
          <w:top w:w="0" w:type="dxa"/>
          <w:left w:w="0" w:type="dxa"/>
          <w:bottom w:w="0" w:type="dxa"/>
          <w:right w:w="0" w:type="dxa"/>
        </w:tblCellMar>
      </w:tblPr>
      <w:tblGrid>
        <w:gridCol w:w="124"/>
        <w:gridCol w:w="248"/>
        <w:gridCol w:w="9833"/>
      </w:tblGrid>
      <w:tr>
        <w:trPr/>
        <w:tc>
          <w:tcPr>
            <w:tcW w:w="12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(f)</w:t>
            </w:r>
          </w:p>
        </w:tc>
        <w:tc>
          <w:tcPr>
            <w:tcW w:w="9833"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During the years ended December 31, 2025, 2024 and 2023, we disposed equipment amounting to US$11.0 million, nil and nil to related parties. As of December 31, 2025 and 2024, receivable from the disposal recorded in prepayments and other current assets – related parties was US$2.7 million and nil.</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300"/>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(g)</w:t>
            </w:r>
          </w:p>
        </w:tc>
        <w:tc>
          <w:tcPr>
            <w:tcW w:w="978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As of December 31, 2025 and 2024, contract assets related to R&amp;D services provided to related parties of nil and US$929 thousand was included as contract asset in prepayments and other current assets – related parties, respectively.</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Accounts payable – related parties, accrued expenses and other current liabilities – related parties and other non-current liabilities– related parties are arising from transactions related to purchase of products and services, purchase of equipment and software, and payments by related parties on behalf of us as follows.</w:t>
      </w:r>
    </w:p>
    <w:tbl>
      <w:tblPr>
        <w:tblW w:w="10205" w:type="dxa"/>
        <w:jc w:val="left"/>
        <w:tblInd w:w="0" w:type="dxa"/>
        <w:tblLayout w:type="fixed"/>
        <w:tblCellMar>
          <w:top w:w="0" w:type="dxa"/>
          <w:left w:w="0" w:type="dxa"/>
          <w:bottom w:w="0" w:type="dxa"/>
          <w:right w:w="0" w:type="dxa"/>
        </w:tblCellMar>
      </w:tblPr>
      <w:tblGrid>
        <w:gridCol w:w="124"/>
        <w:gridCol w:w="268"/>
        <w:gridCol w:w="9813"/>
      </w:tblGrid>
      <w:tr>
        <w:trPr/>
        <w:tc>
          <w:tcPr>
            <w:tcW w:w="1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(a)</w:t>
            </w:r>
          </w:p>
        </w:tc>
        <w:tc>
          <w:tcPr>
            <w:tcW w:w="9813"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We purchased sports cars, EV lifestyle models, auto parts, peripheral products, commercial services relating to sales of sports cars and EV lifestyle models and other consulting services from related parties. During the years ended December 31, 2025, 2024 and 2023, these purchases amounted to US$445.2 million, US$759.7 million and US$852.6 million, among which, US$349.2 million, US$774.0 million and US$549.9 million were recognized as cost of goods sold for the years ended December 31, 2025, 2024 and 2023, respectively.</w:t>
            </w:r>
          </w:p>
        </w:tc>
      </w:tr>
    </w:tbl>
    <w:p>
      <w:pPr>
        <w:pStyle w:val="TextBody"/>
        <w:bidi w:val="0"/>
        <w:spacing w:lineRule="auto" w:line="285" w:before="0" w:after="240"/>
        <w:ind w:left="1440" w:right="0" w:hanging="0"/>
        <w:jc w:val="both"/>
        <w:rPr>
          <w:rFonts w:ascii="Times New Roman;Times;serif" w:hAnsi="Times New Roman;Times;serif"/>
          <w:sz w:val="20"/>
        </w:rPr>
      </w:pPr>
      <w:r>
        <w:rPr>
          <w:rFonts w:ascii="Times New Roman;Times;serif" w:hAnsi="Times New Roman;Times;serif"/>
          <w:sz w:val="20"/>
        </w:rPr>
        <w:t>As of December 31, 2025 and 2024, the amounts due to related parties for purchase of office materials, commercial services relating to sales of sports cars and EV lifestyle models and other consulting services of US$52.9 million and US$25.5 million were included in accrued expenses and other current liabilities – related parties, respectively.</w:t>
      </w:r>
    </w:p>
    <w:p>
      <w:pPr>
        <w:pStyle w:val="TextBody"/>
        <w:bidi w:val="0"/>
        <w:spacing w:lineRule="auto" w:line="285" w:before="0" w:after="240"/>
        <w:ind w:left="1440" w:right="0" w:hanging="0"/>
        <w:jc w:val="both"/>
        <w:rPr>
          <w:rFonts w:ascii="Times New Roman;Times;serif" w:hAnsi="Times New Roman;Times;serif"/>
          <w:sz w:val="20"/>
        </w:rPr>
      </w:pPr>
      <w:r>
        <w:rPr>
          <w:rFonts w:ascii="Times New Roman;Times;serif" w:hAnsi="Times New Roman;Times;serif"/>
          <w:sz w:val="20"/>
        </w:rPr>
        <w:t>As of December 31, 2025 and 2024, the amounts due to related parties for purchase of sports cars, EV lifestyle models, auto parts and peripheral products of US$458.2 million and US$410.4 million were included in accounts payable-related parties, respectively.</w:t>
      </w:r>
    </w:p>
    <w:p>
      <w:pPr>
        <w:pStyle w:val="TextBody"/>
        <w:bidi w:val="0"/>
        <w:spacing w:lineRule="auto" w:line="285" w:before="0" w:after="240"/>
        <w:ind w:left="1440" w:right="0" w:hanging="0"/>
        <w:jc w:val="both"/>
        <w:rPr>
          <w:rFonts w:ascii="Times New Roman;Times;serif" w:hAnsi="Times New Roman;Times;serif"/>
          <w:sz w:val="20"/>
        </w:rPr>
      </w:pPr>
      <w:r>
        <w:rPr>
          <w:rFonts w:ascii="Times New Roman;Times;serif" w:hAnsi="Times New Roman;Times;serif"/>
          <w:sz w:val="20"/>
        </w:rPr>
        <w:t>During the year ended December 31, 2025, 2024 and 2023, we incurred interest expense of US$15.0 million, US$17.5 million and nil due to the delay payments of accounts payable due to related parties, bearing interest rate of 6.95%.</w:t>
      </w:r>
    </w:p>
    <w:tbl>
      <w:tblPr>
        <w:tblW w:w="10205" w:type="dxa"/>
        <w:jc w:val="left"/>
        <w:tblInd w:w="0" w:type="dxa"/>
        <w:tblLayout w:type="fixed"/>
        <w:tblCellMar>
          <w:top w:w="0" w:type="dxa"/>
          <w:left w:w="0" w:type="dxa"/>
          <w:bottom w:w="0" w:type="dxa"/>
          <w:right w:w="0" w:type="dxa"/>
        </w:tblCellMar>
      </w:tblPr>
      <w:tblGrid>
        <w:gridCol w:w="124"/>
        <w:gridCol w:w="284"/>
        <w:gridCol w:w="9797"/>
      </w:tblGrid>
      <w:tr>
        <w:trPr/>
        <w:tc>
          <w:tcPr>
            <w:tcW w:w="1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(b)</w:t>
            </w:r>
          </w:p>
        </w:tc>
        <w:tc>
          <w:tcPr>
            <w:tcW w:w="9797"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We purchased products and services from related parties for R&amp;D activities. We recoded R&amp;D expenses of US$59.3 million, US$107.5 million and US$134.7 million during the years ended December 31, 2025, 2024 and 2023, respectively. As of December 31, 2025 and 2024, the amounts due to related parties for purchase of products and services for R&amp;D activities of US$156.4 million and US$184.1 million were included in accrued expenses and other current liabilities – related parties, respectively.</w:t>
            </w:r>
          </w:p>
        </w:tc>
      </w:tr>
    </w:tbl>
    <w:tbl>
      <w:tblPr>
        <w:tblW w:w="10205" w:type="dxa"/>
        <w:jc w:val="left"/>
        <w:tblInd w:w="0" w:type="dxa"/>
        <w:tblLayout w:type="fixed"/>
        <w:tblCellMar>
          <w:top w:w="0" w:type="dxa"/>
          <w:left w:w="0" w:type="dxa"/>
          <w:bottom w:w="0" w:type="dxa"/>
          <w:right w:w="0"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(c)</w:t>
            </w:r>
          </w:p>
        </w:tc>
        <w:tc>
          <w:tcPr>
            <w:tcW w:w="9810"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We purchased equipment and software of US$534 thousand, US$1.3 million and US$11.2 million from related parties for the years ended December 31, 2025, 2024 and 2023, respectively. As of December 31, 2025 and 2024, the amounts due to related parties for purchase of equipment and software of US$1.6 million and US$2.6 million were included in accrued expenses and other current liabilities – related parties, respectively.</w:t>
            </w:r>
          </w:p>
        </w:tc>
      </w:tr>
    </w:tbl>
    <w:tbl>
      <w:tblPr>
        <w:tblW w:w="10205" w:type="dxa"/>
        <w:jc w:val="left"/>
        <w:tblInd w:w="0" w:type="dxa"/>
        <w:tblLayout w:type="fixed"/>
        <w:tblCellMar>
          <w:top w:w="0" w:type="dxa"/>
          <w:left w:w="0" w:type="dxa"/>
          <w:bottom w:w="0" w:type="dxa"/>
          <w:right w:w="0"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(d)</w:t>
            </w:r>
          </w:p>
        </w:tc>
        <w:tc>
          <w:tcPr>
            <w:tcW w:w="9796"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During the year ended December 31, 2025, 2024 and 2023, related parties paid US$2.9 million, US$5.2 million and US$14.5 million on behalf of us in association with travelling expenses, staff salary and social welfare, and other miscellaneous expenses, out of which US$397 thousand and US$1.2 million were included in accrued expenses and other current liabilities – related parties as of December 31, 2025 and 2024, respectively.</w:t>
            </w:r>
          </w:p>
        </w:tc>
      </w:tr>
    </w:tbl>
    <w:tbl>
      <w:tblPr>
        <w:tblW w:w="10205" w:type="dxa"/>
        <w:jc w:val="left"/>
        <w:tblInd w:w="0" w:type="dxa"/>
        <w:tblLayout w:type="fixed"/>
        <w:tblCellMar>
          <w:top w:w="0" w:type="dxa"/>
          <w:left w:w="0" w:type="dxa"/>
          <w:bottom w:w="0" w:type="dxa"/>
          <w:right w:w="0"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(e)</w:t>
            </w:r>
          </w:p>
        </w:tc>
        <w:tc>
          <w:tcPr>
            <w:tcW w:w="981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We entered into short-term lease agreements with related parties to rent office spaces. During the years ended December 31, 2025, 2024 and 2023, we incurred short-term lease costs of US$172 thousand, US$129 thousand and US$765 thousand, respectively. As of December 31, 2025 and 2024, payables for short-term leases of nil and US$48 thousand were included in accrued expenses and other current liabilities – related parties, respectively.</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(f)</w:t>
            </w:r>
          </w:p>
        </w:tc>
        <w:tc>
          <w:tcPr>
            <w:tcW w:w="984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We received deposits of nil, US$14 thousand and US$251 thousand from related parties for the years ended December 31, 2025, 2024 and 2023, respectively. As of December 31, 2025 and 2024, US$306 thousand and US$39 thousand were included in accrued expenses and other current liabilities – related parties, and US$856 thousand and US$1.5 million were included in other non-current liabilities-related parties, respectively.</w:t>
            </w:r>
          </w:p>
        </w:tc>
      </w:tr>
    </w:tbl>
    <w:tbl>
      <w:tblPr>
        <w:tblW w:w="10205" w:type="dxa"/>
        <w:jc w:val="left"/>
        <w:tblInd w:w="0" w:type="dxa"/>
        <w:tblLayout w:type="fixed"/>
        <w:tblCellMar>
          <w:top w:w="0" w:type="dxa"/>
          <w:left w:w="0" w:type="dxa"/>
          <w:bottom w:w="0" w:type="dxa"/>
          <w:right w:w="0"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(g)</w:t>
            </w:r>
          </w:p>
        </w:tc>
        <w:tc>
          <w:tcPr>
            <w:tcW w:w="9799"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On January 31, 2023, we entered into a distribution agreement with Lotus Cars Limited, a wholly owned subsidiary of LGIL and ultimately controlled by our controlling shareholder, pursuant to which we were appointed as the exclusive global distributor to distribute certain models of vehicles and to provide after-sale services and brand, marketing and public relations for such vehicles distributed by it since January 31, 2023, for a cash consideration of US$22.3 million (equivalent to GBP18.1 million), which was settled during the years ended December 31, 2024.</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entered into lease agreements with related parties to rent office spaces and parking spaces. During the years ended December 31, 2025, 2024 and 2023, we recognized right-of-use assets of nil, nil and US$12.2 million from related parties, respectively. We paid lease liabilities of US$1.8 million, US$191 thousand and US$269 thousand during the years ended December 31, 2025, 2024 and 2023, respectively. As of December 31, 2025 and 2024, current operating lease liabilities were US$1.6 million and US$1.0 million, respectively, and non-current operating lease liabilities were US$3.1 million and US$10.7 million, respectively.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December 2, 2021, we, through our subsidiary, Lotus Technology Innovative Limited, entered into an equity transfer agreement, pursuant to which, Lotus Technology Innovative Limited agreed to acquire 100% equity interest in Lotus Tech Innovation Centre GmbH from a related party, Geely UK Limited, at a consideration of US$15.5 million, which was settled in June 2022. The transaction was accounted for as common control transaction and completed in June 2022. On September 27, 2024, we disposed 80% equity interest of Lotus Tech Innovation Centre GmbH to Geely UK Limited, for cash consideration of US$12.2 million.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May 13, 2022, we purchased a one-year convertible note with a principal amount of US$10.0 million issued by ECARX. Upon the listing of ECARX on December 21, 2022, the convertible note was automatically converted into Class A ordinary shares of ECARX at a conversion price of US$9.50 per share. As of December 31, 2025 and 2024, the fair value of such shares was US$1.8 million and US$2.2 million, respectively.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year ended December 31, 2025, we borrowed loans due within one year or less with principal amounts of US$720.2 million from related parties ultimately controlled by our controlling shareholder, bearing an interest rate of between 3.45% to 7.91% per annum. As of December 31, 2025, the balance of US$784.3 million including the principal amount and interest was included in short-term borrowings – related parties. For the outstanding loan principal and interest as of December 31, 2025, US$178.4 million was secured by 45% equity interests held by Ningbo Lotus Venture Capital Co., Ltd in Ningbo Lotus Robotics Co., Ltd., US$374.5 million was secured by our intellectual property with carrying amount of nil as the research and development costs were expensed historically, and US$231.3 million was a stock-settled debt as we granted a right to an affiliate of Geely Holding to subscribe for our shares at market price covering the then outstanding loan amount in the event of default, out of which US79.7 million was secured by our intellectual property additionally with carrying amount of nil.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2024, we borrowed loans due within one year or less with principal amounts of US$140.1 million from Zhejiang Geely Automobile Co., Ltd., and US$58.4 million from Geely Technology Group Co., Ltd., respectively, bearing an interest rate of 6%. The loans are secured by our intellectual property with carrying amount of nil, as the research and development costs were expensed historically. As of December 31, 2024, the balance of the loan of US$199.6 million, including the principal amount and interest, was included in short-term borrowings - related parties.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2025 and 2024, we incurred interest expenses of US$24.1 million and US$2.0 million for those loans.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Interests of Experts and Counsel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52" w:name="Item8FinancialInformation_170548"/>
      <w:bookmarkStart w:id="53" w:name="_bde2be9d_8ce3_42f7_8013_991f8d77742d"/>
      <w:bookmarkEnd w:id="52"/>
      <w:bookmarkEnd w:id="53"/>
      <w:r>
        <w:rPr>
          <w:rFonts w:ascii="Times New Roman;Times;serif" w:hAnsi="Times New Roman;Times;serif"/>
          <w:b/>
          <w:i w:val="false"/>
          <w:caps w:val="false"/>
          <w:smallCaps w:val="false"/>
          <w:sz w:val="20"/>
        </w:rPr>
        <w:t>Item 8.</w:t>
      </w:r>
      <w:r>
        <w:rPr>
          <w:rFonts w:ascii="Times New Roman;Times;serif" w:hAnsi="Times New Roman;Times;serif"/>
          <w:b/>
          <w:sz w:val="20"/>
        </w:rPr>
        <w:t>Financial Information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Consolidated Statements and Other Financial Information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be subject to various legal or administrative claims and proceedings arising in the ordinary course of our business. We are currently not a party to any material legal or administrative proceedings.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Litigation or any other legal or administrative proceeding, regardless of the outcome, is likely to result in substantial costs and diversion of our resources, including our management’s time and attention.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not declared or paid cash dividends or made any distributions as of the date of this annual report other than the 10-for-1 stock split in the form of a stock dividend declared on March 15, 2022. We do not intend to declare dividends or make distributions in the near future. Any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holding company, we may rely on dividends from our subsidiaries for cash requirements, including any payment of dividends to its shareholders. The ability of our subsidiaries to pay dividends or make distributions to us may be restricted by laws and regulations applicable to them or the debt they incur on their own behalf or the instruments governing their debt. Restrictions on the ability of our mainland China subsidiaries to pay dividends to an offshore entity primarily include: (i) the mainland China subsidiaries may pay dividends only out of their accumulated after-tax profits upon satisfaction of statutory conditions and procedures, if any, determined in accordance with accounting standards and regulations in mainland China; (ii) each of the mainland China subsidiaries is required to set aside at least 10% of its after-tax profits each year, if any, to fund certain reserve funds until the total amount set aside reaches 50% of its registered capital; (iii) the mainland China subsidiaries are required to complete certain procedural requirements related to foreign exchange control in order to make dividend payments in foreign currencies; and (iv) a withholding tax, at the rate of 10% or lower, is payable by the mainland China subsidiary upon dividend remittance. Under Cayman Islands Law, while there are no exchange control regulations or currency restrictions, we are also subject to certain restrictions under Cayman Islands law on dividend distribution to its shareholders, namely that it may only pay dividends out of profits or share premium account, and provided always that in no circumstances may a dividend be paid if this would result in us being unable to pay our debts as they fall due in the ordinary course of business immediately following the date on which the dividend is paid.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Significant Changes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lineRule="auto" w:line="285" w:before="0" w:after="240"/>
        <w:ind w:left="0" w:right="0" w:hanging="0"/>
        <w:jc w:val="left"/>
        <w:rPr>
          <w:rFonts w:ascii="Times New Roman;Times;serif" w:hAnsi="Times New Roman;Times;serif"/>
          <w:sz w:val="20"/>
        </w:rPr>
      </w:pPr>
      <w:bookmarkStart w:id="54" w:name="Item9TheOfferandListing_958063"/>
      <w:bookmarkStart w:id="55" w:name="_025fe261_c99b_403f_a19d_82b155d1a2dd"/>
      <w:bookmarkEnd w:id="54"/>
      <w:bookmarkEnd w:id="55"/>
      <w:r>
        <w:rPr>
          <w:rFonts w:ascii="Times New Roman;Times;serif" w:hAnsi="Times New Roman;Times;serif"/>
          <w:b/>
          <w:i w:val="false"/>
          <w:caps w:val="false"/>
          <w:smallCaps w:val="false"/>
          <w:sz w:val="20"/>
        </w:rPr>
        <w:t>Item 9.</w:t>
      </w:r>
      <w:r>
        <w:rPr>
          <w:rFonts w:ascii="Times New Roman;Times;serif" w:hAnsi="Times New Roman;Times;serif"/>
          <w:b/>
          <w:sz w:val="20"/>
        </w:rPr>
        <w:t>The Offer and Listing</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Offering and Listing Details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ADSs and Warrants have been listed on The Nasdaq Global Market since February 23, 2024 under the symbols “LOT” and “LOTWW,” respectively.</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Plan of Distribution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Markets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ADSs and Warrants are listed on Nasdaq under the symbols “LOT” and “LOTWW,” respectively.</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Selling Shareholders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Dilution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Expenses of the Issue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bookmarkStart w:id="56" w:name="Item10AdditionalInformation_527357"/>
      <w:bookmarkStart w:id="57" w:name="_f1893b66_1754_46fa_8fce_0a71a6511bc1"/>
      <w:bookmarkEnd w:id="56"/>
      <w:bookmarkEnd w:id="57"/>
      <w:r>
        <w:rPr>
          <w:rFonts w:ascii="Times New Roman;Times;serif" w:hAnsi="Times New Roman;Times;serif"/>
          <w:b/>
          <w:i w:val="false"/>
          <w:caps w:val="false"/>
          <w:smallCaps w:val="false"/>
          <w:sz w:val="20"/>
        </w:rPr>
        <w:t>Item 10.</w:t>
      </w:r>
      <w:r>
        <w:rPr>
          <w:rFonts w:ascii="Times New Roman;Times;serif" w:hAnsi="Times New Roman;Times;serif"/>
          <w:b/>
          <w:sz w:val="20"/>
        </w:rPr>
        <w:t>Additional Information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Share Capital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Memorandum and Articles of Association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summaries of material provisions of the Amended Articles, as well as the Companies Act (As Revised) insofar as they relate to the material terms of our ordinary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summary description of the Warrants is also set forth below.</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Registered Office and Objects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registered office of our company is at Maples Corporate Services Limited, PO Box 309, Ugland House, Grand Cayman, KY1-1104, Cayman Islands. The objects for which our company is established are unrestricted and we have full power and authority to carry out any object not prohibited by the Companies Act (As Revised) or any other law of the Cayman Islands.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Employees—C. Board Practices—Board of Directors.”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Ordinary Shares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All of our issued and outstanding ordinary shares are fully paid and non-assessable.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who are non-residents of the Cayman Islands may freely hold and vote their ordinary shares. The Amended Articles prohibit us from issuing bearer or negotiable shares. We may not issue share to bearer and Ordinary Shares are issued in registered form, which will be issued when registered in our register of members.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will maintain a register of shareholders and a shareholder will only be entitled to a share certificate if our board of directors resolves that share certificates be issued.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holders of the Ordinary Shares are entitled to receive such dividends as may be declared by our board of directors subject to the Amended Articles and the Cayman Islands Companies Act. In addition, our shareholders may by ordinary resolution declare a dividend, but no dividend may exceed the amount recommended by the board of directors. Under Cayman Islands law, dividends may be paid only out of profits (including retained earnings), or out of the share premium account (subject to a solvency test being met immediately following the payment of the dividend). No dividend may be declared and paid unless our directors determine that we have funds lawfully available for such purpose and that, immediately after the payment, we will be able to pay our debts as they fall due in the ordinary course of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Voting at any meeting of shareholders will be decided by poll and not by way of a show of hands. A poll shall be taken in such manner as the chairperson of the meeting directs, and the result of the poll shall be deemed to be the resolution of the meeting.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Every shareholder present at a meeting of shareholders shall have one vote for each ordinary share of which he is the holder.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All questions submitted to a meeting shall be decided by an ordinary resolution except where a greater majority is required by the Amended Articles or by the Cayman Islands Companies Act. In the case of an equality of votes, the chairperson of the meeting shall be entitled to a second or casting vote.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by the shareholders will require a simple majority of votes cast, while a special resolution will require not less than two-thirds of votes cast, by such shareholders as, being entitled to do so, vote in person or, where proxies are allowed, by proxy or, in the case of corporations, by their duly authorized representatives, at a general meeting held in accordance with the Amended Articles.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Transfer of Ordinary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Subject to the restrictions contained in the Amended Articles and the rules or regulations of Nasdaq or any securities laws, any shareholders may transfer all or any of their Ordinary Shares by an instrument of transfer in any usual or common form or in a form prescribed by the Designated Stock Exchange or in any other form approved by our board of directors.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Subject to the rules of Nasdaq and to any rights and restrictions for the time being attached to any share, our directors may decline to register any transfer of any share which is not fully paid up or on which we have a lien. Our directors may also decline to register any transfer of a share if such transfer would breach or cause a breach of: (i) the rules of Nasdaq; or (ii) applicable law or regulation. Our directors may also decline to register any transfer of any share unless: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or the designated transfer agent or share registrar, accompanied by the certificate for the shares to which it relates (if any) and such other evidence as our board of directors may reasonably require to show the right of the transferor to make the transfer;</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Nasdaq may determine to be payable, or such lesser sum as our board of directors may from time to time require, is paid to us in respect thereof.</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our board of directors refuses to register a transfer they shall, within three calendar months after the date on which the instrument of transfer was lodged, send to each of the transferor and the transferee notice of such refusal, including the reason for such refusal.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our winding up, if the assets available for distribution amongst the shareholders shall be more than sufficient to repay the whole of the share capital at the commencement of the winding up, the surplus shall be distributed amongst the shareholders pro rata in proportion to the par value of the shares held by them at the commencement of the winding up, subject to a deduction from those shares in respect of which there are monies due, of all monies payable to us for unpaid calls or otherwise. If the assets available for distribution are insufficient to repay the whole of the share capital, such assets will be distributed so that, as nearly as may be, the losses are borne by the shareholders in proportion to the par value of the shares held by them. We are a Cayman Islands exempted company incorporated with limited liability, and under the Cayman Islands Companies Act, the liability of our members is limited to the amount, if any, unpaid on the shares respectively held by them. The Amended Articles contains a declaration that the liability of our members is so limited.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Calls on Ordinary Shares and Forfeiture of Ordinary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Ordinary Shares. The Ordinary Shares that have been called upon and remain unpaid are, after a notice period, subject to forfeiture.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Redemption and Repurchase of Ordinary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Subject to the provisions of the Cayman Islands Companies Act and the Amended Articles, we may issue shares that are to be redeemed or are liable to be redeemed at the option of the shareholder or us. The redemption of such shares will be effected in such manner and upon such other terms as we may, by either our board of directors or by the shareholders by ordinary resolution, determine before the issue of the shares. Subject to the provisions of the Cayman Islands Companies Act and the Amended Articles, we may repurchase shares (including any redeemable shares) on such terms and in such manner as have been approved by our board of directors or by our shareholders by ordinary resolution, or are otherwise authorized by the Amended Articles.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Variations of Rights of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at any time our share capital is divided into different classes of shares, all or any of the rights attached to any class (unless otherwise provided by the terms of issue of the shares of that class) may only be materially and adversely varied with the consent in writing of the holders of at least two-thirds (2/3) of the issued shares of that class, or with the approval of a special resolution passed by a majority of not less than two-thirds of the votes cast at a separate meeting of the holders of the shares of that class where at least one-third (1/3) of the issued shares of that class are present (provided that if at any adjourned meeting of such holders a quorum as above defined is not present, those shareholders who are present shall form a quorum).</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General Meetings of Shareholders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(but shall not be obliged to) in each calendar year hold an annual general meeting. The annual general meeting shall be held at such time and place as our board of directors may determine. At least seven calendar days’ notice shall be given for any general meeting. The chairperson of our board of directors or our board of directors may call general meetings. Our board of directors must convene an extraordinary general meeting upon the requisition of shareholders holding at least one-third (1/3) of all votes attaching to all issued and outstanding shares of us that as at the date of the deposit of the requisition shares carry the right to vote at general meetings. One or more persons holding or representing by proxy shares which carry in aggregate not less than one-third (1/3) of all votes attaching to all shares in issue and entitled to vote at such general meeting present shall be a quorum for all purposes.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will determine whether, to what extent, at what times and places and under what conditions or regulations our accounts and books will be open to the inspection by shareholders, and no shareholder will otherwise have any right of inspecting any account or book or document of us except as required by law or authorized by our board of directors or our shareholders by special resolution.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Capital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by ordinary resolution:</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such amount as we think expedient;</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our share capital by the amount of the shares so cancelled.</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by special resolution reduce our share capital or any capital redemption reserve fund in any manner permitted by the Cayman Islands Companies Act.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Each LCAA Warrant outstanding on February 22, 2024, was assumed by us and converted into a Warrant. Each Warrant has and is subject to substantially the same terms and conditions as were applicable to such LCAA Warrant immediately prior to the conversion.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Each whole Warrant entitles the registered holder to purchase one Ordinary Share in the form of ADSs at a price of US$11.50 per share, subject to adjustment as discussed below, except as discussed in the immediately succeeding paragraph. Pursuant to the Warrant Agreement, a Warrant holder may exercise its Warrants only for a whole number of Ordinary Shares in the form of ADSs. This means only a whole Warrant may be exercised at a given time by a Warrant holder. The Warrants will expire on February 22, 2029, at 5:00 p.m., New York City time, or earlier upon redemption or liquidation.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not obligated to issue any Ordinary Shares or ADSs pursuant to the exercise of a Warrant and have no obligation to settle such exercise unless a registration statement under the Securities Act with respect to the Ordinary Shares underlying the Warrants is then effective and an annual report relating thereto is current, subject to us satisfying our obligations described below with respect to registration, or a valid exemption from registration is available. No Warrant is exercisable for cash or on a cashless basis, and we are not obligated to issue Ordinary Shares or ADSs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filed the registration statement on January 11, 2024, within the timeframe set forth in the Warrant Agreement, and it was declared effective on January 12, 2024. We have agreed to use our commercially reasonable efforts to maintain the effectiveness of the registration statement and a current annual report relating to those Ordinary Shares until the Warrants expire or are redeemed, as specified in the Warrant Agreement. If the ADSs are at the time of any exercise of a Warrant are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During any period when we will have failed to maintain an effective registration statement, Warrant holders may exercise Warrants on a “cashless basis” in accordance with Section 3(a)(9) of the Securities Act or another exemption; provided that if the exemption under Section 3(a)(9) of the Securities Act, or another exemption, is not available, holders will not be able to exercise their Warrants on a cashless basis.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the case of a cashless exercise, each holder would pay the exercise price by surrendering the Warrants for that number of Ordinary Shares (and in the form of ADSs) equal to the lesser of (A) quotient obtained by dividing (x) the product of the number of Ordinary Shares underlying the Warrants, multiplied by the excess of the “fair market value” less the exercise price of the Warrants by (y) the fair market value, and (B) 0.361. The “fair market value” as used in this paragraph means the volume-weighted average price of the Ordinary Shares traded in the form of ADSs as reported during the 10-trading day period ending on the trading day prior to the date on which the notice of exercise is received by the Warrant agent.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holder of a Warrant may notify us in writing in the event we elect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issued and outstanding immediately after giving effect to such exercise.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Redemption of Warrants when the price per Ordinary Share traded in the form of ADS equals or exceeds US$18.00</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redeem the outstanding Warrants (except as described herein with respect to the Sponsor Warrants):</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US$0.01 per Warrant;</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of the Ordinary Shares traded in the form of ADSs equals or exceeds US$18.00 per share (as adjusted for adjustments to the number of shares issuable upon exercise or the exercise price of a Warrant as described under the heading “—Warrants—Public Warrants—Anti-Dilution Adjustments”) for any 20 trading days within a 30-trading day period ending three trading days before we send the notice of redemption to the Warrant holders.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traded in the form of ADSs may fall below the US$18.00 redemption trigger price (as adjusted for adjustments to the number of shares issuable upon exercise or the exercise price of a Warrant as described below under the heading “—Warrants—Public Warrants—Anti-dilution Adjustments”) as well as the US$11.50 (for whole shares) Warrant exercise price after the redemption notice is issued.</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Redemption of Warrants when the price per Ordinary Share traded in the form of ADS equals or exceeds US$10.00.</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may redeem the outstanding warrants:</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US$0.10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Ordinary Shares (as defined below) except as otherwise described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if, and only if, the closing price of the Ordinary Shares traded in the form of ADSs equals or exceeds US$10.00 per share (as adjusted for adjustments to the number of shares issuable upon exercise or the exercise price of a warrant as described under the heading </w:t>
            </w:r>
            <w:r>
              <w:rPr>
                <w:caps w:val="false"/>
                <w:smallCaps w:val="false"/>
              </w:rPr>
              <w:t>“—</w:t>
            </w:r>
            <w:r>
              <w:rPr>
                <w:rFonts w:ascii="Times New Roman;Times;serif" w:hAnsi="Times New Roman;Times;serif"/>
                <w:b w:val="false"/>
                <w:i w:val="false"/>
                <w:caps w:val="false"/>
                <w:smallCaps w:val="false"/>
                <w:sz w:val="20"/>
              </w:rPr>
              <w:t>Warrants—Public Warrants—Anti-Dilution Adjustments”) for any 20 trading</w:t>
            </w:r>
            <w:r>
              <w:rPr>
                <w:caps w:val="false"/>
                <w:smallCaps w:val="false"/>
              </w:rPr>
              <w:t> </w:t>
            </w:r>
            <w:r>
              <w:rPr>
                <w:rFonts w:ascii="Times New Roman;Times;serif" w:hAnsi="Times New Roman;Times;serif"/>
                <w:b w:val="false"/>
                <w:i w:val="false"/>
                <w:caps w:val="false"/>
                <w:smallCaps w:val="false"/>
                <w:sz w:val="20"/>
              </w:rPr>
              <w:t>days within the 30-trading day period ending three trading</w:t>
            </w:r>
            <w:r>
              <w:rPr>
                <w:caps w:val="false"/>
                <w:smallCaps w:val="false"/>
              </w:rPr>
              <w:t> </w:t>
            </w:r>
            <w:r>
              <w:rPr>
                <w:rFonts w:ascii="Times New Roman;Times;serif" w:hAnsi="Times New Roman;Times;serif"/>
                <w:b w:val="false"/>
                <w:i w:val="false"/>
                <w:caps w:val="false"/>
                <w:smallCaps w:val="false"/>
                <w:sz w:val="20"/>
              </w:rPr>
              <w:t>days before we send the notice of redemption to the warrant holders; and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the closing price of the Ordinary Shares traded in the form of ADSs for any 20 trading</w:t>
            </w:r>
            <w:r>
              <w:rPr>
                <w:caps w:val="false"/>
                <w:smallCaps w:val="false"/>
              </w:rPr>
              <w:t> </w:t>
            </w:r>
            <w:r>
              <w:rPr>
                <w:rFonts w:ascii="Times New Roman;Times;serif" w:hAnsi="Times New Roman;Times;serif"/>
                <w:b w:val="false"/>
                <w:i w:val="false"/>
                <w:caps w:val="false"/>
                <w:smallCaps w:val="false"/>
                <w:sz w:val="20"/>
              </w:rPr>
              <w:t xml:space="preserve">days within a 30-trading day period ending on the third trading day prior to the date on which we send the notice of redemption to the warrant holders is less than US$18.00 per share (as adjusted for adjustments to the number of shares issuable upon exercise or the exercise price of a warrant as described under the heading </w:t>
            </w:r>
            <w:r>
              <w:rPr>
                <w:caps w:val="false"/>
                <w:smallCaps w:val="false"/>
              </w:rPr>
              <w:t>“—</w:t>
            </w:r>
            <w:r>
              <w:rPr>
                <w:rFonts w:ascii="Times New Roman;Times;serif" w:hAnsi="Times New Roman;Times;serif"/>
                <w:b w:val="false"/>
                <w:i w:val="false"/>
                <w:caps w:val="false"/>
                <w:smallCaps w:val="false"/>
                <w:sz w:val="20"/>
              </w:rPr>
              <w:t>Warrants—Public Warrants—Anti-Dilution Adjustments”), the Sponsor Warrants must also be concurrently called for redemption on the same terms as the outstanding Public Warrants, as described above.</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Beginning on the date the notice of redemption is given until the Warrants are redeemed or exercised, holders may elect to exercise their Warrants on a cashless basis. The number of Ordinary Shares in the form of ADSs that a warrant holder will receive upon such cashless exercise in connection with a redemption by us pursuant to this redemption feature is determined based on the terms of the Warrant Agreement.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Anti-dilution Adjustments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the number of issued and outstanding Ordinary Shares is increased by a capitalization or share dividend payable in Ordinary Shares, or by a subdivision of ordinary shares or other similar event, then, on the effective date of such capitalization or share dividend, subdivision or similar event, the number of Ordinary Shares (in the form of ADSs) issuable on exercise of each Warrant will be increased in proportion to such increase in the outstanding ordinary shares. A rights offering made to all or substantially all holders of ordinary shares entitling holders to purchase Ordinary Shares at a price less than the “historical fair market value” (as defined below) will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Class A Ordinary Share paid in such rights offering and (y) the historical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“historical fair market value” means the volume weighted average price of Ordinary Shares traded in the form of ADSs as reported during the 10-trading day period ending on the trading day prior to the first date on which the Ordinary Shares trade in the form of ADS on the applicable exchange or in the applicable market, regular way, without the right to receive such rights.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if we, at any time while the Warrants are outstanding and unexpired, pay a dividend or make a distribution in cash, securities or other assets to all or substantially all of the holders of the Ordinary Shares on account of such Ordinary Shares (or other securities into which the Warrants are convertible), other than (a) as described above, or (b) any cash dividends or cash distributions which, when combined on a per share basis with all other cash dividends and cash distributions paid on the Ordinary Shares during the 365-day period ending on the date of declaration of such dividend or distribution does not exceed US$0.50 (as adjusted to appropriately reflect any other adjustments and excluding cash dividends or cash distributions that resulted in an adjustment to the exercise price or to the number of Ordinary Shares issuable on exercise of each Warrant) but only with respect to the amount of the aggregate cash dividends or cash distributions equal to or less than US$0.50 per share, then the Warrant exercise price will be decreased, effective immediately after the effective date of such event, by the amount of cash and/or the fair market value of any securities or other assets paid on each Ordinary Share in respect of such event.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the number of issued and outstanding Ordinary Shares is decreased by a consolidation or reclassification of Ordinary Shares or other similar event, then, on the effective date of such consolidation, reclassification or similar event, the number of Ordinary Shares issuable on exercise of each Warrant will be decreased in proportion to such decrease in issued and outstanding Ordinary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in the form of ADSs upon the exercise of the Warrants immediately prior to such adjustment and (y) the denominator of which will be the number of Ordinary Shares so purchasable in the form of ADSs immediately thereafter.</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the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in the form of ADSs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is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65%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annual report,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Warrant holders do not have the rights or privileges of holders of ordinary shares and any voting rights until they exercise their Warrants and receive Ordinary Shares in the form of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agreed that, subject to applicable law, any action, proceeding or claim against it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suits brought to enforce any liability or duty created by the Exchange Act or any claim for which the federal district courts of the U.S. are the sole and exclusive forum.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Sponsor Warrants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Except as described below, the Sponsor Warrants have terms and provisions that are identical to those of the Public Warrants.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Sponsor Warrants will not be redeemable by us so long as they are held by the Sponsor or its permitted transferees (except as otherwise set forth herein) except as discussed in “—Warrants—Public Warrants—Redemption of Warrants when the price per Ordinary Share traded in the form of ADS equals or exceeds US$10.00”. If the Sponsor Warrants are held by holders other than the Sponsor or its permitted transferees, the Sponsor Warrants will be redeemable by us in all redemption scenarios and exercisable by the holders on the same basis as the Warrants.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Sponsor, or its permitted transferees, has the option to exercise the Sponsor Warrants on a cashless basis. If holders of the Sponsor Warrants elect to exercise them on a cashless basis, they would pay the exercise price by surrendering his, her or its Sponsor Warrants for that number of Ordinary Shares in the form of ADSs equal to the quotient obtained by dividing (x) the product of the number of Ordinary Shares underlying the Sponsor Warrants, multiplied by the excess of the “Sponsor fair market value” (defined below) over the exercise price of the Sponsor Warrants by (y) the Sponsor fair market value. For these purposes, the “Sponsor fair market value” shall mean the average reported closing price of the Ordinary Shares traded in the form of ADSs for the 10 trading days ending on the third trading day prior to the date on which the notice of Sponsor Warrant exercise is sent to the Warrant agent.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Any amendment to the terms of the Sponsor Warrants or any provision of the Warrant Agreement with respect to the Sponsor Warrants will require a vote of holders of at least 65% of the number of the then outstanding Sponsor Warrants.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Differences in Corporate Law</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Companies Act is derived, to a large extent, from the older Companies Acts of England but does not follow recent United Kingdom statutory enactments, and accordingly there are significant differences between the Cayman Islands Companies Act and the current Companies Act of England.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the Cayman Islands Companies Act differs from laws applicable to United States corporations and their shareholders. Set forth below is a summary of certain significant differences between the provisions of the Cayman Islands Companies Act applicable to us and the laws applicable to United States corporations and companies incorporated in the State of Delaware.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Mergers and Similar Arrangements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Shareholders’ Suits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which is ultra vires or illegal and is therefore incapable of ratification by the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 which constitute a fraud against the minority where the wrongdoer are themselves in control of the company.</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 of Directors and Executive Officers and Limitation of Liability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Amended Articles provide that every director (including alternate director), secretary, assistant secretary, or other officer for the time being and from time to time of our company (but not including its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the Amended Articles.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Directors’ Fiduciary Duties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or she owes the following duties to the company:</w:t>
      </w:r>
    </w:p>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to act in good faith in the best interests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not to make a personal profit based on his or her position as director (unless the company permits him or her to do so),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not to put himself or herself in a position where the interests of the company conflict with his or her personal interest or his or her duty to a third party, and</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to exercise powers for the purpose for which such powers were intended.</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Shareholder Action by Written Consent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Cayman Islands law and the Amended Articles provide that our shareholders may approve corporate matters by way of a unanimous written resolution signed by or on behalf of all shareholders who would have been entitled to vote on such matter at a general meeting without a meeting being held, and any such resolution in writing shall be as valid and effective as if the same had been passed at a general meeting of our company duly convened and held.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Shareholder Proposals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does not provide shareholders with an express right to put forth any proposal before a general meeting of the shareholders. However, these rights may be provided in a company’s articles of association.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Amended Articles allow any one or more of our shareholders who together hold shares which carry in aggregate not less than one-third of all votes attaching to all issued and outstanding shares of our company that as at the date of the deposit of the requisition carry the right to vote at general meetings of our company to requisition an extraordinary general meeting of our shareholders, in which case our board is obliged to convene an extraordinary general meeting and to put the resolutions so requisitioned to a vote at such meeting. Other than this right to requisition a shareholders’ meeting, the Amended Articles do not provide our shareholders with any other right to put proposals before annual general meetings or extraordinary general meetings.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Cumulative Voting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There are no prohibitions relating to cumulative voting under the laws of the Cayman Islands, but the Amended Articles do not provide for cumulative voting. As a result, our shareholders are not afforded any less protections or rights on this issue than shareholders of a Delaware corporation.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Removal of Directors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the Amended Articles, directors may be removed with or without cause, by an ordinary resolution of our shareholders (except with regard to the removal of the chairperson of the board of directors, who may be removed from office by special resolution). A director will also cease to be a director if he (a) becomes prohibited by applicable law from being a director, (b) becomes bankrupt or makes any arrangement or composition with his or her creditors, (c) dies or is found to be or becomes of unsound mind, (d) resigns his or her office by notice in writing to us, (e) without special leave of absence from the board, is absent from meetings of the board for three consecutive meetings, and the board resolves that his or her office be vacated; or (f) is removed from office pursuant to any other provision of the Amended Articles.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Transactions with Interested Shareholders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Restructuring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company may present a petition to the Grand Court of the Cayman Islands for the appointment of a restructuring officer on the grounds that the company:</w:t>
      </w:r>
    </w:p>
    <w:tbl>
      <w:tblPr>
        <w:tblW w:w="4806" w:type="dxa"/>
        <w:jc w:val="left"/>
        <w:tblInd w:w="0" w:type="dxa"/>
        <w:tblLayout w:type="fixed"/>
        <w:tblCellMar>
          <w:top w:w="0" w:type="dxa"/>
          <w:left w:w="0" w:type="dxa"/>
          <w:bottom w:w="0" w:type="dxa"/>
          <w:right w:w="0" w:type="dxa"/>
        </w:tblCellMar>
      </w:tblPr>
      <w:tblGrid>
        <w:gridCol w:w="124"/>
        <w:gridCol w:w="31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(a)</w:t>
            </w:r>
          </w:p>
        </w:tc>
        <w:tc>
          <w:tcPr>
            <w:tcW w:w="4366"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is or is likely to become unable to pay its debts; and</w:t>
            </w:r>
          </w:p>
        </w:tc>
      </w:tr>
    </w:tbl>
    <w:tbl>
      <w:tblPr>
        <w:tblW w:w="10205" w:type="dxa"/>
        <w:jc w:val="left"/>
        <w:tblInd w:w="0" w:type="dxa"/>
        <w:tblLayout w:type="fixed"/>
        <w:tblCellMar>
          <w:top w:w="0" w:type="dxa"/>
          <w:left w:w="0" w:type="dxa"/>
          <w:bottom w:w="0" w:type="dxa"/>
          <w:right w:w="0"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(b)</w:t>
            </w:r>
          </w:p>
        </w:tc>
        <w:tc>
          <w:tcPr>
            <w:tcW w:w="9774"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intends to present a compromise or arrangement to its creditors (or classes thereof) either pursuant to the Companies Act, the law of a foreign country or by way of a consensual restructuring.</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Dissolution; Winding Up</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Variation of Rights of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the Amended Articles, if at any time our share capital is divided into different classes of shares, all or any of the rights attached to any class (unless otherwise provided by the terms of issue of the shares of that class) may only be materially and adversely varied with the consent in writing of the holders of at least two-thirds (2/3) of the issued shares of that class, or with the approval of a special resolution passed by a majority of not less than two-thirds of the votes cast at a separate meeting of the holders of the shares of that class where at least one-third (1/3) of the issued shares of that class are present (provided that if at any adjourned meeting of such holders a quorum as above defined is not present, those shareholders who are present shall form a quorum). The rights conferred upon the holders of the shares of any class issued shall not, subject to any rights or restrictions for the time being attached to the shares of that class, be deemed to be materially and adversely varied by the creation, allotment or issue of further shares ranking pari passu with or subsequent to such existing class of shares, or the redemption or purchase of any shares of any class by our company. The rights of the holders of shares shall not be deemed to be materially or adversely varied by the creation or issue of shares with preferred or other rights including, without limitation, the creation of shares with enhanced or weighted voting rights.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Amendment of Governing Documents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memorandum and articles of association may only be amended with a special resolution of our shareholders.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Rights of Non-resident or Foreign Shareholders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There are no limitations imposed by the Amended Articles on the rights of non-resident or foreign shareholders to hold or exercise voting rights on our shares.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addition, there are no provisions in the Amended Articles governing the ownership threshold above which shareholder ownership must be disclosed.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any shareholder of a corporation may for any proper purpose inspect or make copies of the corporation’s stock ledger, list of shareholders and other books and records.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 under Cayman Islands law to inspect corporate records (other than the memorandum and articles of association, the register of mortgages and charges, any special resolutions passed by our shareholders and a list of the names of our current directors upon a payment to the Cayman Registar) or obtain copies of the list of shareholders of these companies. Under Cayman Islands law, the names of our current directors can be obtained from a search conducted at the Registrar of Companies. However, we intend to provide our shareholders with annual reports containing audited financial statements.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Material Contracts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or elsewhere in this annual report.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Exchange Controls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Overview—Regulations—Regulation on Foreign Exchange.”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Taxation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summary of the material Cayman Islands and U.S. federal income tax consequences of an investment in our ordinary shares is based upon laws and interpretations thereof in effect as of the date of this annual report, all of which are subject to change. This summary does not deal with all possible tax consequences relating to an investment in our ordinary shares, such as the tax consequences under state, local and other tax laws.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Cayman Islands Tax Considerations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Payments of dividends and capital in respect of Securities will not be subject to taxation in the Cayman Islands and no withholding will be required on the payment of interest and principal or a dividend or capital to any holder of the Securities, as the case may be, nor will gains derived from the disposal of the Securities be subject to Cayman Islands income or corporation tax.</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 stamp duty is payable in respect of the issue of Securities or on an instrument of transfer in respect of Securities, unless the instruments are executed in, or after execution brought within, the jurisdiction of the Cayman Islands.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currently levy no taxes on individuals or corporations based upon profits, income, gains or appreciations and there is no taxation in the nature of inheritance tax or estate duty. There are no other taxes likely to be material to holders of our ADSs or ordinary shares levied by the Government of the Cayman Islands save certain stamp duties which may be applicable, from time to time, on certain instruments executed in or brought within the jurisdiction of the Cayman Islands.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U.S. Federal Income Tax Considerations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U.S. federal income tax considerations generally applicable to the ownership and disposition of ADSs by U.S. Holders (as defined below). This summary addresses only U.S. Holders that hold ADSs as “capital assets” for U.S. federal income tax purposes (generally, property held for investment) and assumes that any distributions made by us on the ADSs and any consideration received by us on the sale or other taxable disposition of ADSs will be in U.S. dollars. This discussion does not address all aspects of U.S. federal income taxation that may be relevant to holders in light of their particular circumstances, or to holders subject to special treatment under the U.S. tax laws, such as:</w:t>
      </w:r>
    </w:p>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financial institutions or financial services entities;</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taxpayers that are subject to the mark-to-market accounting rules;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S-corporations, partnerships and other pass-through entities or arrangements;</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long-term residents of the United States;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five percent or more of our shares by vote or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acquired ADSs pursuant to an exercise of employee share options, in connection with employee share incentive plans or otherwise as compensation or in connection with services;</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 alternative minimum tax or the base erosion and anti-abuse tax;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hold ADSs as part of a straddle, constructive sale, hedging, conversion or other integrated or similar transaction; or</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(as defined below) whose functional currency is not the U.S. dollar.</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discussion is based upon the Internal Revenue Code of 1986, as amended (the “Code”), the Treasury regulations promulgated thereunder, administrative and judicial interpretations thereof </w:t>
      </w:r>
      <w:r>
        <w:rPr>
          <w:rFonts w:ascii="Times New Roman;Times;serif" w:hAnsi="Times New Roman;Times;serif"/>
          <w:color w:val="231F20"/>
          <w:sz w:val="20"/>
        </w:rPr>
        <w:t>and the income tax treaty between the United States and the People’s Republic of China (the “Treaty”)</w:t>
      </w:r>
      <w:r>
        <w:rPr>
          <w:rFonts w:ascii="Times New Roman;Times;serif" w:hAnsi="Times New Roman;Times;serif"/>
          <w:sz w:val="20"/>
        </w:rPr>
        <w:t>, all as of the date hereof. All of the foregoing is subject to change or differing interpretations, possibly on a retroactive basis, which could affect the tax considerations described herein. Furthermore, this discussion does not address any aspect of U.S. federal non-income tax laws, such as gift, estate or Medicare contribution tax laws, or state, local or non-U.S. tax laws. There can be no assurance that the Internal Revenue Service (the “IRS”) will not take, or that a court would not sustain, a position contrary to the U.S. federal income tax considerations discussed below.</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This discussion does not consider the tax treatment of partnerships or other pass-through entities or persons who hold ADSs through such entities. If a partnership (or other entity or arrangement classified as a partnership for U.S. federal income tax purposes) is the beneficial owner of ADSs, the U.S. federal income tax treatment of the partnership or a partner in the partnership will generally depend on the status of the partner and the activities of the partnership. Partnerships or partners of a partnership holding ADSs should consult their tax advisors regarding the U.S. federal income tax consequences of owning and disposing of ADSs in light of their particular circumstances.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THIS SUMMARY DOES NOT PURPORT TO BE A COMPREHENSIVE ANALYSIS OR DESCRIPTION OF ALL POTENTIAL U.S. FEDERAL INCOME TAX CONSEQUENCES OF ACQUIRING, OWNING AND DISPOSING OF ADSs. HOLDERS OF ADSs SHOULD CONSULT WITH THEIR TAX ADVISORS REGARDING THE PARTICULAR TAX CONSEQUENCES TO THEM OF THE ACQUISITION, OWNERSHIP AND DISPOSITION OF ADSs, INCLUDING THE APPLICABILITY AND EFFECTS OF U.S. FEDERAL, STATE, LOCAL, AND OTHER TAX LAWS.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used herein, the term “U.S. Holder” means a beneficial owner of ADSs that is for U.S. federal income tax purposes:</w:t>
      </w:r>
    </w:p>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citizen or individual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that is created or organized (or treated as created or organized) in or under the laws of the United States, any state thereof or the District of Columbia;</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(A) a court within the United States is able to exercise primary supervision over the administration of the trust and one or more U.S. persons have the authority to control all substantial decisions of the trust, or (B) the trust has validly elected to be treated as a U.S. person for U.S. federal income tax purposes.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Taxation of Distributions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stated under “Dividend Policy,” we do not anticipate paying any cash distributions on the ADSs in the foreseeable future. However, subject to the discussion below under “— Passive Foreign Investment Company Considerations,” a distribution of cash or other property on the ADSs will generally be includable in gross income of the U.S. Holder as a dividend to the extent the distribution is paid out of our current or accumulated earnings and profits (as determined under U.S. federal income tax principles). Such dividends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will generally be applied against and reduce the U.S. Holder’s basis in the ADSs (but not below zero) and, to the extent in excess of such basis, will be treated as gain from the sale or exchange of such ADSs (see “— Gain or Loss on Sale, Taxable Exchange or Other Taxable Disposition of Securities” below).</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do not intend to determine our earnings and profits under U.S. federal income tax principles. Accordingly, notwithstanding the discussion in the preceding paragraph, distributions on ADSs, if any, will generally be taxed to U.S. Holders as dividend distributions for U.S. federal income tax purposes.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Individual and certain other non-corporate U.S. Holders may be subject to tax at the lower capital gains rate applicable to “qualified dividend income,” provided that (i) the ADSs are readily tradable on an established securities market in the United States, (ii) we are not treated as a PFIC in the taxable year the dividend is paid or in the taxable preceding year, and (iii) certain other requirements are satisfied. U.S. Treasury Department guidance indicates that shares listed on Nasdaq (on which the ADSs are listed) will be considered readily tradable on an established securities market in the United States. Notwithstanding that the ADSs are listed on Nasdaq, however, there can be no assurance that the ADSs will be considered readily tradable on an established securities market in future years. U.S. Holders should consult their tax advisors regarding the availability of such lower rate for any dividends paid with respect to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foreign tax credit purposes, dividends received on common shares or ADSs will generally be treated as foreign-source income and will generally constitute passive category income. As described in “Item 3. Key Information—D. Risk Factors—Risks Relating to Doing Business in China—If we are classified as a PRC resident enterprise for PRC income tax purposes, such classification could result in unfavorable tax consequences to us and our non-PRC shareholders,”</w:t>
      </w:r>
      <w:r>
        <w:rPr>
          <w:rFonts w:ascii="Times New Roman;Times;serif" w:hAnsi="Times New Roman;Times;serif"/>
          <w:color w:val="231F20"/>
          <w:sz w:val="20"/>
        </w:rPr>
        <w:t xml:space="preserve"> if we are deemed to be a PRC resident enterprise for PRC tax purposes, a U.S. Holder may be subject to PRC withholding taxes on such dividends. </w:t>
      </w:r>
      <w:r>
        <w:rPr>
          <w:rFonts w:ascii="Times New Roman;Times;serif" w:hAnsi="Times New Roman;Times;serif"/>
          <w:sz w:val="20"/>
        </w:rPr>
        <w:t>Subject to certain conditions and limitations, a U.S. Holder may be entitled to claim a foreign tax credit in respect of any such PRC withholding taxes to the extent that such taxes are nonrefundable under the Treaty. Alternatively, a U.S. Holder may elect to deduct such taxes in computing its taxable income for U.S. federal income tax purposes. A U.S. Holder’s election to deduct foreign taxes instead of claiming foreign tax credits applies to all creditable foreign income taxes paid or accrued in the relevant taxable year. The rules regarding foreign tax credits and the deductibility of foreign taxes are complex. All U.S. Holders should consult their tax advisors regarding the availability of foreign tax credits and the deductibility of foreign taxes in light of their particular circumstances.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Gain or Loss on Sale, Taxable Exchange or Other Taxable Disposition of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below under “— Passive Foreign Investment Company Considerations,” a U.S. Holder will generally recognize capital gain or loss on the sale or other taxable disposition of the ADSs in an amount equal to the difference between (i) the sum of the amount of cash and the fair market value of any property received in such disposition and (ii) such U.S. Holder’s adjusted tax basis in such ADSs. Any such capital gain or loss generally will be long-term capital gain or loss if the U.S. Holder’s holding period for such ADSs exceeds one year at the time of disposition. Long-term capital gain realized by a non-corporate U.S. Holder is generally subject to U.S. federal income tax at reduced rates. The deduction of capital losses is subject to limitations.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foreign tax credit purposes, gain or loss recognized on the sale or other taxable disposition of ADSs will generally be treated as U.S.-source income and will generally constitute passive category income or loss. If, however, gains from the sale or other disposition of our ADSs are subject to tax in the PRC as described in “Item 3. Key Information—D. Risk Factors—Risks Relating to Doing Business in China—If we are classified as a PRC resident enterprise for PRC income tax purposes, such classification could result in unfavorable tax consequences to us and our non-PRC shareholders,” a Treaty-eligible U.S. Holder may apply the Treaty to treat such gains as PRC-source gains for U.S. foreign tax credit purposes. The rules regarding foreign tax credits and the deductibility of foreign taxes are complex. U.S. Holders should consult their tax advisors regarding the availability of a foreign tax credit or a deduction in lieu thereof in light of their particular circumstances, as well as with respect to their eligibility for benefits under the Treaty.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Definition of a PFIC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will be classified as a passive foreign investment company, or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including its pro rata share of the assets of any corporation in which it is considered to own at least 25% of the shares by value, produce, or are held for the production of, passive income. Passive income generally includes dividends, interest, rents and royalties (other than rents or royalties derived from the active conduct of a trade or business) and net gains from the disposition of passive assets.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PFIC Status of LTC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Based on the current and anticipated value of the assets and the composition of the income and assets, including goodwill and other unbooked intangibles, of our company and our subsidiaries, we believe that we were not a PFIC for the taxable year ended December 31, 2025 and do not expect to be a PFIC for the current taxable year or foreseeable future taxable years. However, because the determination of PFIC status is based on the nature of our income and assets from time to time, and involves the application of complex tax rules, and because our view is not binding on the courts or the IRS, no assurances can be provided that we will not be considered a PFIC for the current, or any past or future taxable years. While we do not expect to be or become a PFIC in the current or future taxable years, the determination of whether we are or will become a PFIC is a fact-intensive inquiry made on an annual basis and will depend upon the composition of our assets and income, including our goodwill and other unbooked intangibles. Accordingly, there can be no assurance that we or any of our subsidiaries will not be treated as a PFIC for any taxable year.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Additionally, a determination that we are or were a PFIC during the holding period of a U.S. Holder will generally continue to apply to subsequent years in which a U.S. Holder continues to hold shares in us, whether or not we are a PFIC in those subsequent years.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Application of PFIC Rules to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we are determined to be a PFIC for any taxable year (or portion thereof) that is included in the holding period of a U.S. Holder of ADSs and the U.S. Holder did not make a timely and effective qualified electing fund (“QEF”) election for the first year in its holding period in which we are a PFIC (such taxable year as it related to a U.S. Holder being referred to as the “First PFIC Holding Year”), a QEF election along with a purging election, or a mark-to-market election, such U.S. Holder would generally be subject to special rules with respect to (i) any gain recognized by the U.S. Holder on the sale or other disposition of its ADSs and (ii) any “excess distribution” made to the U.S. Holder (generally, any distributions to such U.S. Holder during a taxable year of the U.S. Holder that are greater than 125% of the average annual distributions received by such U.S. Holder in respect of the ADSs during the three preceding taxable years of such U.S. Holder or, if shorter, such U.S. Holder’s holding period for the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these rules: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or excess distribution will be allocated pro rata over the U.S. Holder’s holding period for the ADSs;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other taxable years (or portions thereof) of the U.S. Holder and included in its holding period will be taxed at the highest tax rate in effect for that year and applicable to the U.S. Holder;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pStyle w:val="TextBody"/>
        <w:bidi w:val="0"/>
        <w:spacing w:lineRule="auto" w:line="285" w:before="0" w:after="240"/>
        <w:ind w:left="0" w:right="0" w:firstLine="720"/>
        <w:jc w:val="both"/>
        <w:rPr>
          <w:rFonts w:ascii="Times New Roman;Times;serif" w:hAnsi="Times New Roman;Times;serif"/>
          <w:b/>
          <w:sz w:val="20"/>
        </w:rPr>
      </w:pPr>
      <w:r>
        <w:rPr>
          <w:rFonts w:ascii="Times New Roman;Times;serif" w:hAnsi="Times New Roman;Times;serif"/>
          <w:b/>
          <w:sz w:val="20"/>
        </w:rPr>
        <w:t>ALL U.S. HOLDERS SHOULD CONSULT THEIR TAX ADVISORS REGARDING THE EFFECTS OF THE PFIC RULES ON THE OWNERSHIP OR DISPOSITION OF ADSs, INCLUDING THE IMPACT OF ANY PROPOSED OR FINAL TREASURY REGULATIONS.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QEF Election, Mark-to-Market Election and Purging Election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general, if we are determined to be a PFIC, a U.S. Holder may avoid the adverse PFIC tax consequences described above in respect of such U.S. Holder’s ADSs by making and maintaining a timely and valid QEF election (if eligible to do so) for such holder’s First PFIC Holding Year. In order to comply with the requirements of a QEF election, a U.S. Holder must receive a PFIC Annual Information Statement from us. We have not determined whether we will provide U.S. Holders this information if we determine that we are a PFIC. U.S. Holders should consult their tax advisors with respect to any QEF election previously made with respect to ADSs.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a U.S. Holder has made a QEF election with respect to its ADSs, and the special tax and interest charge rules do not apply to such shares (because of a timely QEF election for such holder’s First PFIC Holding Year or a purge of the PFIC taint pursuant to a purging election, as described above), any gain recognized on the sale or other taxable disposition of its ADSs will generally be taxable as capital gain and no interest charge will be imposed under the PFIC rules. U.S. Holders of a QEF are currently taxed on their pro rata shares of its earnings and profits, whether or not distributed. Any subsequent distribution of such earnings and profits that were previously included in income should generally not be taxable as a dividend to such U.S. Holders. The tax basis of a U.S. Holder’s shares in a QEF will be increased by amounts that are included in income, and decreased by amounts distributed but not taxed as dividends, under the rules above. Such U.S. Holder will not be subject to the QEF inclusion regime with respect to such shares for any of our taxable years that ends within or with a taxable year of the U.S. Holder and in which we are not a PFIC. On the other hand, if the QEF election is not effective for each of our taxable years in which we are a PFIC and the U.S. Holder holds (or is deemed to hold) ADSs, the PFIC rules discussed above will continue to apply to such shares unless the holder makes a purging election, as described above, and pays the tax and interest charge with respect to the gain inherent in such shares attributable to the pre-QEF election period.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Alternatively, if a U.S. Holder, at the close of its taxable year, owns (or is deemed to own) shares in a PFIC that are treated as “marketable stock,” the U.S. Holder may make a mark-to-market election for such holder’s First PFIC Holding Year, such holder will generally not be subject to the adverse PFIC consequences described above in respect of its ADSs as long as such shares continue to be treated as marketable shares. Instead, the U.S. Holder will generally include as ordinary income for each year in its holding period that we are treated as a PFIC the excess, if any, of the fair market value of its ADSs at the end of such year over its adjusted basis in its ADSs. The U.S. Holder also will be allowed to take an ordinary loss in respect of the excess, if any, of its adjusted basis of its ADSs over the fair market value of its ADSs at the end of its taxable year (but only to the extent of the net amount of previously included income as a result of the mark-to-market election). The U.S. Holder’s basis in its ADSs will be adjusted to reflect any such income or loss amounts, and any further gain recognized on a sale or other taxable disposition of its ADSs in a taxable year in which we are treated as a PFIC will be treated as ordinary income. Special rules may also apply if a U.S. Holder makes a mark-to-market election for a taxable year after such holder’s First PFIC Holding Year.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mark-to-market election is available only for stock that is regularly traded on a national securities exchange that is registered with the SEC, including Nasdaq (on which the ADSs are listed). U.S. Holders should consult their tax advisors regarding the availability and tax consequences of a mark-to-market election with respect to ADSs under their particular circumstances.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and, at any time, have a non-U.S. subsidiary that is classified as a PFIC, a U.S. Holder would generally be deemed to own a portion of the shares of such lower-tier PFIC, and generally could incur liability for the deferred tax and interest charge described above if we (or our subsidiary) receive a distribution from, or disposes of all or part of its interest in, the lower-tier PFIC or the U.S. Holder was otherwise deemed to have disposed of an interest in the lower-tier PFIC. Because, as a technical matter, a mark-to-market election cannot be made for any lower-tier PFICs that we may own, a U.S. Holder that makes a mark-to-market election with respect to ADSs may continue to be subject to the PFIC rules with respect to such Holder’s indirect interest in any investment held by us that are treated as equity interests in a PFIC for U.S. federal income tax purposes. U.S. Holders should consult their tax advisors regarding the U.S. federal income tax consequences of any such lower-tier PFICs.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rules dealing with PFICs are complex and are affected by various factors in addition to those described above. Accordingly, U.S. Holders of the ADSs should consult their tax advisors concerning the application of the PFIC rules to ADSs in light of their particular circumstances.</w:t>
      </w:r>
    </w:p>
    <w:p>
      <w:pPr>
        <w:pStyle w:val="TextBody"/>
        <w:bidi w:val="0"/>
        <w:spacing w:lineRule="auto" w:line="285" w:before="0" w:after="240"/>
        <w:ind w:left="187" w:right="0" w:hanging="0"/>
        <w:jc w:val="left"/>
        <w:rPr>
          <w:rFonts w:ascii="Times New Roman;Times;serif" w:hAnsi="Times New Roman;Times;serif"/>
          <w:b/>
          <w:i/>
          <w:sz w:val="20"/>
        </w:rPr>
      </w:pPr>
      <w:r>
        <w:rPr>
          <w:rFonts w:ascii="Times New Roman;Times;serif" w:hAnsi="Times New Roman;Times;serif"/>
          <w:b/>
          <w:i/>
          <w:sz w:val="20"/>
        </w:rPr>
        <w:t>Foreign Financial Asset Reporting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 U.S. Holder may be required to report information relating to an interest in ADSs, generally by filing IRS Form 8938 (Statement of Specified Foreign Financial Assets) with the U.S. Holder’s federal income tax return. A U.S. Holder may also be subject to significant penalties if the U.S. Holder is required to report such information and fails to do so. U.S. Holders should consult their tax advisors regarding information reporting obligations, if any, with respect to ownership and disposition of ADSs.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Dividends and Paying Agents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Statement by Experts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Documents on Display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and are required to file reports and other information with the SEC. Specifically, we are required to file annually a Form 20-F within four months after the end of each fiscal year, which is December 31. All the information we file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Nasdaq Stock Market Rule 5250(d), we will post this annual report on our website at www.group-lotus.com. In addition, we will provide hardcopies of our annual report free of charge to shareholders upon request.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Subsidiary Information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b/>
          <w:sz w:val="20"/>
        </w:rPr>
        <w:t>Annual Report to Security Holders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58" w:name="Item11QuantitativeandQualitativeDisclosu"/>
      <w:bookmarkStart w:id="59" w:name="_c6d36cc9_6a7b_4739_b70e_fa6ca021ba38"/>
      <w:bookmarkEnd w:id="58"/>
      <w:bookmarkEnd w:id="59"/>
      <w:r>
        <w:rPr>
          <w:rFonts w:ascii="Times New Roman;Times;serif" w:hAnsi="Times New Roman;Times;serif"/>
          <w:b/>
          <w:i w:val="false"/>
          <w:caps w:val="false"/>
          <w:smallCaps w:val="false"/>
          <w:sz w:val="20"/>
        </w:rPr>
        <w:t>Item 11.</w:t>
      </w:r>
      <w:r>
        <w:rPr>
          <w:rFonts w:ascii="Times New Roman;Times;serif" w:hAnsi="Times New Roman;Times;serif"/>
          <w:b/>
          <w:sz w:val="20"/>
        </w:rPr>
        <w:t>Quantitative and Qualitative Disclosures about Market Risk</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exposure to interest rate risk relates primarily to the interest rates associated with the outstanding convertible notes and exchangeable notes we issued, and bank loans that bear floating interest rates. The interest rate risk may result from many factors, including, among others, government monetary and tax policies, domestic and international economic and political considerations that are beyond our control. We may incur additional loans or other financing facilities in the future. The objective of interest rate risk management is to minimize financial costs and uncertainties associated with interest rate changes. We strive to effectively manage our interest rate risk by periodic monitoring and responding to risk factors on a timely basis, improve the structure of long-term and short-term borrowings and maintain the appropriate balance between loans with floating interest rates and fixed interest rates.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interest rate sensitivity on our outstanding convertible notes and exchangeable notes. We account for our convertible notes and exchangeable notes based on fair value. We have not incurred financial statement impact resulting from changes in interest rates. However, changes in market interest rates impact the fair value of the convertible notes and exchangeable notes along with other variables such as our credit spreads and the market price and volatility of our ADSs and ordinary shares. Increases in market interest rates would result in a decrease in the fair value of our outstanding convertible notes and exchangeable notes, and decreases in market interest rates would result in an increase in the fair value of our outstanding convertible notes and exchangeable notes.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With regard to interest rate sensitivity on our bank loans, we present the sensitivity analysis below based on the exposure to interest rates for interest bearing bank loans with variable interest rates as of December 31, 2025. The analysis is prepared assuming that those balances outstanding as of December 31, 2025 were outstanding for the whole financial year. A 1.0% increase or decrease which represents our management’s assessment of the reasonably possible change in interest rates is used. Assuming no change in the outstanding balance of our existing interest-bearing bank loans balances with floating interest rates as of December 31, 2025, a 1.0% increase or decrease in each applicable interest rate would add or deduct US$2.8million to our interest expense for the year ended December 31, 2025. We have not used any derivative financial instruments to manage our interest risk exposure.</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revenue and expenses of our entities in mainland China are generally denominated in RMB and their assets and liabilities are denominated in RMB. Our international revenues are denominated in foreign currencies and expose us to the risk of fluctuations in foreign currency exchange rates against the RMB. A significant portion of our cash and restricted cash and short-term investments are denominated in U.S. dollars and GBP, and fluctuations in exchange rates between U.S. dollars/GBP and RMB may result in foreign exchange gains or losses.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RMB is not freely convertible into foreign currencies. Remittances of foreign currencies into mainland China or remittances of RMB out of mainland China as well as exchange between RMB and foreign currencies require approval by foreign exchange administrative authorities with certain supporting documentation. The State Administration for Foreign Exchange, under the authority of the People’s Bank of China, controls the conversion of RMB into other currencies.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RMB into foreign currencies, including U.S. dollars and GBP, is based on rates set by the People’s Bank of China. The RMB has fluctuated against the U.S. dollar and GBP, at times significantly and unpredictably. It is difficult to predict how market forces or PRC or U.S. government or UK government policy may impact the exchange rate between RMB and the U.S. dollar and GBP in the future.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we need to convert U.S. dollars and GBP into RMB for our operations, appreciation of the RMB against the U.S. dollar and GBP would have an adverse effect on the RMB amount we receive from the conversion. Conversely, if we decide to convert RMB into U.S. dollars and GBP for the purpose of making payments for dividends on our securities or for other business purposes, appreciation of the U.S. dollars and GBP against the RMB would have a negative effect on the U.S. dollar and GBP amounts available to us.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Financial instruments that potentially expose us to concentrations of credit risk consist principally of cash, restricted cash, investment securities, accounts receivable, and loan receivables and other receivables included in prepayments and other current assets.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Majority of our cash at bank is held by third-party financial institutions located in the PRC and UK. The bank deposits with financial institutions in the PRC are insured by the government authority for up to RMB500 thousand. We have not experienced any losses in uninsured bank deposits and do not believe that we are exposed to any significant risks on cash held in bank accounts. To limit exposure to credit risk, we primarily place bank deposits with large financial institutions in the PRC and UK with acceptable credit rating.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are unsecured and are primarily derived from revenue earned from sales of sports cars and EV lifestyle models, parts, and service revenues. Accounts receivable, loan receivables and other receivables included in prepayments and other current assets are unsecured. The risk is mitigated by credit evaluations performed on them.</w:t>
      </w:r>
    </w:p>
    <w:p>
      <w:pPr>
        <w:pStyle w:val="TextBody"/>
        <w:bidi w:val="0"/>
        <w:spacing w:lineRule="auto" w:line="285" w:before="0" w:after="240"/>
        <w:ind w:left="0" w:right="0" w:hanging="0"/>
        <w:jc w:val="left"/>
        <w:rPr>
          <w:rFonts w:ascii="Times New Roman;Times;serif" w:hAnsi="Times New Roman;Times;serif"/>
          <w:sz w:val="20"/>
        </w:rPr>
      </w:pPr>
      <w:bookmarkStart w:id="60" w:name="Item12DescriptionofSecuritiesOtherthanEq"/>
      <w:bookmarkStart w:id="61" w:name="_7e872729_18e1_44bf_b55e_cb602ca82630"/>
      <w:bookmarkEnd w:id="60"/>
      <w:bookmarkEnd w:id="61"/>
      <w:r>
        <w:rPr>
          <w:rFonts w:ascii="Times New Roman;Times;serif" w:hAnsi="Times New Roman;Times;serif"/>
          <w:b/>
          <w:i w:val="false"/>
          <w:caps w:val="false"/>
          <w:smallCaps w:val="false"/>
          <w:sz w:val="20"/>
        </w:rPr>
        <w:t>Item 12.</w:t>
      </w:r>
      <w:r>
        <w:rPr>
          <w:rFonts w:ascii="Times New Roman;Times;serif" w:hAnsi="Times New Roman;Times;serif"/>
          <w:b/>
          <w:sz w:val="20"/>
        </w:rPr>
        <w:t>Description of Securities Other than Equity Securities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Debt Securities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Warrants and Rights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Other Securities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American Depositary Shares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tbl>
      <w:tblPr>
        <w:tblW w:w="10205" w:type="dxa"/>
        <w:jc w:val="left"/>
        <w:tblInd w:w="0" w:type="dxa"/>
        <w:tblLayout w:type="fixed"/>
        <w:tblCellMar>
          <w:top w:w="0" w:type="dxa"/>
          <w:left w:w="0" w:type="dxa"/>
          <w:bottom w:w="28" w:type="dxa"/>
          <w:right w:w="0" w:type="dxa"/>
        </w:tblCellMar>
      </w:tblPr>
      <w:tblGrid>
        <w:gridCol w:w="6941"/>
        <w:gridCol w:w="346"/>
        <w:gridCol w:w="2918"/>
      </w:tblGrid>
      <w:tr>
        <w:trPr/>
        <w:tc>
          <w:tcPr>
            <w:tcW w:w="6941" w:type="dxa"/>
            <w:tcBorders>
              <w:bottom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Service</w:t>
            </w:r>
          </w:p>
        </w:tc>
        <w:tc>
          <w:tcPr>
            <w:tcW w:w="346" w:type="dxa"/>
            <w:tcBorders>
              <w:bottom w:val="single" w:sz="2" w:space="0" w:color="000000"/>
            </w:tcBorders>
            <w:vAlign w:val="center"/>
          </w:tcPr>
          <w:p>
            <w:pPr>
              <w:pStyle w:val="TableContents"/>
              <w:bidi w:val="0"/>
              <w:spacing w:lineRule="auto" w:line="285" w:before="0" w:after="0"/>
              <w:ind w:left="0" w:right="0" w:hanging="0"/>
              <w:jc w:val="left"/>
              <w:rPr/>
            </w:pPr>
            <w:r>
              <w:rPr/>
              <w:t>  ​ ​ ​</w:t>
            </w:r>
          </w:p>
        </w:tc>
        <w:tc>
          <w:tcPr>
            <w:tcW w:w="2918" w:type="dxa"/>
            <w:tcBorders>
              <w:bottom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Fees</w:t>
            </w:r>
          </w:p>
        </w:tc>
      </w:tr>
      <w:tr>
        <w:trPr/>
        <w:tc>
          <w:tcPr>
            <w:tcW w:w="6941" w:type="dxa"/>
            <w:tcBorders>
              <w:top w:val="single" w:sz="2" w:space="0" w:color="000000"/>
            </w:tcBorders>
            <w:shd w:fill="CCEEFF" w:val="clear"/>
            <w:tcMar>
              <w:top w:w="28" w:type="dxa"/>
              <w:bottom w:w="0" w:type="dxa"/>
            </w:tcMar>
            <w:vAlign w:val="center"/>
          </w:tcPr>
          <w:p>
            <w:pPr>
              <w:pStyle w:val="TableContents"/>
              <w:bidi w:val="0"/>
              <w:spacing w:lineRule="auto" w:line="285" w:before="0" w:after="0"/>
              <w:jc w:val="left"/>
              <w:rPr/>
            </w:pPr>
            <w:r>
              <w:rPr/>
              <w:t>●</w:t>
            </w:r>
          </w:p>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346" w:type="dxa"/>
            <w:tcBorders/>
            <w:shd w:fill="CCEEFF" w:val="clear"/>
            <w:tcMar>
              <w:bottom w:w="0" w:type="dxa"/>
            </w:tcMar>
            <w:vAlign w:val="center"/>
          </w:tcPr>
          <w:p>
            <w:pPr>
              <w:pStyle w:val="TableContents"/>
              <w:bidi w:val="0"/>
              <w:spacing w:lineRule="auto" w:line="307" w:before="0" w:after="160"/>
              <w:ind w:left="0" w:right="0" w:hanging="0"/>
              <w:jc w:val="left"/>
              <w:rPr/>
            </w:pPr>
            <w:r>
              <w:rPr/>
              <w:t>​</w:t>
            </w:r>
          </w:p>
        </w:tc>
        <w:tc>
          <w:tcPr>
            <w:tcW w:w="2918" w:type="dxa"/>
            <w:tcBorders>
              <w:top w:val="single" w:sz="2" w:space="0" w:color="000000"/>
            </w:tcBorders>
            <w:shd w:fill="CCEEFF" w:val="clear"/>
            <w:tcMar>
              <w:top w:w="28" w:type="dxa"/>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Up to US$0.05 per ADS issued</w:t>
            </w:r>
          </w:p>
        </w:tc>
      </w:tr>
      <w:tr>
        <w:trPr/>
        <w:tc>
          <w:tcPr>
            <w:tcW w:w="6941" w:type="dxa"/>
            <w:tcBorders/>
            <w:tcMar>
              <w:bottom w:w="0" w:type="dxa"/>
            </w:tcMar>
            <w:vAlign w:val="center"/>
          </w:tcPr>
          <w:p>
            <w:pPr>
              <w:pStyle w:val="TableContents"/>
              <w:bidi w:val="0"/>
              <w:spacing w:lineRule="auto" w:line="285" w:before="0" w:after="0"/>
              <w:jc w:val="left"/>
              <w:rPr/>
            </w:pPr>
            <w:r>
              <w:rPr/>
              <w:t>●</w:t>
            </w:r>
          </w:p>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including in the case of termination of the deposit agreement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2918" w:type="dxa"/>
            <w:tcBorders/>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Up to US$0.05 per ADS cancelled</w:t>
            </w:r>
          </w:p>
        </w:tc>
      </w:tr>
      <w:tr>
        <w:trPr/>
        <w:tc>
          <w:tcPr>
            <w:tcW w:w="6941" w:type="dxa"/>
            <w:tcBorders/>
            <w:shd w:fill="CCEEFF" w:val="clear"/>
            <w:tcMar>
              <w:bottom w:w="0" w:type="dxa"/>
            </w:tcMar>
            <w:vAlign w:val="center"/>
          </w:tcPr>
          <w:p>
            <w:pPr>
              <w:pStyle w:val="TableContents"/>
              <w:bidi w:val="0"/>
              <w:spacing w:lineRule="auto" w:line="285" w:before="0" w:after="0"/>
              <w:jc w:val="left"/>
              <w:rPr/>
            </w:pPr>
            <w:r>
              <w:rPr/>
              <w:t>●</w:t>
            </w:r>
          </w:p>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dividends</w:t>
            </w:r>
          </w:p>
        </w:tc>
        <w:tc>
          <w:tcPr>
            <w:tcW w:w="346" w:type="dxa"/>
            <w:tcBorders/>
            <w:shd w:fill="CCEEFF" w:val="clear"/>
            <w:tcMar>
              <w:bottom w:w="0" w:type="dxa"/>
            </w:tcMar>
            <w:vAlign w:val="center"/>
          </w:tcPr>
          <w:p>
            <w:pPr>
              <w:pStyle w:val="TableContents"/>
              <w:bidi w:val="0"/>
              <w:spacing w:lineRule="auto" w:line="307" w:before="0" w:after="160"/>
              <w:ind w:left="0" w:right="0" w:hanging="0"/>
              <w:jc w:val="left"/>
              <w:rPr/>
            </w:pPr>
            <w:r>
              <w:rPr/>
              <w:t>​</w:t>
            </w:r>
          </w:p>
        </w:tc>
        <w:tc>
          <w:tcPr>
            <w:tcW w:w="2918" w:type="dxa"/>
            <w:tcBorders/>
            <w:shd w:fill="CCEEFF" w:val="clear"/>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941" w:type="dxa"/>
            <w:tcBorders/>
            <w:tcMar>
              <w:bottom w:w="0" w:type="dxa"/>
            </w:tcMar>
            <w:vAlign w:val="center"/>
          </w:tcPr>
          <w:p>
            <w:pPr>
              <w:pStyle w:val="TableContents"/>
              <w:bidi w:val="0"/>
              <w:spacing w:lineRule="auto" w:line="285" w:before="0" w:after="0"/>
              <w:jc w:val="left"/>
              <w:rPr/>
            </w:pPr>
            <w:r>
              <w:rPr/>
              <w:t>●</w:t>
            </w:r>
          </w:p>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entitlements (other than cash dividends) and/or cash proceeds from the sale of rights, securities and other entitlements</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2918" w:type="dxa"/>
            <w:tcBorders/>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941" w:type="dxa"/>
            <w:tcBorders/>
            <w:shd w:fill="CCEEFF" w:val="clear"/>
            <w:tcMar>
              <w:bottom w:w="0" w:type="dxa"/>
            </w:tcMar>
            <w:vAlign w:val="center"/>
          </w:tcPr>
          <w:p>
            <w:pPr>
              <w:pStyle w:val="TableContents"/>
              <w:bidi w:val="0"/>
              <w:spacing w:lineRule="auto" w:line="285" w:before="0" w:after="0"/>
              <w:jc w:val="left"/>
              <w:rPr/>
            </w:pPr>
            <w:r>
              <w:rPr/>
              <w:t>●</w:t>
            </w:r>
          </w:p>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ADSs pursuant to exercise of rights.</w:t>
            </w:r>
          </w:p>
        </w:tc>
        <w:tc>
          <w:tcPr>
            <w:tcW w:w="346" w:type="dxa"/>
            <w:tcBorders/>
            <w:shd w:fill="CCEEFF" w:val="clear"/>
            <w:tcMar>
              <w:bottom w:w="0" w:type="dxa"/>
            </w:tcMar>
            <w:vAlign w:val="center"/>
          </w:tcPr>
          <w:p>
            <w:pPr>
              <w:pStyle w:val="TableContents"/>
              <w:bidi w:val="0"/>
              <w:spacing w:lineRule="auto" w:line="307" w:before="0" w:after="160"/>
              <w:ind w:left="0" w:right="0" w:hanging="0"/>
              <w:jc w:val="left"/>
              <w:rPr/>
            </w:pPr>
            <w:r>
              <w:rPr/>
              <w:t>​</w:t>
            </w:r>
          </w:p>
        </w:tc>
        <w:tc>
          <w:tcPr>
            <w:tcW w:w="2918" w:type="dxa"/>
            <w:tcBorders/>
            <w:shd w:fill="CCEEFF" w:val="clear"/>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941" w:type="dxa"/>
            <w:tcBorders/>
            <w:tcMar>
              <w:bottom w:w="0" w:type="dxa"/>
            </w:tcMar>
            <w:vAlign w:val="center"/>
          </w:tcPr>
          <w:p>
            <w:pPr>
              <w:pStyle w:val="TableContents"/>
              <w:bidi w:val="0"/>
              <w:spacing w:lineRule="auto" w:line="285" w:before="0" w:after="0"/>
              <w:jc w:val="left"/>
              <w:rPr/>
            </w:pPr>
            <w:r>
              <w:rPr/>
              <w:t>●</w:t>
            </w:r>
          </w:p>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other than ADSs or rights to purchase additional ADSs</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2918" w:type="dxa"/>
            <w:tcBorders/>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941" w:type="dxa"/>
            <w:tcBorders/>
            <w:shd w:fill="CCEEFF" w:val="clear"/>
            <w:tcMar>
              <w:bottom w:w="0" w:type="dxa"/>
            </w:tcMar>
            <w:vAlign w:val="center"/>
          </w:tcPr>
          <w:p>
            <w:pPr>
              <w:pStyle w:val="TableContents"/>
              <w:bidi w:val="0"/>
              <w:spacing w:lineRule="auto" w:line="285" w:before="0" w:after="0"/>
              <w:jc w:val="left"/>
              <w:rPr/>
            </w:pPr>
            <w:r>
              <w:rPr/>
              <w:t>●</w:t>
            </w:r>
          </w:p>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services</w:t>
            </w:r>
          </w:p>
        </w:tc>
        <w:tc>
          <w:tcPr>
            <w:tcW w:w="346" w:type="dxa"/>
            <w:tcBorders/>
            <w:shd w:fill="CCEEFF" w:val="clear"/>
            <w:tcMar>
              <w:bottom w:w="0" w:type="dxa"/>
            </w:tcMar>
            <w:vAlign w:val="center"/>
          </w:tcPr>
          <w:p>
            <w:pPr>
              <w:pStyle w:val="TableContents"/>
              <w:bidi w:val="0"/>
              <w:spacing w:lineRule="auto" w:line="307" w:before="0" w:after="160"/>
              <w:ind w:left="0" w:right="0" w:hanging="0"/>
              <w:jc w:val="left"/>
              <w:rPr/>
            </w:pPr>
            <w:r>
              <w:rPr/>
              <w:t>​</w:t>
            </w:r>
          </w:p>
        </w:tc>
        <w:tc>
          <w:tcPr>
            <w:tcW w:w="2918" w:type="dxa"/>
            <w:tcBorders/>
            <w:shd w:fill="CCEEFF" w:val="clear"/>
            <w:tcMar>
              <w:bottom w:w="0"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bidi w:val="0"/>
        <w:spacing w:lineRule="auto" w:line="307" w:before="0" w:after="160"/>
        <w:ind w:left="0" w:right="0" w:hanging="0"/>
        <w:jc w:val="both"/>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ordinary shares charged by the registrar and transfer agent for the ordinary shares in the Cayman Islands (i.e., upon deposit and withdrawal of ordinary shares).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ordinary shares are deposited or withdrawn from deposit).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ordinary shares on deposit.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ordinary shares, deposited securities, ADSs and ADRs.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Payment of Taxes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 Responsibility for payment of such fees, charges and reimbursements may from time to time be changed by agreement between us and the depositary. For the year ended December 31, 2025, we did not receive any payment from the depositary for our expenses incurred in connection with the establishment and maintenance of the ADR program.</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62" w:name="PARTII_902650"/>
      <w:bookmarkStart w:id="63" w:name="_9f1b8e44_9ef6_4463_8b99_5dad79b5657d"/>
      <w:bookmarkEnd w:id="62"/>
      <w:bookmarkEnd w:id="63"/>
      <w:r>
        <w:rPr>
          <w:rFonts w:ascii="Times New Roman;Times;serif" w:hAnsi="Times New Roman;Times;serif"/>
          <w:b/>
          <w:sz w:val="20"/>
        </w:rPr>
        <w:t>PART II</w:t>
      </w:r>
    </w:p>
    <w:p>
      <w:pPr>
        <w:pStyle w:val="TextBody"/>
        <w:bidi w:val="0"/>
        <w:spacing w:lineRule="auto" w:line="285" w:before="0" w:after="240"/>
        <w:ind w:left="0" w:right="0" w:hanging="0"/>
        <w:jc w:val="left"/>
        <w:rPr>
          <w:rFonts w:ascii="Times New Roman;Times;serif" w:hAnsi="Times New Roman;Times;serif"/>
          <w:sz w:val="20"/>
        </w:rPr>
      </w:pPr>
      <w:bookmarkStart w:id="64" w:name="Item13DefaultsDividendArrearagesandDelin"/>
      <w:bookmarkEnd w:id="64"/>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hanging="0"/>
        <w:jc w:val="left"/>
        <w:rPr>
          <w:rFonts w:ascii="Times New Roman;Times;serif" w:hAnsi="Times New Roman;Times;serif"/>
          <w:sz w:val="20"/>
        </w:rPr>
      </w:pPr>
      <w:bookmarkStart w:id="65" w:name="Item14MaterialModificationstotheRightsof"/>
      <w:bookmarkStart w:id="66" w:name="_de6b4bbd_79c9_45e2_ab6b_ef9b2e742b5a"/>
      <w:bookmarkEnd w:id="65"/>
      <w:bookmarkEnd w:id="66"/>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hanging="0"/>
        <w:jc w:val="left"/>
        <w:rPr>
          <w:rFonts w:ascii="Times New Roman;Times;serif" w:hAnsi="Times New Roman;Times;serif"/>
          <w:sz w:val="20"/>
        </w:rPr>
      </w:pPr>
      <w:bookmarkStart w:id="67" w:name="Item15ControlsandProcedures_617024"/>
      <w:bookmarkStart w:id="68" w:name="_b0d99991_0d39_4c95_b005_7636bfbd1ee2"/>
      <w:bookmarkEnd w:id="67"/>
      <w:bookmarkEnd w:id="68"/>
      <w:r>
        <w:rPr>
          <w:rFonts w:ascii="Times New Roman;Times;serif" w:hAnsi="Times New Roman;Times;serif"/>
          <w:b/>
          <w:i w:val="false"/>
          <w:caps w:val="false"/>
          <w:smallCaps w:val="false"/>
          <w:sz w:val="20"/>
        </w:rPr>
        <w:t>Item 15.</w:t>
      </w:r>
      <w:r>
        <w:rPr>
          <w:rFonts w:ascii="Times New Roman;Times;serif" w:hAnsi="Times New Roman;Times;serif"/>
          <w:b/>
          <w:sz w:val="20"/>
        </w:rPr>
        <w:t>Controls and Procedures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performed an evaluation of the effectiveness of our disclosure controls and procedures (as defined in Rule 13a</w:t>
      </w:r>
      <w:r>
        <w:rPr>
          <w:rFonts w:ascii="Times New Roman;Times;serif" w:hAnsi="Times New Roman;Times;serif"/>
          <w:sz w:val="22"/>
        </w:rPr>
        <w:t>-</w:t>
      </w:r>
      <w:r>
        <w:rPr>
          <w:rFonts w:ascii="Times New Roman;Times;serif" w:hAnsi="Times New Roman;Times;serif"/>
          <w:sz w:val="20"/>
        </w:rPr>
        <w:t>15(e) under the Exchange Act) as of the end of the period covered by this report, as required by Rule 13a</w:t>
      </w:r>
      <w:r>
        <w:rPr>
          <w:rFonts w:ascii="Times New Roman;Times;serif" w:hAnsi="Times New Roman;Times;serif"/>
          <w:sz w:val="22"/>
        </w:rPr>
        <w:t>-</w:t>
      </w:r>
      <w:r>
        <w:rPr>
          <w:rFonts w:ascii="Times New Roman;Times;serif" w:hAnsi="Times New Roman;Times;serif"/>
          <w:sz w:val="20"/>
        </w:rPr>
        <w:t>15(b) under the Exchange Act. Based on that evaluation, our management, with the participation of our chief executive officer and chief financial officer, has concluded that, as of December 31, 2025,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as appropriate, to allow timely decisions regarding required disclosure.</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Previously disclosed material weaknesses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material weakness disclosed in our annual report on Form 20-F for the year ended December 31, 2024 and 2023, these material weakness related to (i) “the UK subsidiary did not appropriately design, implement and maintain effective controls to recognize revenue, relating to the proper application of Accounting Standards Codification Topic 606”; (ii) “the UK subsidiary did not appropriately design, implement and maintain effective controls over the completeness and accuracy of accounting for inventory and inventory related transactions”; (iii) “the EU and UK subsidiary did not properly follow the control design and requirement of financial reporting process and policy, controls and documentation over the review and approval of manual journal entries, key account reconciliations and preparation of reporting package were not appropriately implemented to prevent unauthorized access to post journal entries, or timely identify misstatement of local financial statements”; (iv) “the EU subsidiary did not properly implement and maintain effective controls over vehicle delivery processes to address accuracy of vehicle delivery and sales revenue recognition”; and (v) “the UK subsidiary did not effectively implement inventory controls over stock counting, including failure to follow count instructions to perform floor-to sheet count and proper inventory list reconciliations to address completeness of inventory”.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Management’s ongoing remediation efforts related to the above identified material weakness include hiring of additional accounting and financial reporting personnel and the expansion of the capabilities of existing accounting and financial reporting personnel, continuing to design, implement, document and monitor internal controls over financial reporting, manual journal entries reviews, key account reconciliations, sales and inventory management as well as stock counting, to operate at a sufficient level of precision and frequency, and to address the completeness and accuracy of financial reporting, revenue recognition and inventory. Through a series of remedial measures, we have effectively mitigated the material weaknesses in relation to internal controls over financial reporting that were identified as of December 31, 2024 and 2023.</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 and Attestation Report of the Registered Public Accounting Firm</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 13a</w:t>
      </w:r>
      <w:r>
        <w:rPr>
          <w:rFonts w:ascii="Times New Roman;Times;serif" w:hAnsi="Times New Roman;Times;serif"/>
          <w:sz w:val="22"/>
        </w:rPr>
        <w:t>-</w:t>
      </w:r>
      <w:r>
        <w:rPr>
          <w:rFonts w:ascii="Times New Roman;Times;serif" w:hAnsi="Times New Roman;Times;serif"/>
          <w:sz w:val="20"/>
        </w:rPr>
        <w:t>15(f)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all potential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the effectiveness of our internal control over financial reporting as of December 31, 2025, based on the criteria established in Internal Control—Integrated Framework (2013) issued by the Committee of Sponsoring Organizations of the Treadway Commission (COSO). Based on that evaluation, our management concluded that our internal control over financial reporting was effective as of December 31, 2025.</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an “emerging growth company” as defined in the JOBS Act, we are not required to provide an attestation report of our independent registered public accounting firm on our internal control over financial reporting for the fiscal year ended December 31, 2025.</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Except for the remediation of the material weaknesses that existed as of December 31, 2024 and 2023, there were no changes in our internal control over financial reporting that occurred during the period covered by this annual report that have materially affected, or are reasonably likely to materially affect, our internal control over financial reporting.</w:t>
      </w:r>
    </w:p>
    <w:p>
      <w:pPr>
        <w:pStyle w:val="TextBody"/>
        <w:bidi w:val="0"/>
        <w:spacing w:lineRule="auto" w:line="307" w:before="0" w:after="240"/>
        <w:ind w:left="0" w:right="0" w:hanging="0"/>
        <w:jc w:val="left"/>
        <w:rPr>
          <w:rFonts w:ascii="Times New Roman;Times;serif" w:hAnsi="Times New Roman;Times;serif"/>
          <w:sz w:val="20"/>
        </w:rPr>
      </w:pPr>
      <w:bookmarkStart w:id="69" w:name="_990825d1_ab01_4cea_8496_27569a1843ce"/>
      <w:bookmarkStart w:id="70" w:name="Item16Reserved_820720"/>
      <w:bookmarkEnd w:id="69"/>
      <w:bookmarkEnd w:id="70"/>
      <w:r>
        <w:rPr>
          <w:rFonts w:ascii="Times New Roman;Times;serif" w:hAnsi="Times New Roman;Times;serif"/>
          <w:b/>
          <w:i w:val="false"/>
          <w:caps w:val="false"/>
          <w:smallCaps w:val="false"/>
          <w:sz w:val="20"/>
        </w:rPr>
        <w:t>Item 16.</w:t>
      </w:r>
      <w:r>
        <w:rPr>
          <w:rFonts w:ascii="Times New Roman;Times;serif" w:hAnsi="Times New Roman;Times;serif"/>
          <w:sz w:val="20"/>
        </w:rPr>
        <w:t>    </w:t>
      </w:r>
      <w:r>
        <w:rPr>
          <w:rFonts w:ascii="Times New Roman;Times;serif" w:hAnsi="Times New Roman;Times;serif"/>
          <w:b/>
          <w:sz w:val="20"/>
        </w:rPr>
        <w:t>[Reserved]</w:t>
      </w:r>
    </w:p>
    <w:p>
      <w:pPr>
        <w:pStyle w:val="TextBody"/>
        <w:bidi w:val="0"/>
        <w:spacing w:lineRule="auto" w:line="285" w:before="0" w:after="240"/>
        <w:ind w:left="0" w:right="0" w:hanging="0"/>
        <w:jc w:val="left"/>
        <w:rPr>
          <w:rFonts w:ascii="Times New Roman;Times;serif" w:hAnsi="Times New Roman;Times;serif"/>
          <w:sz w:val="20"/>
        </w:rPr>
      </w:pPr>
      <w:bookmarkStart w:id="71" w:name="Item16AAuditCommitteeFinancialExpert_356"/>
      <w:bookmarkStart w:id="72" w:name="_3d79e1e0_8465_42a0_8005_0b2313d0f3b4"/>
      <w:bookmarkEnd w:id="71"/>
      <w:bookmarkEnd w:id="72"/>
      <w:r>
        <w:rPr>
          <w:rFonts w:ascii="Times New Roman;Times;serif" w:hAnsi="Times New Roman;Times;serif"/>
          <w:b/>
          <w:i w:val="false"/>
          <w:caps w:val="false"/>
          <w:smallCaps w:val="false"/>
          <w:sz w:val="20"/>
        </w:rPr>
        <w:t>Item 16A.</w:t>
      </w:r>
      <w:r>
        <w:rPr>
          <w:rFonts w:ascii="Times New Roman;Times;serif" w:hAnsi="Times New Roman;Times;serif"/>
          <w:b/>
          <w:sz w:val="20"/>
        </w:rPr>
        <w:t>Audit Committee Financial Expert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Ms. Ada Yunfeng Yan, an independent director (under the standards set forth in Nasdaq Stock Market Rule 5605(a)(2) and Rule 10A-3 under the Exchange Act) and chairperson of our audit committee, is an audit committee financial expert.</w:t>
      </w:r>
    </w:p>
    <w:p>
      <w:pPr>
        <w:pStyle w:val="TextBody"/>
        <w:bidi w:val="0"/>
        <w:spacing w:lineRule="auto" w:line="285" w:before="0" w:after="240"/>
        <w:ind w:left="0" w:right="0" w:hanging="0"/>
        <w:jc w:val="left"/>
        <w:rPr>
          <w:rFonts w:ascii="Times New Roman;Times;serif" w:hAnsi="Times New Roman;Times;serif"/>
          <w:sz w:val="20"/>
        </w:rPr>
      </w:pPr>
      <w:bookmarkStart w:id="73" w:name="Item16BCodeofEthics_995719"/>
      <w:bookmarkStart w:id="74" w:name="_f2af7e3d_0a8d_4451_b5ea_7f986b16e26c"/>
      <w:bookmarkEnd w:id="73"/>
      <w:bookmarkEnd w:id="74"/>
      <w:r>
        <w:rPr>
          <w:rFonts w:ascii="Times New Roman;Times;serif" w:hAnsi="Times New Roman;Times;serif"/>
          <w:b/>
          <w:i w:val="false"/>
          <w:caps w:val="false"/>
          <w:smallCaps w:val="false"/>
          <w:sz w:val="20"/>
        </w:rPr>
        <w:t>Item 16B.</w:t>
      </w:r>
      <w:r>
        <w:rPr>
          <w:rFonts w:ascii="Times New Roman;Times;serif" w:hAnsi="Times New Roman;Times;serif"/>
          <w:b/>
          <w:sz w:val="20"/>
        </w:rPr>
        <w:t>Code of Ethics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adopted a code of business conduct and ethics that applies to our directors, officers, employees and advisors. We have posted a copy of our code of business conduct and ethics on our website at </w:t>
      </w:r>
      <w:r>
        <w:rPr>
          <w:rFonts w:ascii="Times New Roman;Times;serif" w:hAnsi="Times New Roman;Times;serif"/>
          <w:sz w:val="22"/>
        </w:rPr>
        <w:t>https://ir.group- lotus.com/governance/documents-charters</w:t>
      </w:r>
      <w:r>
        <w:rPr>
          <w:rFonts w:ascii="Times New Roman;Times;serif" w:hAnsi="Times New Roman;Times;serif"/>
          <w:sz w:val="20"/>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75" w:name="Item16CPrincipalAccountantFeesandService"/>
      <w:bookmarkStart w:id="76" w:name="_e4c3ce7a_ed5d_4034_a1e2_0e147e77de10"/>
      <w:bookmarkEnd w:id="75"/>
      <w:bookmarkEnd w:id="76"/>
      <w:r>
        <w:rPr>
          <w:rFonts w:ascii="Times New Roman;Times;serif" w:hAnsi="Times New Roman;Times;serif"/>
          <w:b/>
          <w:i w:val="false"/>
          <w:caps w:val="false"/>
          <w:smallCaps w:val="false"/>
          <w:sz w:val="20"/>
        </w:rPr>
        <w:t>Item 16C.</w:t>
      </w:r>
      <w:r>
        <w:rPr>
          <w:rFonts w:ascii="Times New Roman;Times;serif" w:hAnsi="Times New Roman;Times;serif"/>
          <w:b/>
          <w:sz w:val="20"/>
        </w:rPr>
        <w:t>Principal Accountant Fees and Services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sets forth the aggregate fees by categories specified below in connection with certain professional services rendered by our principal external auditor and its affiliates </w:t>
      </w:r>
      <w:r>
        <w:rPr>
          <w:rFonts w:ascii="Times New Roman;Times;serif" w:hAnsi="Times New Roman;Times;serif"/>
          <w:sz w:val="15"/>
        </w:rPr>
        <w:t>(3)</w:t>
      </w:r>
      <w:r>
        <w:rPr>
          <w:rFonts w:ascii="Times New Roman;Times;serif" w:hAnsi="Times New Roman;Times;serif"/>
          <w:sz w:val="20"/>
        </w:rPr>
        <w:t xml:space="preserve"> for the years indicated.</w:t>
      </w:r>
    </w:p>
    <w:tbl>
      <w:tblPr>
        <w:tblW w:w="4187" w:type="dxa"/>
        <w:jc w:val="left"/>
        <w:tblInd w:w="0" w:type="dxa"/>
        <w:tblLayout w:type="fixed"/>
        <w:tblCellMar>
          <w:top w:w="0" w:type="dxa"/>
          <w:left w:w="0" w:type="dxa"/>
          <w:bottom w:w="0" w:type="dxa"/>
          <w:right w:w="0" w:type="dxa"/>
        </w:tblCellMar>
      </w:tblPr>
      <w:tblGrid>
        <w:gridCol w:w="1111"/>
        <w:gridCol w:w="346"/>
        <w:gridCol w:w="1017"/>
        <w:gridCol w:w="616"/>
        <w:gridCol w:w="1097"/>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705485" cy="175260"/>
                      <wp:effectExtent l="0" t="0" r="0" b="0"/>
                      <wp:wrapNone/>
                      <wp:docPr id="214" name="Frame20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15"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5795" cy="175260"/>
                      <wp:effectExtent l="0" t="0" r="0" b="0"/>
                      <wp:wrapNone/>
                      <wp:docPr id="216" name="Frame211"/>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91160" cy="175260"/>
                      <wp:effectExtent l="0" t="0" r="0" b="0"/>
                      <wp:wrapNone/>
                      <wp:docPr id="217" name="Frame21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6595" cy="175260"/>
                      <wp:effectExtent l="0" t="0" r="0" b="0"/>
                      <wp:wrapNone/>
                      <wp:docPr id="218" name="Frame213"/>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730"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1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17"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16" w:type="dxa"/>
            <w:tcBorders/>
            <w:vAlign w:val="center"/>
          </w:tcPr>
          <w:p>
            <w:pPr>
              <w:pStyle w:val="TableContents"/>
              <w:bidi w:val="0"/>
              <w:spacing w:lineRule="auto" w:line="307" w:before="0" w:after="16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87"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730"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11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307" w:before="0" w:after="1"/>
              <w:ind w:left="0" w:right="0" w:hanging="0"/>
              <w:jc w:val="center"/>
              <w:rPr/>
            </w:pPr>
            <w:r>
              <w:rPr/>
              <w:t>  ​ ​ ​</w:t>
            </w:r>
          </w:p>
        </w:tc>
        <w:tc>
          <w:tcPr>
            <w:tcW w:w="101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1,060</w:t>
            </w:r>
          </w:p>
        </w:tc>
        <w:tc>
          <w:tcPr>
            <w:tcW w:w="616" w:type="dxa"/>
            <w:tcBorders/>
            <w:shd w:fill="CCEEFF" w:val="clear"/>
            <w:vAlign w:val="center"/>
          </w:tcPr>
          <w:p>
            <w:pPr>
              <w:pStyle w:val="TableContents"/>
              <w:bidi w:val="0"/>
              <w:spacing w:lineRule="auto" w:line="307" w:before="0" w:after="1"/>
              <w:ind w:left="0" w:right="0" w:hanging="0"/>
              <w:jc w:val="right"/>
              <w:rPr/>
            </w:pPr>
            <w:r>
              <w:rPr/>
              <w:t>  ​ ​ ​</w:t>
            </w:r>
          </w:p>
        </w:tc>
        <w:tc>
          <w:tcPr>
            <w:tcW w:w="109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5,326</w:t>
            </w:r>
          </w:p>
        </w:tc>
      </w:tr>
      <w:tr>
        <w:trPr/>
        <w:tc>
          <w:tcPr>
            <w:tcW w:w="11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(2)</w:t>
            </w:r>
          </w:p>
        </w:tc>
        <w:tc>
          <w:tcPr>
            <w:tcW w:w="346" w:type="dxa"/>
            <w:tcBorders/>
            <w:vAlign w:val="center"/>
          </w:tcPr>
          <w:p>
            <w:pPr>
              <w:pStyle w:val="TableContents"/>
              <w:bidi w:val="0"/>
              <w:spacing w:lineRule="auto" w:line="307" w:before="0" w:after="1"/>
              <w:ind w:left="0" w:right="0" w:hanging="0"/>
              <w:jc w:val="left"/>
              <w:rPr/>
            </w:pPr>
            <w:r>
              <w:rPr/>
              <w:t> </w:t>
            </w:r>
          </w:p>
        </w:tc>
        <w:tc>
          <w:tcPr>
            <w:tcW w:w="101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616" w:type="dxa"/>
            <w:tcBorders/>
            <w:vAlign w:val="center"/>
          </w:tcPr>
          <w:p>
            <w:pPr>
              <w:pStyle w:val="TableContents"/>
              <w:bidi w:val="0"/>
              <w:spacing w:lineRule="auto" w:line="307" w:before="0" w:after="1"/>
              <w:ind w:left="0" w:right="0" w:hanging="0"/>
              <w:jc w:val="left"/>
              <w:rPr/>
            </w:pPr>
            <w:r>
              <w:rPr/>
              <w:t> </w:t>
            </w:r>
          </w:p>
        </w:tc>
        <w:tc>
          <w:tcPr>
            <w:tcW w:w="1097"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106</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Audit fees” represent the aggregate fees billed or to be billed for the audit of our annual consolidated financial statements and services that are normally provided by our principal external auditor and its affiliates in connection with statutory and regulatory filings or other engagements for those fiscal years.</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Tax fees” represent the aggregate fees billed for professional services rendered by our principal external auditor and its affiliates for tax compliance.</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 engaged KPMG Huazhen LLP as independent registered public accounting firm for our annual report on Form 20-F for the year ended December 31, 2024, and engaged Grant Thornton Zhitong Certified Public Accountant LLP as independent registered public accounting firm for our annual report on Form 20-F for the year ended December 31, 2025.</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policy of our audit committee is to pre-approve all audit and other service provided by our principal external auditor and its affiliates as described above, other than those for de minimis services which are approved by the audit committee prior to the completion of the audit.</w:t>
      </w:r>
    </w:p>
    <w:p>
      <w:pPr>
        <w:pStyle w:val="TextBody"/>
        <w:bidi w:val="0"/>
        <w:spacing w:lineRule="auto" w:line="285" w:before="0" w:after="240"/>
        <w:ind w:left="0" w:right="0" w:hanging="0"/>
        <w:jc w:val="left"/>
        <w:rPr>
          <w:rFonts w:ascii="Times New Roman;Times;serif" w:hAnsi="Times New Roman;Times;serif"/>
          <w:sz w:val="20"/>
        </w:rPr>
      </w:pPr>
      <w:bookmarkStart w:id="77" w:name="Item16DExemptionsfromtheListingStandards"/>
      <w:bookmarkStart w:id="78" w:name="_a2867fb1_121a_4799_9613_e83f9666cd6e"/>
      <w:bookmarkEnd w:id="77"/>
      <w:bookmarkEnd w:id="78"/>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bookmarkStart w:id="79" w:name="Item16EPurchasesofEquitySecuritiesbytheI"/>
      <w:bookmarkStart w:id="80" w:name="_3428947b_8903_442e_ba24_c64249f61785"/>
      <w:bookmarkEnd w:id="79"/>
      <w:bookmarkEnd w:id="80"/>
      <w:r>
        <w:rPr>
          <w:rFonts w:ascii="Times New Roman;Times;serif" w:hAnsi="Times New Roman;Times;serif"/>
          <w:b/>
          <w:i w:val="false"/>
          <w:caps w:val="false"/>
          <w:smallCaps w:val="false"/>
          <w:sz w:val="20"/>
        </w:rPr>
        <w:t>Item 16E.</w:t>
      </w:r>
      <w:r>
        <w:rPr>
          <w:rFonts w:ascii="Times New Roman;Times;serif" w:hAnsi="Times New Roman;Times;serif"/>
          <w:b/>
          <w:sz w:val="20"/>
        </w:rPr>
        <w:t>Purchases of Equity Securities by the Issuer and Affiliated Purchasers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bookmarkStart w:id="81" w:name="Item16FChangeinRegistrantsCertifyingAcco"/>
      <w:bookmarkStart w:id="82" w:name="_88ac1355_e92a_49c0_859a_b1142833566e"/>
      <w:bookmarkEnd w:id="81"/>
      <w:bookmarkEnd w:id="82"/>
      <w:r>
        <w:rPr>
          <w:rFonts w:ascii="Times New Roman;Times;serif" w:hAnsi="Times New Roman;Times;serif"/>
          <w:b/>
          <w:i w:val="false"/>
          <w:caps w:val="false"/>
          <w:smallCaps w:val="false"/>
          <w:sz w:val="20"/>
        </w:rPr>
        <w:t>Item 16F.</w:t>
      </w:r>
      <w:r>
        <w:rPr>
          <w:rFonts w:ascii="Times New Roman;Times;serif" w:hAnsi="Times New Roman;Times;serif"/>
          <w:b/>
          <w:sz w:val="20"/>
        </w:rPr>
        <w:t>Change in Registrant’s Certifying Accountant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December 31, 2025, our board of directors and the audit committee approved the dismissal of our previous independent registered public accounting firm, KPMG Huazhen LLP (“KPMG”), and appointed Grant Thornton Zhitong Certified Public Accountants LLP (“Grant Thornton”) as our independent registered public accounting firm for the audit of our consolidated financial statements as of and for the fiscal year ended December 31, 2025, to be filed with the SEC.</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reports of KPMG on our consolidated financial statements as of and for the years ended December 31, 2024 and 2023 did not contain any adverse opinion or disclaimer of opinion, nor were they qualified or modified as to uncertainty, audit scope, or accounting principles, except as follows: KPMG’s report on our consolidated financial statements as of and for the years ended December 31, 2024 and 2023, contained a separate paragraph stating that “the Company has incurred losses since its inception and has an accumulated deficit, net current liabilities, and net cash used in operating activities that raise substantial doubt about its ability to continue as a going concern. Management’s plans in regard to these matters are also described in Note 2(a). The consolidated financial statements do not include any adjustments that might result from the outcome of this uncertainty.”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During the fiscal years ended December 31, 2024 and 2023, and in the subsequent interim period through the date of dismissal of KPMG, there were no: (i) disagreements between us and KPMG on any matter of accounting principles or practices, financial statement disclosure, or auditing scope or procedures, which disagreements if not resolved to KPMG’s satisfaction would have caused KPMG to make reference in connection with KPMG’s opinion to the subject matter of the disagreement, or (ii) reportable events as defined in Item 16F(a)(1)(v) of Form 20-F, expect that KPMG advised us of the following material weaknesses: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(i) our subsidiaries in the EU and the UK did not properly follow the control design and requirement of financial reporting process and policy, controls and documentation over the review and approval of manual journal entries, key account reconciliations and preparation of reporting package were not appropriately implemented to prevent unauthorized access to post journal entries, or timely identify misstatement of local financial statements; (ii) the EU subsidiary did not properly implement and maintain effective controls over vehicle delivery processes to address accuracy of vehicle delivery and sales revenue recognition; and (iii) the UK subsidiary did not effectively implement inventory controls over stock counting, including failure to follow count instructions to perform floor-to-sheet count and proper inventory list reconciliations to address completeness of inventory.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our UK subsidiary did not appropriately design, implement and maintain effective controls over (i) revenue recognition relating to the proper application of Accounting Standards Codification Topic 606, Revenue from Contracts with Customers; and (ii) the completeness and accuracy of accounting for inventory and inventory related transactions, including (a) controls to ensure that all inventory is appropriately tracked and recorded on a timely basis, and (b) controls to ensure the differences identified during the year-end physical inventory count procedures are properly addressed.</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provided a copy of the foregoing disclosure in Item 16F to KPMG and requested that KPMG furnish a letter addressed to the SEC stating whether it agrees with the above statements, and if not, stating the respects in which it does not agree. A copy of the letter from KPMG addressed to the SEC, dated April 28, 2026, is filed herein as Exhibit 16.1 to this annual report.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During the fiscal years ended December 31, 2024 and 2023, and in the subsequent interim period prior to the engagement of Grant Thornton on December 31, 2025, neither we nor anyone acting on its behalf consulted with Grant Thornton regarding either (i) the application of accounting principles to a specified transaction, either completed or proposed, or the type of audit opinion that might be rendered on our consolidated financial statements, and neither a written report nor oral advice was provided to us that Grant Thornton concluded was an important factor considered by us in reaching a decision as to any accounting, audit or financial reporting issue, (ii) any matter that was the subject of a disagreement pursuant to Item 16F(a)(1)(iv) of Form 20-F and the related instructions thereto, or (iii) any reportable event pursuant to Item 16F(a)(1)(v) of Form 20-F.</w:t>
      </w:r>
    </w:p>
    <w:p>
      <w:pPr>
        <w:pStyle w:val="TextBody"/>
        <w:bidi w:val="0"/>
        <w:spacing w:lineRule="auto" w:line="285" w:before="0" w:after="240"/>
        <w:ind w:left="0" w:right="0" w:hanging="0"/>
        <w:jc w:val="left"/>
        <w:rPr>
          <w:rFonts w:ascii="Times New Roman;Times;serif" w:hAnsi="Times New Roman;Times;serif"/>
          <w:sz w:val="20"/>
        </w:rPr>
      </w:pPr>
      <w:bookmarkStart w:id="83" w:name="Item16GCorporateGovernance_817712"/>
      <w:bookmarkStart w:id="84" w:name="_530472db_d752_4f6f_8ba2_81d4d134fcd4"/>
      <w:bookmarkEnd w:id="83"/>
      <w:bookmarkEnd w:id="84"/>
      <w:r>
        <w:rPr>
          <w:rFonts w:ascii="Times New Roman;Times;serif" w:hAnsi="Times New Roman;Times;serif"/>
          <w:b/>
          <w:i w:val="false"/>
          <w:caps w:val="false"/>
          <w:smallCaps w:val="false"/>
          <w:sz w:val="20"/>
        </w:rPr>
        <w:t>Item 16G.</w:t>
      </w:r>
      <w:r>
        <w:rPr>
          <w:rFonts w:ascii="Times New Roman;Times;serif" w:hAnsi="Times New Roman;Times;serif"/>
          <w:b/>
          <w:sz w:val="20"/>
        </w:rPr>
        <w:t>Corporate Governance</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As a Cayman Islands company listed on Nasdaq, we are subject to the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rely on the home country practice exemption available to foreign private issuers for the requirement under Nasdaq Rule 5620 that each issuer must hold an annual meeting of shareholders no later than one year after the end of the issuer’s fiscal year-end. We will, however, hold annual shareholders meetings in the future if there are matters that require shareholders’ approval. We may choose to follow additional home country practices in the future. As a result, our shareholders may be afforded less protection than they would otherwise enjoy under the Nasdaq Stock Market’s corporate governance listing standards applicable to U.S. domestic issuers.</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We are a “controlled company” as defined under the Nasdaq rules because Mr. Shufu Li owns more than 50% of our total voting power. For so long as we remain a controlled company under that definition, we are permitted to elect to rely, and may continue to rely, on certain exemptions from Nasdaq corporate governance rules, including (i) an exemption from the rule that a majority of our board of directors must be independent directors; (ii) an exemption from the rule that director nominees must be selected or recommended solely by independent directors; and (iii) an exemption from the rule that the compensation committee must be comprised solely of independent directors. Current, we rely on all of the foregoing exemptions available to a controlled company.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As a result, you may not be provided with the benefits of certain corporate governance requirements of Nasdaq applicable to companies that are subject to these corporate governance requirements. See “Item 3. Key Information — D. Risk Factors —Risks Relating to Our ADSs — 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pStyle w:val="TextBody"/>
        <w:bidi w:val="0"/>
        <w:spacing w:lineRule="auto" w:line="285" w:before="0" w:after="240"/>
        <w:ind w:left="0" w:right="0" w:hanging="0"/>
        <w:jc w:val="left"/>
        <w:rPr>
          <w:rFonts w:ascii="Times New Roman;Times;serif" w:hAnsi="Times New Roman;Times;serif"/>
          <w:sz w:val="20"/>
        </w:rPr>
      </w:pPr>
      <w:bookmarkStart w:id="85" w:name="Item16HMineSafetyDisclosure_617278"/>
      <w:bookmarkStart w:id="86" w:name="_87a757e5_01df_46da_b868_c05f9775bf4c"/>
      <w:bookmarkEnd w:id="85"/>
      <w:bookmarkEnd w:id="86"/>
      <w:r>
        <w:rPr>
          <w:rFonts w:ascii="Times New Roman;Times;serif" w:hAnsi="Times New Roman;Times;serif"/>
          <w:b/>
          <w:i w:val="false"/>
          <w:caps w:val="false"/>
          <w:smallCaps w:val="false"/>
          <w:sz w:val="20"/>
        </w:rPr>
        <w:t>Item 16H.</w:t>
      </w:r>
      <w:r>
        <w:rPr>
          <w:rFonts w:ascii="Times New Roman;Times;serif" w:hAnsi="Times New Roman;Times;serif"/>
          <w:b/>
          <w:sz w:val="20"/>
        </w:rPr>
        <w:t>Mine Safety Disclosure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bookmarkStart w:id="87" w:name="Item16IDisclosureRegardingForeignJurisdi"/>
      <w:bookmarkStart w:id="88" w:name="_2615b9b5_438e_40a8_93f0_1df7471e835b"/>
      <w:bookmarkEnd w:id="87"/>
      <w:bookmarkEnd w:id="88"/>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rFonts w:ascii="Times New Roman;Times;serif" w:hAnsi="Times New Roman;Times;serif"/>
          <w:sz w:val="20"/>
        </w:rPr>
      </w:pPr>
      <w:bookmarkStart w:id="89" w:name="Item16JInsiderTradingPolicies_193616"/>
      <w:bookmarkStart w:id="90" w:name="_542c908e_49f2_4208_a237_23f122011bc5"/>
      <w:bookmarkEnd w:id="89"/>
      <w:bookmarkEnd w:id="90"/>
      <w:r>
        <w:rPr>
          <w:rFonts w:ascii="Times New Roman;Times;serif" w:hAnsi="Times New Roman;Times;serif"/>
          <w:b/>
          <w:i w:val="false"/>
          <w:caps w:val="false"/>
          <w:smallCaps w:val="false"/>
          <w:sz w:val="20"/>
        </w:rPr>
        <w:t>Item 16J.</w:t>
      </w:r>
      <w:r>
        <w:rPr>
          <w:rFonts w:ascii="Times New Roman;Times;serif" w:hAnsi="Times New Roman;Times;serif"/>
          <w:b/>
          <w:sz w:val="20"/>
        </w:rPr>
        <w:t>Insider Trading Policies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0"/>
        </w:rPr>
        <w:t>Our board of directors has established</w:t>
      </w:r>
      <w:r>
        <w:rPr>
          <w:rFonts w:ascii="Times New Roman;Times;serif" w:hAnsi="Times New Roman;Times;serif"/>
          <w:sz w:val="22"/>
        </w:rPr>
        <w:t xml:space="preserve"> </w:t>
      </w:r>
      <w:r>
        <w:rPr>
          <w:rFonts w:ascii="Times New Roman;Times;serif" w:hAnsi="Times New Roman;Times;serif"/>
          <w:sz w:val="20"/>
        </w:rPr>
        <w:t>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Nasdaq.</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Amended and Restated Statement of Policies Governing Material, Non-Public Information and the Prevention of Insider Trading is filed as Exhibit 11.2 to this annual report on Form 20-F.</w:t>
      </w:r>
    </w:p>
    <w:p>
      <w:pPr>
        <w:pStyle w:val="TextBody"/>
        <w:bidi w:val="0"/>
        <w:spacing w:lineRule="auto" w:line="285" w:before="0" w:after="240"/>
        <w:ind w:left="0" w:right="0" w:hanging="0"/>
        <w:jc w:val="left"/>
        <w:rPr>
          <w:rFonts w:ascii="Times New Roman;Times;serif" w:hAnsi="Times New Roman;Times;serif"/>
          <w:sz w:val="20"/>
        </w:rPr>
      </w:pPr>
      <w:bookmarkStart w:id="91" w:name="Item16KCybersecurity_171113"/>
      <w:bookmarkStart w:id="92" w:name="_7d148359_2af6_470b_ac43_ae73a9c8f889"/>
      <w:bookmarkEnd w:id="91"/>
      <w:bookmarkEnd w:id="92"/>
      <w:r>
        <w:rPr>
          <w:rFonts w:ascii="Times New Roman;Times;serif" w:hAnsi="Times New Roman;Times;serif"/>
          <w:b/>
          <w:i w:val="false"/>
          <w:caps w:val="false"/>
          <w:smallCaps w:val="false"/>
          <w:sz w:val="20"/>
        </w:rPr>
        <w:t>Item 16K.</w:t>
      </w:r>
      <w:r>
        <w:rPr>
          <w:rFonts w:ascii="Times New Roman;Times;serif" w:hAnsi="Times New Roman;Times;serif"/>
          <w:b/>
          <w:sz w:val="20"/>
        </w:rPr>
        <w:t>Cybersecurity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0"/>
        </w:rPr>
        <w:t>We have implemented comprehensive procedures to ensure effectiveness in cybersecurity management, strategy and governance and reporting cybersecurity risks. We have also integrated</w:t>
      </w:r>
      <w:r>
        <w:rPr>
          <w:rFonts w:ascii="Times New Roman;Times;serif" w:hAnsi="Times New Roman;Times;serif"/>
          <w:sz w:val="22"/>
        </w:rPr>
        <w:t xml:space="preserve"> </w:t>
      </w:r>
      <w:r>
        <w:rPr>
          <w:rFonts w:ascii="Times New Roman;Times;serif" w:hAnsi="Times New Roman;Times;serif"/>
          <w:sz w:val="20"/>
        </w:rPr>
        <w:t>cybersecurity risk management into our overall enterprise risk management system.</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0"/>
        </w:rPr>
        <w:t>We have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 robust program that monitors our corporate network and corporate app, continuous testing of aspects of our security posture internally and with outside vendors, a robust incident response program, and regular training for employees.</w:t>
      </w:r>
      <w:r>
        <w:rPr>
          <w:rFonts w:ascii="Times New Roman;Times;serif" w:hAnsi="Times New Roman;Times;serif"/>
          <w:sz w:val="22"/>
        </w:rPr>
        <w:t xml:space="preserve"> </w:t>
      </w:r>
      <w:r>
        <w:rPr>
          <w:rFonts w:ascii="Times New Roman;Times;serif" w:hAnsi="Times New Roman;Times;serif"/>
          <w:sz w:val="20"/>
        </w:rPr>
        <w:t>Our cyber security team regularly monitors the performance of our apps, platforms and infrastructure to enable us to respond quickly to potential problems, including potential cybersecurity threats.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0"/>
        </w:rPr>
        <w:t>As of the date of this annual report, we have not</w:t>
      </w:r>
      <w:r>
        <w:rPr>
          <w:rFonts w:ascii="Times New Roman;Times;serif" w:hAnsi="Times New Roman;Times;serif"/>
          <w:sz w:val="22"/>
        </w:rPr>
        <w:t xml:space="preserve"> </w:t>
      </w:r>
      <w:r>
        <w:rPr>
          <w:rFonts w:ascii="Times New Roman;Times;serif" w:hAnsi="Times New Roman;Times;serif"/>
          <w:sz w:val="20"/>
        </w:rPr>
        <w:t>experienced any material cybersecurity incidents or identified any material cybersecurity threats that have affected or are reasonably likely to materially affect us, our business strategy, results of operations or financial condition.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Governance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0"/>
        </w:rPr>
        <w:t>Our board of directors</w:t>
      </w:r>
      <w:r>
        <w:rPr>
          <w:rFonts w:ascii="Times New Roman;Times;serif" w:hAnsi="Times New Roman;Times;serif"/>
          <w:sz w:val="22"/>
        </w:rPr>
        <w:t xml:space="preserve"> </w:t>
      </w:r>
      <w:r>
        <w:rPr>
          <w:rFonts w:ascii="Times New Roman;Times;serif" w:hAnsi="Times New Roman;Times;serif"/>
          <w:sz w:val="20"/>
        </w:rPr>
        <w:t>is responsible for overseeing risks related to cybersecurity. Our board of directors shall (i) maintain oversight of the disclosure related to cybersecurity matters in current reports or periodic reports of our company, (ii) review updates to the status of any material cybersecurity incidents or material risks from cybersecurity threats to our company, and the disclosure issues, if any, presented by our management on a quarterly basis, and (iii) review disclosure concerning cybersecurity matters in our annual report on Form 20-F presented by our management.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0"/>
        </w:rPr>
        <w:t>At the management level, our cyber security team</w:t>
      </w:r>
      <w:r>
        <w:rPr>
          <w:rFonts w:ascii="Times New Roman;Times;serif" w:hAnsi="Times New Roman;Times;serif"/>
          <w:sz w:val="22"/>
        </w:rPr>
        <w:t xml:space="preserve"> </w:t>
      </w:r>
      <w:r>
        <w:rPr>
          <w:rFonts w:ascii="Times New Roman;Times;serif" w:hAnsi="Times New Roman;Times;serif"/>
          <w:sz w:val="20"/>
        </w:rPr>
        <w:t>is responsible</w:t>
      </w:r>
      <w:r>
        <w:rPr>
          <w:rFonts w:ascii="Times New Roman;Times;serif" w:hAnsi="Times New Roman;Times;serif"/>
          <w:sz w:val="22"/>
        </w:rPr>
        <w:t xml:space="preserve"> </w:t>
      </w:r>
      <w:r>
        <w:rPr>
          <w:rFonts w:ascii="Times New Roman;Times;serif" w:hAnsi="Times New Roman;Times;serif"/>
          <w:sz w:val="20"/>
        </w:rPr>
        <w:t>for monitoring and mitigating cybersecurity risks, including those associated with third-party service providers. The team investigates and responds to any suspicious activities within our data environment. Upon detecting any material cybersecurity threat or cybersecurity incident, our cyber security team will report the threat or incident to our head of information technology and cybersecurity functions, who will assume the responsibility for managing the risks from such material cybersecurity threat or cybersecurity incident and monitoring the prevention, mitigation and remediation measures. Our head of information technology and cybersecurity functions</w:t>
      </w:r>
      <w:r>
        <w:rPr>
          <w:rFonts w:ascii="Times New Roman;Times;serif" w:hAnsi="Times New Roman;Times;serif"/>
          <w:sz w:val="22"/>
        </w:rPr>
        <w:t xml:space="preserve"> </w:t>
      </w:r>
      <w:r>
        <w:rPr>
          <w:rFonts w:ascii="Times New Roman;Times;serif" w:hAnsi="Times New Roman;Times;serif"/>
          <w:sz w:val="20"/>
        </w:rPr>
        <w:t>is required to update</w:t>
      </w:r>
      <w:r>
        <w:rPr>
          <w:rFonts w:ascii="Times New Roman;Times;serif" w:hAnsi="Times New Roman;Times;serif"/>
          <w:sz w:val="22"/>
        </w:rPr>
        <w:t xml:space="preserve"> </w:t>
      </w:r>
      <w:r>
        <w:rPr>
          <w:rFonts w:ascii="Times New Roman;Times;serif" w:hAnsi="Times New Roman;Times;serif"/>
          <w:sz w:val="20"/>
        </w:rPr>
        <w:t>our board of directors regarding the status of any material cybersecurity threats, material cybersecurity incidents or other associated risks, and they are also required to discuss with our board of directors with respect to disclosure of any material cybersecurity threat or incident, if any.</w:t>
      </w:r>
      <w:r>
        <w:rPr>
          <w:rFonts w:ascii="Times New Roman;Times;serif" w:hAnsi="Times New Roman;Times;serif"/>
          <w:sz w:val="22"/>
        </w:rPr>
        <w:t xml:space="preserve"> </w:t>
      </w:r>
      <w:r>
        <w:rPr>
          <w:rFonts w:ascii="Times New Roman;Times;serif" w:hAnsi="Times New Roman;Times;serif"/>
          <w:sz w:val="20"/>
        </w:rPr>
        <w:t>Our head of information technology and cybersecurity functions has extensive experience working in the field of cybersecurity, with pertinent background and expertise in cybersecurity risk management and compliance.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If a cybersecurity incident occurs, our cyber security team will promptly organize personnel for internal assessment. If it is further determined that the incident could potentially be a material cybersecurity event, our cyber security team will promptly report the incident and assessment results to our head of information technology and cybersecurity functions, and, to the extent appropriate, involve external legal counsels to provide advice. Our management shall prepare disclosure material on the cybersecurity incident for review and approval by our board of directors before it is disseminated to the public.</w:t>
      </w:r>
    </w:p>
    <w:p>
      <w:pPr>
        <w:pStyle w:val="TextBody"/>
        <w:bidi w:val="0"/>
        <w:spacing w:lineRule="auto" w:line="285" w:before="0" w:after="240"/>
        <w:ind w:left="0" w:right="0" w:hanging="0"/>
        <w:jc w:val="center"/>
        <w:rPr>
          <w:rFonts w:ascii="Times New Roman;Times;serif" w:hAnsi="Times New Roman;Times;serif"/>
          <w:b/>
          <w:sz w:val="20"/>
        </w:rPr>
      </w:pPr>
      <w:bookmarkStart w:id="93" w:name="PARTIII_180319"/>
      <w:bookmarkStart w:id="94" w:name="_9376bdfc_9e6c_4d88_9863_cca79199959b"/>
      <w:bookmarkEnd w:id="93"/>
      <w:bookmarkEnd w:id="94"/>
      <w:r>
        <w:rPr>
          <w:rFonts w:ascii="Times New Roman;Times;serif" w:hAnsi="Times New Roman;Times;serif"/>
          <w:b/>
          <w:sz w:val="20"/>
        </w:rPr>
        <w:t>PART III</w:t>
      </w:r>
    </w:p>
    <w:p>
      <w:pPr>
        <w:pStyle w:val="TextBody"/>
        <w:bidi w:val="0"/>
        <w:spacing w:lineRule="auto" w:line="285" w:before="0" w:after="240"/>
        <w:ind w:left="0" w:right="0" w:hanging="0"/>
        <w:jc w:val="left"/>
        <w:rPr>
          <w:rFonts w:ascii="Times New Roman;Times;serif" w:hAnsi="Times New Roman;Times;serif"/>
          <w:sz w:val="20"/>
        </w:rPr>
      </w:pPr>
      <w:bookmarkStart w:id="95" w:name="Item17FinancialStatements_22760"/>
      <w:bookmarkEnd w:id="95"/>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bidi w:val="0"/>
        <w:spacing w:lineRule="auto" w:line="285" w:before="0" w:after="240"/>
        <w:ind w:left="0" w:right="0" w:hanging="0"/>
        <w:jc w:val="left"/>
        <w:rPr>
          <w:rFonts w:ascii="Times New Roman;Times;serif" w:hAnsi="Times New Roman;Times;serif"/>
          <w:sz w:val="20"/>
        </w:rPr>
      </w:pPr>
      <w:bookmarkStart w:id="96" w:name="Item18FinancialStatements_741805"/>
      <w:bookmarkStart w:id="97" w:name="_d9912877_d604_45d1_a2b1_7b0738db344d"/>
      <w:bookmarkEnd w:id="96"/>
      <w:bookmarkEnd w:id="97"/>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consolidated financial statements of Lotus Technology Inc., its subsidiaries and the variable interest entity are included at the end of this annual report.</w:t>
      </w:r>
    </w:p>
    <w:p>
      <w:pPr>
        <w:pStyle w:val="TextBody"/>
        <w:bidi w:val="0"/>
        <w:spacing w:lineRule="auto" w:line="285" w:before="0" w:after="240"/>
        <w:ind w:left="0" w:right="0" w:hanging="0"/>
        <w:jc w:val="left"/>
        <w:rPr>
          <w:rFonts w:ascii="Times New Roman;Times;serif" w:hAnsi="Times New Roman;Times;serif"/>
          <w:sz w:val="20"/>
        </w:rPr>
      </w:pPr>
      <w:bookmarkStart w:id="98" w:name="Item19Exhibits_623319"/>
      <w:bookmarkStart w:id="99" w:name="_a6a1b83d_0d98_4390_a2f8_cd0f7985889d"/>
      <w:bookmarkEnd w:id="98"/>
      <w:bookmarkEnd w:id="99"/>
      <w:r>
        <w:rPr>
          <w:rFonts w:ascii="Times New Roman;Times;serif" w:hAnsi="Times New Roman;Times;serif"/>
          <w:b/>
          <w:i w:val="false"/>
          <w:caps w:val="false"/>
          <w:smallCaps w:val="false"/>
          <w:sz w:val="20"/>
        </w:rPr>
        <w:t>Item 19.</w:t>
      </w:r>
      <w:r>
        <w:rPr>
          <w:rFonts w:ascii="Times New Roman;Times;serif" w:hAnsi="Times New Roman;Times;serif"/>
          <w:b/>
          <w:sz w:val="20"/>
        </w:rPr>
        <w:t>Exhibits</w:t>
      </w:r>
    </w:p>
    <w:tbl>
      <w:tblPr>
        <w:tblW w:w="10205" w:type="dxa"/>
        <w:jc w:val="left"/>
        <w:tblInd w:w="0" w:type="dxa"/>
        <w:tblLayout w:type="fixed"/>
        <w:tblCellMar>
          <w:top w:w="0" w:type="dxa"/>
          <w:left w:w="0" w:type="dxa"/>
          <w:bottom w:w="28" w:type="dxa"/>
          <w:right w:w="0" w:type="dxa"/>
        </w:tblCellMar>
      </w:tblPr>
      <w:tblGrid>
        <w:gridCol w:w="706"/>
        <w:gridCol w:w="346"/>
        <w:gridCol w:w="9153"/>
      </w:tblGrid>
      <w:tr>
        <w:trPr/>
        <w:tc>
          <w:tcPr>
            <w:tcW w:w="70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vAlign w:val="center"/>
          </w:tcPr>
          <w:p>
            <w:pPr>
              <w:pStyle w:val="TableHeading"/>
              <w:bidi w:val="0"/>
              <w:spacing w:lineRule="auto" w:line="285" w:before="0" w:after="0"/>
              <w:ind w:left="0" w:right="0" w:hanging="0"/>
              <w:jc w:val="left"/>
              <w:rPr/>
            </w:pPr>
            <w:r>
              <w:rPr/>
              <w:t>  ​ ​ ​</w:t>
            </w:r>
          </w:p>
        </w:tc>
        <w:tc>
          <w:tcPr>
            <w:tcW w:w="9153"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top w:val="single" w:sz="2" w:space="0" w:color="000000"/>
            </w:tcBorders>
            <w:tcMar>
              <w:top w:w="28" w:type="dxa"/>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op w:val="single" w:sz="2" w:space="0" w:color="000000"/>
            </w:tcBorders>
            <w:tcMar>
              <w:top w:w="28" w:type="dxa"/>
              <w:bottom w:w="0" w:type="dxa"/>
            </w:tcMar>
            <w:vAlign w:val="center"/>
          </w:tcPr>
          <w:p>
            <w:pPr>
              <w:pStyle w:val="TableContents"/>
              <w:bidi w:val="0"/>
              <w:spacing w:lineRule="auto" w:line="285" w:before="0" w:after="0"/>
              <w:ind w:left="0" w:right="0" w:hanging="0"/>
              <w:jc w:val="both"/>
              <w:rPr/>
            </w:pPr>
            <w:hyperlink r:id="rId7">
              <w:r>
                <w:rPr>
                  <w:rStyle w:val="InternetLink"/>
                  <w:rFonts w:ascii="Times New Roman;Times;serif" w:hAnsi="Times New Roman;Times;serif"/>
                  <w:b w:val="false"/>
                  <w:i w:val="false"/>
                  <w:caps w:val="false"/>
                  <w:smallCaps w:val="false"/>
                  <w:sz w:val="22"/>
                </w:rPr>
                <w:t>Sixth Amended and Restated Memorandum and Articles of Association of Lotus Technology Inc., as currently in effect (incorporated by reference to Exhibit 1.1 to the annual report on Form 20-F (File No. 001-41970) filed with the SEC on April 22,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8">
              <w:r>
                <w:rPr>
                  <w:rStyle w:val="InternetLink"/>
                  <w:rFonts w:ascii="Times New Roman;Times;serif" w:hAnsi="Times New Roman;Times;serif"/>
                  <w:b w:val="false"/>
                  <w:i w:val="false"/>
                  <w:caps w:val="false"/>
                  <w:smallCaps w:val="false"/>
                  <w:sz w:val="22"/>
                </w:rPr>
                <w:t>Specimen American Depositary Receipt (included as Exhibit A to Exhibit 2.2)</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9">
              <w:r>
                <w:rPr>
                  <w:rStyle w:val="InternetLink"/>
                  <w:rFonts w:ascii="Times New Roman;Times;serif" w:hAnsi="Times New Roman;Times;serif"/>
                  <w:b w:val="false"/>
                  <w:i w:val="false"/>
                  <w:caps w:val="false"/>
                  <w:smallCaps w:val="false"/>
                  <w:sz w:val="22"/>
                </w:rPr>
                <w:t>Deposit Agreement, dated as of January 29, 2024, by and among Lotus Technology Inc., the depositary named therein, and holders and beneficial owners of the American Depositary Shares (incorporated by reference to Exhibit 2.2 to the annual report on Form 20-F (File No. 001-41970) filed with the SEC on April 22,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0">
              <w:r>
                <w:rPr>
                  <w:rStyle w:val="InternetLink"/>
                  <w:rFonts w:ascii="Times New Roman;Times;serif" w:hAnsi="Times New Roman;Times;serif"/>
                  <w:b w:val="false"/>
                  <w:i w:val="false"/>
                  <w:caps w:val="false"/>
                  <w:smallCaps w:val="false"/>
                  <w:sz w:val="22"/>
                </w:rPr>
                <w:t>Warrant Agreement, dated as of March 10, 2021, between L Catterton Asia Acquisition Corp and Continental Stock Transfer &amp; Trust Company (incorporated by reference to Exhibit 4.6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1">
              <w:r>
                <w:rPr>
                  <w:rStyle w:val="InternetLink"/>
                  <w:rFonts w:ascii="Times New Roman;Times;serif" w:hAnsi="Times New Roman;Times;serif"/>
                  <w:b w:val="false"/>
                  <w:i w:val="false"/>
                  <w:caps w:val="false"/>
                  <w:smallCaps w:val="false"/>
                  <w:sz w:val="22"/>
                </w:rPr>
                <w:t>Specimen Ordinary Share Certificate of Lotus Technology Inc. (incorporated by reference to Exhibit 4.7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2">
              <w:r>
                <w:rPr>
                  <w:rStyle w:val="InternetLink"/>
                  <w:rFonts w:ascii="Times New Roman;Times;serif" w:hAnsi="Times New Roman;Times;serif"/>
                  <w:b w:val="false"/>
                  <w:i w:val="false"/>
                  <w:caps w:val="false"/>
                  <w:smallCaps w:val="false"/>
                  <w:sz w:val="22"/>
                </w:rPr>
                <w:t>Specimen Warrant Certificate of Lotus Technology Inc. (incorporated by reference to Exhibit 4.8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2.6†</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3">
              <w:r>
                <w:rPr>
                  <w:rStyle w:val="InternetLink"/>
                  <w:rFonts w:ascii="Times New Roman;Times;serif" w:hAnsi="Times New Roman;Times;serif"/>
                  <w:b w:val="false"/>
                  <w:i w:val="false"/>
                  <w:caps w:val="false"/>
                  <w:smallCaps w:val="false"/>
                  <w:sz w:val="22"/>
                </w:rPr>
                <w:t>Assignment, Assumption and Amendment Agreement, dated as of February 22, 2024, by and among L Catterton Asia Acquisition Corp, Lotus Technology Inc., Continental Stock Transfer &amp; Trust Company and Equiniti Trust Company, LLC (incorporated by reference to Exhibit 2.6 to the annual report on Form 20-F (File No. 001-41970) filed with the SEC on April 22,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4">
              <w:r>
                <w:rPr>
                  <w:rStyle w:val="InternetLink"/>
                  <w:rFonts w:ascii="Times New Roman;Times;serif" w:hAnsi="Times New Roman;Times;serif"/>
                  <w:b w:val="false"/>
                  <w:i w:val="false"/>
                  <w:caps w:val="false"/>
                  <w:smallCaps w:val="false"/>
                  <w:sz w:val="22"/>
                </w:rPr>
                <w:t>Registration and Shareholder Rights Agreement, dated as of March 10, 2021, by and among L Catterton Asia Acquisition Corp, LCA Acquisition Sponsor, LP and certain shareholders of L Catterton Asia Acquisition Corp (incorporated by reference to Exhibit 4.10 to the Registration Statement on Form F-4 (File No. 333-275001) filed with the SEC on October 16, 2023)</w:t>
              </w:r>
            </w:hyperlink>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706"/>
        <w:gridCol w:w="346"/>
        <w:gridCol w:w="9153"/>
      </w:tblGrid>
      <w:tr>
        <w:trPr/>
        <w:tc>
          <w:tcPr>
            <w:tcW w:w="70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vAlign w:val="center"/>
          </w:tcPr>
          <w:p>
            <w:pPr>
              <w:pStyle w:val="TableHeading"/>
              <w:bidi w:val="0"/>
              <w:spacing w:lineRule="auto" w:line="285" w:before="0" w:after="0"/>
              <w:ind w:left="0" w:right="0" w:hanging="0"/>
              <w:jc w:val="left"/>
              <w:rPr/>
            </w:pPr>
            <w:r>
              <w:rPr/>
              <w:t>  ​ ​ ​</w:t>
            </w:r>
          </w:p>
        </w:tc>
        <w:tc>
          <w:tcPr>
            <w:tcW w:w="9153"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5">
              <w:r>
                <w:rPr>
                  <w:rStyle w:val="InternetLink"/>
                  <w:rFonts w:ascii="Times New Roman;Times;serif" w:hAnsi="Times New Roman;Times;serif"/>
                  <w:b w:val="false"/>
                  <w:i w:val="false"/>
                  <w:caps w:val="false"/>
                  <w:smallCaps w:val="false"/>
                  <w:sz w:val="22"/>
                </w:rPr>
                <w:t>Registration Rights Agreement, dated as of February 22, 2024, by and among Lotus Technology Inc., LCA Acquisition Sponsor, LP and other parties named therein (incorporated by reference to Exhibit 2.8 to the annual report on Form 20-F (File No. 001-41970) filed with the SEC on April 22,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6">
              <w:r>
                <w:rPr>
                  <w:rStyle w:val="InternetLink"/>
                  <w:rFonts w:ascii="Times New Roman;Times;serif" w:hAnsi="Times New Roman;Times;serif"/>
                  <w:b w:val="false"/>
                  <w:i w:val="false"/>
                  <w:caps w:val="false"/>
                  <w:smallCaps w:val="false"/>
                  <w:sz w:val="22"/>
                </w:rPr>
                <w:t>Description of Securities (incorporated by reference to Exhibit 2.9 to the annual report on Form 20-F (File No. 001-41970) filed with the SEC on April 22,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7">
              <w:r>
                <w:rPr>
                  <w:rStyle w:val="InternetLink"/>
                  <w:rFonts w:ascii="Times New Roman;Times;serif" w:hAnsi="Times New Roman;Times;serif"/>
                  <w:b w:val="false"/>
                  <w:i w:val="false"/>
                  <w:caps w:val="false"/>
                  <w:smallCaps w:val="false"/>
                  <w:sz w:val="22"/>
                </w:rPr>
                <w:t>Investment Management Trust Agreement, dated as of March 10, 2021, by and between Continental Stock &amp; Trust Company and L Catterton Asia Acquisition Corp (incorporated by reference to Exhibit 10.1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8">
              <w:r>
                <w:rPr>
                  <w:rStyle w:val="InternetLink"/>
                  <w:rFonts w:ascii="Times New Roman;Times;serif" w:hAnsi="Times New Roman;Times;serif"/>
                  <w:b w:val="false"/>
                  <w:i w:val="false"/>
                  <w:caps w:val="false"/>
                  <w:smallCaps w:val="false"/>
                  <w:sz w:val="22"/>
                </w:rPr>
                <w:t>Administrative Support Agreement, dated as of March 10, 2021, by and between LCA Acquisition Sponsor, LP and L Catterton Asia Acquisition Corp (incorporated by reference to Exhibit 10.2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19">
              <w:r>
                <w:rPr>
                  <w:rStyle w:val="InternetLink"/>
                  <w:rFonts w:ascii="Times New Roman;Times;serif" w:hAnsi="Times New Roman;Times;serif"/>
                  <w:b w:val="false"/>
                  <w:i w:val="false"/>
                  <w:caps w:val="false"/>
                  <w:smallCaps w:val="false"/>
                  <w:sz w:val="22"/>
                </w:rPr>
                <w:t>Letter Agreement, dated as of March 10, 2021, among LCA Acquisition Sponsor, LP, L Catterton Asia Acquisition Corp and officers and directors of L Catterton Asia Acquisition Corp (incorporated by reference to Exhibit 10.3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0">
              <w:r>
                <w:rPr>
                  <w:rStyle w:val="InternetLink"/>
                  <w:rFonts w:ascii="Times New Roman;Times;serif" w:hAnsi="Times New Roman;Times;serif"/>
                  <w:b w:val="false"/>
                  <w:i w:val="false"/>
                  <w:caps w:val="false"/>
                  <w:smallCaps w:val="false"/>
                  <w:sz w:val="22"/>
                </w:rPr>
                <w:t>Sponsor Support Agreement, dated as of January 31, 2023, by and among Lotus Technology Inc., L Catterton Asia Acquisition Corp, LCA Acquisition Sponsor, LP and other parties named therein (incorporated by reference to Exhibit 10.4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1">
              <w:r>
                <w:rPr>
                  <w:rStyle w:val="InternetLink"/>
                  <w:rFonts w:ascii="Times New Roman;Times;serif" w:hAnsi="Times New Roman;Times;serif"/>
                  <w:b w:val="false"/>
                  <w:i w:val="false"/>
                  <w:caps w:val="false"/>
                  <w:smallCaps w:val="false"/>
                  <w:sz w:val="22"/>
                </w:rPr>
                <w:t>Amendment to Sponsor Support Agreement, dated as of November 13, 2023, by and among Lotus Technology Inc., L Catterton Asia Acquisition Corp, LCA Acquisition Sponsor, LP and other parties named therein (incorporated by reference to Exhibit 10.5 to the Registration Statement on Amendment No. 1 to Form F-4 (File No. 333-275001) filed with the SEC on November 15,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2">
              <w:r>
                <w:rPr>
                  <w:rStyle w:val="InternetLink"/>
                  <w:rFonts w:ascii="Times New Roman;Times;serif" w:hAnsi="Times New Roman;Times;serif"/>
                  <w:b w:val="false"/>
                  <w:i w:val="false"/>
                  <w:caps w:val="false"/>
                  <w:smallCaps w:val="false"/>
                  <w:sz w:val="22"/>
                </w:rPr>
                <w:t>Shareholder Support Agreement, dated as of January 31, 2023, by and among Lotus Technology Inc., L Catterton Asia Acquisition Corp, and other parties named therein (incorporated by reference to Exhibit 10.5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4.7</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3">
              <w:r>
                <w:rPr>
                  <w:rStyle w:val="InternetLink"/>
                  <w:rFonts w:ascii="Times New Roman;Times;serif" w:hAnsi="Times New Roman;Times;serif"/>
                  <w:b w:val="false"/>
                  <w:i w:val="false"/>
                  <w:caps w:val="false"/>
                  <w:smallCaps w:val="false"/>
                  <w:sz w:val="22"/>
                </w:rPr>
                <w:t>Distribution Agreement dated January 31, 2023 between Lotus Cars Limited and Lotus Technology Innovative Limited (incorporated by reference to Exhibit 10.7 to the Registration Statement on Amendment No. 1 to Form F-4 (File No. 333-275001) filed with the SEC on November 15,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4">
              <w:r>
                <w:rPr>
                  <w:rStyle w:val="InternetLink"/>
                  <w:rFonts w:ascii="Times New Roman;Times;serif" w:hAnsi="Times New Roman;Times;serif"/>
                  <w:b w:val="false"/>
                  <w:i w:val="false"/>
                  <w:caps w:val="false"/>
                  <w:smallCaps w:val="false"/>
                  <w:sz w:val="22"/>
                </w:rPr>
                <w:t>Put Option Agreement dated January 31, 2023 among Lotus Technology Inc., Geely International (Hong Kong) Limited, Lotus Advance Technologies Sdn Bhd and Lotus Group International Limited (incorporated by reference to Exhibit 10.7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4.9 </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5">
              <w:r>
                <w:rPr>
                  <w:rStyle w:val="InternetLink"/>
                  <w:rFonts w:ascii="Times New Roman;Times;serif" w:hAnsi="Times New Roman;Times;serif"/>
                  <w:b w:val="false"/>
                  <w:i w:val="false"/>
                  <w:caps w:val="false"/>
                  <w:smallCaps w:val="false"/>
                  <w:sz w:val="22"/>
                </w:rPr>
                <w:t>Put Option Agreement dated January 31, 2023 among Lotus Technology Inc., Etika Automotive Sdn Bhd, Lotus Advance Technologies Sdn Bhd and Lotus Group International Limited (incorporated by reference to Exhibit 10.8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6">
              <w:r>
                <w:rPr>
                  <w:rStyle w:val="InternetLink"/>
                  <w:rFonts w:ascii="Times New Roman;Times;serif" w:hAnsi="Times New Roman;Times;serif"/>
                  <w:b w:val="false"/>
                  <w:i w:val="false"/>
                  <w:caps w:val="false"/>
                  <w:smallCaps w:val="false"/>
                  <w:sz w:val="22"/>
                </w:rPr>
                <w:t>Lotus Technology Inc. 2022 Stock Incentive Plan (incorporated by reference to Exhibit 10.9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7">
              <w:r>
                <w:rPr>
                  <w:rStyle w:val="InternetLink"/>
                  <w:rFonts w:ascii="Times New Roman;Times;serif" w:hAnsi="Times New Roman;Times;serif"/>
                  <w:b w:val="false"/>
                  <w:i w:val="false"/>
                  <w:caps w:val="false"/>
                  <w:smallCaps w:val="false"/>
                  <w:sz w:val="22"/>
                </w:rPr>
                <w:t>Form of Indemnification Agreement between Lotus Technology Inc. and each executive officer of Lotus Technology Inc. (incorporated by reference to Exhibit 10.10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8">
              <w:r>
                <w:rPr>
                  <w:rStyle w:val="InternetLink"/>
                  <w:rFonts w:ascii="Times New Roman;Times;serif" w:hAnsi="Times New Roman;Times;serif"/>
                  <w:b w:val="false"/>
                  <w:i w:val="false"/>
                  <w:caps w:val="false"/>
                  <w:smallCaps w:val="false"/>
                  <w:sz w:val="22"/>
                </w:rPr>
                <w:t>English translation of form of Employment Agreement between Wuhan Lotus Technology Limited Company Ltd. and each executive officer of Lotus Tech. (incorporated by reference to Exhibit 10.11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4.13†</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29">
              <w:r>
                <w:rPr>
                  <w:rStyle w:val="InternetLink"/>
                  <w:rFonts w:ascii="Times New Roman;Times;serif" w:hAnsi="Times New Roman;Times;serif"/>
                  <w:b w:val="false"/>
                  <w:i w:val="false"/>
                  <w:caps w:val="false"/>
                  <w:smallCaps w:val="false"/>
                  <w:sz w:val="22"/>
                </w:rPr>
                <w:t>English Translation of EPA/LAMBDA/ALPHA Development Agreement dated March 24, 2021 between Wuhan Lotus Cars Co., Ltd and Ningbo Geely Automobile Research and Development Co., Ltd. (incorporated by reference to Exhibit 10.12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4.14</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0">
              <w:r>
                <w:rPr>
                  <w:rStyle w:val="InternetLink"/>
                  <w:rFonts w:ascii="Times New Roman;Times;serif" w:hAnsi="Times New Roman;Times;serif"/>
                  <w:b w:val="false"/>
                  <w:i w:val="false"/>
                  <w:caps w:val="false"/>
                  <w:smallCaps w:val="false"/>
                  <w:sz w:val="22"/>
                </w:rPr>
                <w:t>English Translation of Technology License Agreement dated December 20, 2021 between Wuhan Lotus Cars Co., Ltd and Zhejiang Liankong Technology Co., Ltd (incorporated by reference to Exhibit 10.13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4.15†</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1">
              <w:r>
                <w:rPr>
                  <w:rStyle w:val="InternetLink"/>
                  <w:rFonts w:ascii="Times New Roman;Times;serif" w:hAnsi="Times New Roman;Times;serif"/>
                  <w:b w:val="false"/>
                  <w:i w:val="false"/>
                  <w:caps w:val="false"/>
                  <w:smallCaps w:val="false"/>
                  <w:sz w:val="22"/>
                </w:rPr>
                <w:t>Trademarks License Agreement dated November 4, 2021 between Lotus Advanced Technology Limited and Group Lotus Limited (incorporated by reference to Exhibit 10.14 to the Registration Statement on Form F-4 (File No. 333-275001) filed with the SEC on October 16, 2023)</w:t>
              </w:r>
            </w:hyperlink>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706"/>
        <w:gridCol w:w="346"/>
        <w:gridCol w:w="9153"/>
      </w:tblGrid>
      <w:tr>
        <w:trPr/>
        <w:tc>
          <w:tcPr>
            <w:tcW w:w="70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vAlign w:val="center"/>
          </w:tcPr>
          <w:p>
            <w:pPr>
              <w:pStyle w:val="TableHeading"/>
              <w:bidi w:val="0"/>
              <w:spacing w:lineRule="auto" w:line="285" w:before="0" w:after="0"/>
              <w:ind w:left="0" w:right="0" w:hanging="0"/>
              <w:jc w:val="left"/>
              <w:rPr/>
            </w:pPr>
            <w:r>
              <w:rPr/>
              <w:t>  ​ ​ ​</w:t>
            </w:r>
          </w:p>
        </w:tc>
        <w:tc>
          <w:tcPr>
            <w:tcW w:w="9153"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4.16†</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2">
              <w:r>
                <w:rPr>
                  <w:rStyle w:val="InternetLink"/>
                  <w:rFonts w:ascii="Times New Roman;Times;serif" w:hAnsi="Times New Roman;Times;serif"/>
                  <w:b w:val="false"/>
                  <w:i w:val="false"/>
                  <w:caps w:val="false"/>
                  <w:smallCaps w:val="false"/>
                  <w:sz w:val="22"/>
                </w:rPr>
                <w:t>Trademarks License Agreement dated November 4, 2021 between Lotus Technology International Limited and Group Lotus Limited (incorporated by reference to Exhibit 10.15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4.17†</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3">
              <w:r>
                <w:rPr>
                  <w:rStyle w:val="InternetLink"/>
                  <w:rFonts w:ascii="Times New Roman;Times;serif" w:hAnsi="Times New Roman;Times;serif"/>
                  <w:b w:val="false"/>
                  <w:i w:val="false"/>
                  <w:caps w:val="false"/>
                  <w:smallCaps w:val="false"/>
                  <w:sz w:val="22"/>
                </w:rPr>
                <w:t>English Translation of Manufacture Cooperation Agreement dated June 21, 2022 among Wuhan Lotus Cars Co., Ltd, Wuhan Lotus Cars Sales Limited, Wuhan Branch of Zhejiang Geely Automobile Co., Ltd. and Wuhan Geely Auto Parts Co., Ltd (incorporated by reference to Exhibit 10.16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4.18†</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4">
              <w:r>
                <w:rPr>
                  <w:rStyle w:val="InternetLink"/>
                  <w:rFonts w:ascii="Times New Roman;Times;serif" w:hAnsi="Times New Roman;Times;serif"/>
                  <w:b w:val="false"/>
                  <w:i w:val="false"/>
                  <w:caps w:val="false"/>
                  <w:smallCaps w:val="false"/>
                  <w:sz w:val="22"/>
                </w:rPr>
                <w:t>English Translation of Convertible Note Investment Agreement dated September 23, 2021 among Hubei Changjiang Jingkai Automobile Industry Investment Fund Partnership (Limited Partnership), Wuhan Lotus Technology Co., Ltd., Zhejiang Geely Holding Group, and Ningbo Juhe Yinqing Enterprise Management Consulting Partnership (Limited Partnership) (incorporated by reference to Exhibit 10.17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4.19†</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5">
              <w:r>
                <w:rPr>
                  <w:rStyle w:val="InternetLink"/>
                  <w:rFonts w:ascii="Times New Roman;Times;serif" w:hAnsi="Times New Roman;Times;serif"/>
                  <w:b w:val="false"/>
                  <w:i w:val="false"/>
                  <w:caps w:val="false"/>
                  <w:smallCaps w:val="false"/>
                  <w:sz w:val="22"/>
                </w:rPr>
                <w:t>English Translation of Investment Agreement of Ningbo Lotus Robotics Co., Ltd dated June 1, 2022 among Hangzhou Bay Capital, Ningbo Lotus Robotics Co., Ltd and others (incorporated by reference to Exhibit 10.18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4.20†</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6">
              <w:r>
                <w:rPr>
                  <w:rStyle w:val="InternetLink"/>
                  <w:rFonts w:ascii="Times New Roman;Times;serif" w:hAnsi="Times New Roman;Times;serif"/>
                  <w:b w:val="false"/>
                  <w:i w:val="false"/>
                  <w:caps w:val="false"/>
                  <w:smallCaps w:val="false"/>
                  <w:sz w:val="22"/>
                </w:rPr>
                <w:t>English Translation of Convertible Note Investment Agreement dated November 8, 2022 among Hangzhou Fuyang Development Zone Industrial Investment Co., Ltd., Ningbo Lotus Venture Capital Co., Ltd. (formerly known as Sanya Lotus Venture Capital Co., Ltd.) and Wuhan Lotus Technology Co., Ltd. (incorporated by reference to Exhibit 10.19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4.21</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7">
              <w:r>
                <w:rPr>
                  <w:rStyle w:val="InternetLink"/>
                  <w:rFonts w:ascii="Times New Roman;Times;serif" w:hAnsi="Times New Roman;Times;serif"/>
                  <w:b w:val="false"/>
                  <w:i w:val="false"/>
                  <w:caps w:val="false"/>
                  <w:smallCaps w:val="false"/>
                  <w:sz w:val="22"/>
                </w:rPr>
                <w:t>English Translation of Restructuring Agreement, dated June 30, 2023, among Wuhan Lotus Technology Limited Company Ltd., Wuhan Lotus E-commerce Co., Ltd. and its nominee shareholders, and Lotus Technology Inc. (incorporated by reference to Exhibit 10.26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4.22</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8">
              <w:r>
                <w:rPr>
                  <w:rStyle w:val="InternetLink"/>
                  <w:rFonts w:ascii="Times New Roman;Times;serif" w:hAnsi="Times New Roman;Times;serif"/>
                  <w:b w:val="false"/>
                  <w:i w:val="false"/>
                  <w:caps w:val="false"/>
                  <w:smallCaps w:val="false"/>
                  <w:sz w:val="22"/>
                </w:rPr>
                <w:t>English Translation of Termination Agreement dated June 30, 2023, among Wuhan Lotus Technology Limited Company Ltd. and Wuhan Lotus E-commerce Co., Ltd. and its nominee shareholders. (incorporated by reference to Exhibit 10.27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4.23</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39">
              <w:r>
                <w:rPr>
                  <w:rStyle w:val="InternetLink"/>
                  <w:rFonts w:ascii="Times New Roman;Times;serif" w:hAnsi="Times New Roman;Times;serif"/>
                  <w:b w:val="false"/>
                  <w:i w:val="false"/>
                  <w:caps w:val="false"/>
                  <w:smallCaps w:val="false"/>
                  <w:sz w:val="22"/>
                </w:rPr>
                <w:t>Form of Convertible Note Purchase Agreement (incorporated by reference to Exhibit 10.28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4.24</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40">
              <w:r>
                <w:rPr>
                  <w:rStyle w:val="InternetLink"/>
                  <w:rFonts w:ascii="Times New Roman;Times;serif" w:hAnsi="Times New Roman;Times;serif"/>
                  <w:b w:val="false"/>
                  <w:i w:val="false"/>
                  <w:caps w:val="false"/>
                  <w:smallCaps w:val="false"/>
                  <w:sz w:val="22"/>
                </w:rPr>
                <w:t>Form of Subscription Agreement (incorporated by reference to Exhibit 10.29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4.25</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41">
              <w:r>
                <w:rPr>
                  <w:rStyle w:val="InternetLink"/>
                  <w:rFonts w:ascii="Times New Roman;Times;serif" w:hAnsi="Times New Roman;Times;serif"/>
                  <w:b w:val="false"/>
                  <w:i w:val="false"/>
                  <w:caps w:val="false"/>
                  <w:smallCaps w:val="false"/>
                  <w:sz w:val="22"/>
                </w:rPr>
                <w:t>Form of Subscription Agreement (for PIPE Investments using a deposit structure) (incorporated by reference to Exhibit 10.30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4.26</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42">
              <w:r>
                <w:rPr>
                  <w:rStyle w:val="InternetLink"/>
                  <w:rFonts w:ascii="Times New Roman;Times;serif" w:hAnsi="Times New Roman;Times;serif"/>
                  <w:b w:val="false"/>
                  <w:i w:val="false"/>
                  <w:caps w:val="false"/>
                  <w:smallCaps w:val="false"/>
                  <w:sz w:val="22"/>
                </w:rPr>
                <w:t>Convertible Note Purchase Agreement dated April 28, 2023 by and between Lotus Technology Inc. and Momenta (incorporated by reference to Exhibit 10.31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4.27</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43">
              <w:r>
                <w:rPr>
                  <w:rStyle w:val="InternetLink"/>
                  <w:rFonts w:ascii="Times New Roman;Times;serif" w:hAnsi="Times New Roman;Times;serif"/>
                  <w:b w:val="false"/>
                  <w:i w:val="false"/>
                  <w:caps w:val="false"/>
                  <w:smallCaps w:val="false"/>
                  <w:sz w:val="22"/>
                </w:rPr>
                <w:t>Subscription Agreement dated April 27, 2023 by and between Lotus Technology Inc. and Jingkai Fund (incorporated by reference to Exhibit 10.32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4.28</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44">
              <w:r>
                <w:rPr>
                  <w:rStyle w:val="InternetLink"/>
                  <w:rFonts w:ascii="Times New Roman;Times;serif" w:hAnsi="Times New Roman;Times;serif"/>
                  <w:b w:val="false"/>
                  <w:i w:val="false"/>
                  <w:caps w:val="false"/>
                  <w:smallCaps w:val="false"/>
                  <w:sz w:val="22"/>
                </w:rPr>
                <w:t>Form of Shareholder Lock-Up Letter (incorporated by reference to Exhibit 10.33 to the Registration Statement on Form F-4 (File No. 333-275001) filed with the SEC on October 16, 2023)</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4.29†</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45">
              <w:r>
                <w:rPr>
                  <w:rStyle w:val="InternetLink"/>
                  <w:rFonts w:ascii="Times New Roman;Times;serif" w:hAnsi="Times New Roman;Times;serif"/>
                  <w:b w:val="false"/>
                  <w:i w:val="false"/>
                  <w:caps w:val="false"/>
                  <w:smallCaps w:val="false"/>
                  <w:sz w:val="22"/>
                </w:rPr>
                <w:t>Share Subscription Agreement in relation to the shares of Lotus Technology Inc. dated as of November 15, 2023 between Lotus Technology Inc. and Meritz Securities Co., Ltd. (incorporated by reference to Exhibit 10.35 to the Registration Statement on Amendment No. 2 to Form F-4 (File No. 333-275001) filed with the SEC on December 5, 2023)</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4.30</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46">
              <w:r>
                <w:rPr>
                  <w:rStyle w:val="InternetLink"/>
                  <w:rFonts w:ascii="Times New Roman;Times;serif" w:hAnsi="Times New Roman;Times;serif"/>
                  <w:b w:val="false"/>
                  <w:i w:val="false"/>
                  <w:caps w:val="false"/>
                  <w:smallCaps w:val="false"/>
                  <w:sz w:val="22"/>
                </w:rPr>
                <w:t>Amendment Agreement dated as of February 17, 2024 between Lotus Technology Inc. and Meritz Securities Co., Ltd.</w:t>
              </w:r>
            </w:hyperlink>
            <w:hyperlink r:id="rId47">
              <w:r>
                <w:rPr>
                  <w:rStyle w:val="InternetLink"/>
                  <w:rFonts w:ascii="Times New Roman;Times;serif" w:hAnsi="Times New Roman;Times;serif"/>
                  <w:caps w:val="false"/>
                  <w:smallCaps w:val="false"/>
                  <w:sz w:val="22"/>
                </w:rPr>
                <w:t xml:space="preserve"> </w:t>
              </w:r>
            </w:hyperlink>
            <w:hyperlink r:id="rId48">
              <w:r>
                <w:rPr>
                  <w:rStyle w:val="InternetLink"/>
                  <w:rFonts w:ascii="Times New Roman;Times;serif" w:hAnsi="Times New Roman;Times;serif"/>
                  <w:b w:val="false"/>
                  <w:i w:val="false"/>
                  <w:caps w:val="false"/>
                  <w:smallCaps w:val="false"/>
                  <w:sz w:val="22"/>
                </w:rPr>
                <w:t>(incorporated by reference to Exhibit 4.30 to the annual report on Form 20-F (File No. 001-41970) filed with the SEC on April 30, 2025)</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4.31</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49">
              <w:r>
                <w:rPr>
                  <w:rStyle w:val="InternetLink"/>
                  <w:rFonts w:ascii="Times New Roman;Times;serif" w:hAnsi="Times New Roman;Times;serif"/>
                  <w:b w:val="false"/>
                  <w:i w:val="false"/>
                  <w:caps w:val="false"/>
                  <w:smallCaps w:val="false"/>
                  <w:sz w:val="22"/>
                </w:rPr>
                <w:t>Supplemental Agreement dated as of September 30, 2024 between Lotus Technology Inc. and Meritz Securities Co., Ltd.</w:t>
              </w:r>
            </w:hyperlink>
            <w:hyperlink r:id="rId50">
              <w:r>
                <w:rPr>
                  <w:rStyle w:val="InternetLink"/>
                  <w:rFonts w:ascii="Times New Roman;Times;serif" w:hAnsi="Times New Roman;Times;serif"/>
                  <w:caps w:val="false"/>
                  <w:smallCaps w:val="false"/>
                  <w:sz w:val="22"/>
                </w:rPr>
                <w:t xml:space="preserve"> </w:t>
              </w:r>
            </w:hyperlink>
            <w:hyperlink r:id="rId51">
              <w:r>
                <w:rPr>
                  <w:rStyle w:val="InternetLink"/>
                  <w:rFonts w:ascii="Times New Roman;Times;serif" w:hAnsi="Times New Roman;Times;serif"/>
                  <w:b w:val="false"/>
                  <w:i w:val="false"/>
                  <w:caps w:val="false"/>
                  <w:smallCaps w:val="false"/>
                  <w:sz w:val="22"/>
                </w:rPr>
                <w:t>(incorporated by reference to Exhibit 4.31 to the annual report on Form 20-F (File No. 001-41970) filed with the SEC on April 30, 2025)</w:t>
              </w:r>
            </w:hyperlink>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706"/>
        <w:gridCol w:w="346"/>
        <w:gridCol w:w="9153"/>
      </w:tblGrid>
      <w:tr>
        <w:trPr/>
        <w:tc>
          <w:tcPr>
            <w:tcW w:w="706"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vAlign w:val="center"/>
          </w:tcPr>
          <w:p>
            <w:pPr>
              <w:pStyle w:val="TableHeading"/>
              <w:bidi w:val="0"/>
              <w:spacing w:lineRule="auto" w:line="285" w:before="0" w:after="0"/>
              <w:ind w:left="0" w:right="0" w:hanging="0"/>
              <w:jc w:val="left"/>
              <w:rPr/>
            </w:pPr>
            <w:r>
              <w:rPr/>
              <w:t>  ​ ​ ​</w:t>
            </w:r>
          </w:p>
        </w:tc>
        <w:tc>
          <w:tcPr>
            <w:tcW w:w="9153"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4.32</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52">
              <w:r>
                <w:rPr>
                  <w:rStyle w:val="InternetLink"/>
                  <w:rFonts w:ascii="Times New Roman;Times;serif" w:hAnsi="Times New Roman;Times;serif"/>
                  <w:b w:val="false"/>
                  <w:i w:val="false"/>
                  <w:caps w:val="false"/>
                  <w:smallCaps w:val="false"/>
                  <w:sz w:val="22"/>
                </w:rPr>
                <w:t>Share Buyback Agreement, dated November 29, 2024 by and between Lotus Technology Inc. and Meritz Securities Co., Ltd. (incorporated by reference to Exhibit 10.1 to the Current Report on Form 6 - K filed with the SEC on December 2,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4.33</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53">
              <w:r>
                <w:rPr>
                  <w:rStyle w:val="InternetLink"/>
                  <w:rFonts w:ascii="Times New Roman;Times;serif" w:hAnsi="Times New Roman;Times;serif"/>
                  <w:b w:val="false"/>
                  <w:i w:val="false"/>
                  <w:caps w:val="false"/>
                  <w:smallCaps w:val="false"/>
                  <w:sz w:val="22"/>
                </w:rPr>
                <w:t>Amended and Restated Share Buyback Agreement, dated March 28, 2025 by and between Lotus Technology Inc., Lotus EV Limited and Meritz Securities Co., Ltd. (incorporated by reference to Exhibit 10.1 to the Current Report on Form 6 - K filed with the SEC on March 28, 2025)</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4.34†</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54">
              <w:r>
                <w:rPr>
                  <w:rStyle w:val="InternetLink"/>
                  <w:rFonts w:ascii="Times New Roman;Times;serif" w:hAnsi="Times New Roman;Times;serif"/>
                  <w:b w:val="false"/>
                  <w:i w:val="false"/>
                  <w:caps w:val="false"/>
                  <w:smallCaps w:val="false"/>
                  <w:sz w:val="22"/>
                </w:rPr>
                <w:t>Convertible Note Purchase Agreement, dated June 24, 2024, by and between Lotus Technology Inc. and Geely International (Hong Kong) Limited (incorporated by reference to Exhibit 10.1 to the Current Report on Form 6 - K filed with the SEC on June 24,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4.35</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55">
              <w:r>
                <w:rPr>
                  <w:rStyle w:val="InternetLink"/>
                  <w:rFonts w:ascii="Times New Roman;Times;serif" w:hAnsi="Times New Roman;Times;serif"/>
                  <w:b w:val="false"/>
                  <w:i w:val="false"/>
                  <w:caps w:val="false"/>
                  <w:smallCaps w:val="false"/>
                  <w:sz w:val="22"/>
                </w:rPr>
                <w:t>Form of Senior Convertible Note (incorporated by reference to Exhibit 10.2 to the Current Report on Form 6 - K filed with the SEC on June 24, 2024)</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4.36†</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56">
              <w:r>
                <w:rPr>
                  <w:rStyle w:val="InternetLink"/>
                  <w:rFonts w:ascii="Times New Roman;Times;serif" w:hAnsi="Times New Roman;Times;serif"/>
                  <w:b w:val="false"/>
                  <w:i w:val="false"/>
                  <w:caps w:val="false"/>
                  <w:smallCaps w:val="false"/>
                  <w:sz w:val="22"/>
                </w:rPr>
                <w:t>Securities Purchase Agreement dated as of September 16, 2024 between Lotus Technology Inc. and Westwood Capital Group LLC (incorporated by reference to Exhibit 99.1 to the Current Report on Form 6 - K filed with the SEC on September 16, 2024)</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4.37†</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57">
              <w:r>
                <w:rPr>
                  <w:rStyle w:val="InternetLink"/>
                  <w:rFonts w:ascii="Times New Roman;Times;serif" w:hAnsi="Times New Roman;Times;serif"/>
                  <w:b w:val="false"/>
                  <w:i w:val="false"/>
                  <w:caps w:val="false"/>
                  <w:smallCaps w:val="false"/>
                  <w:sz w:val="22"/>
                </w:rPr>
                <w:t>Registration Rights Agreement dated as of September 16, 2024 between Lotus Technology Inc. and Westwood Capital Group LLC (incorporated by reference to Exhibit 99.2 to the Current Report on Form 6 - K filed with the SEC on September 16, 2024)</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4.38†</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58">
              <w:r>
                <w:rPr>
                  <w:rStyle w:val="InternetLink"/>
                  <w:rFonts w:ascii="Times New Roman;Times;serif" w:hAnsi="Times New Roman;Times;serif"/>
                  <w:b w:val="false"/>
                  <w:i w:val="false"/>
                  <w:caps w:val="false"/>
                  <w:smallCaps w:val="false"/>
                  <w:sz w:val="22"/>
                </w:rPr>
                <w:t>Share Sale and Transfer Agreement, dated September 27, 2024 by and between Lotus Technology Innovative Limited and Geely UK Limited (incorporated by reference to Exhibit 10.1 to the Current Report on Form 6 - K filed with the SEC on October 1,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4.39</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59">
              <w:r>
                <w:rPr>
                  <w:rStyle w:val="InternetLink"/>
                  <w:rFonts w:ascii="Times New Roman;Times;serif" w:hAnsi="Times New Roman;Times;serif"/>
                  <w:b w:val="false"/>
                  <w:i w:val="false"/>
                  <w:caps w:val="false"/>
                  <w:smallCaps w:val="false"/>
                  <w:sz w:val="22"/>
                </w:rPr>
                <w:t>Bond Subscription Agreement, dated November 7, 2024 by and between Lotus Technology Inc. and Kershaw Health Limited (incorporated by reference to Exhibit 10.1 to the Current Report on Form 6 - K filed with the SEC on November 8,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4.40</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0">
              <w:r>
                <w:rPr>
                  <w:rStyle w:val="InternetLink"/>
                  <w:rFonts w:ascii="Times New Roman;Times;serif" w:hAnsi="Times New Roman;Times;serif"/>
                  <w:b w:val="false"/>
                  <w:i w:val="false"/>
                  <w:caps w:val="false"/>
                  <w:smallCaps w:val="false"/>
                  <w:sz w:val="22"/>
                </w:rPr>
                <w:t>Form of Global Certificate (incorporated by reference to Exhibit 10.2 to the Current Report on Form 6 - K filed with the SEC on November 8, 2024)</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4.41</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1">
              <w:r>
                <w:rPr>
                  <w:rStyle w:val="InternetLink"/>
                  <w:rFonts w:ascii="Times New Roman;Times;serif" w:hAnsi="Times New Roman;Times;serif"/>
                  <w:b w:val="false"/>
                  <w:i w:val="false"/>
                  <w:caps w:val="false"/>
                  <w:smallCaps w:val="false"/>
                  <w:sz w:val="22"/>
                </w:rPr>
                <w:t>Convertible Note Purchase Agreement, dated February 28, 2025, by and between Lotus Technology Inc. and Geely International (Hong Kong) Limited (incorporated by reference to Exhibit 10.1 to the Current Report on Form 6 - K filed with the SEC on February 28, 2025)</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4.42</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2">
              <w:r>
                <w:rPr>
                  <w:rStyle w:val="InternetLink"/>
                  <w:rFonts w:ascii="Times New Roman;Times;serif" w:hAnsi="Times New Roman;Times;serif"/>
                  <w:b w:val="false"/>
                  <w:i w:val="false"/>
                  <w:caps w:val="false"/>
                  <w:smallCaps w:val="false"/>
                  <w:sz w:val="22"/>
                </w:rPr>
                <w:t>Form of Senior Convertible Note (incorporated by reference to Exhibit 10.2 to the Current Report on Form 6 - K filed with the SEC on February 28, 2025)</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4.43</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3">
              <w:r>
                <w:rPr>
                  <w:rStyle w:val="InternetLink"/>
                  <w:rFonts w:ascii="Times New Roman;Times;serif" w:hAnsi="Times New Roman;Times;serif"/>
                  <w:b w:val="false"/>
                  <w:i w:val="false"/>
                  <w:caps w:val="false"/>
                  <w:smallCaps w:val="false"/>
                  <w:sz w:val="22"/>
                </w:rPr>
                <w:t>Indenture, dated August 19, 2025, by and between Lotus Technology Inc. and U.S. Bank, National Association (incorporated by reference to Exhibit 4.1 to the Current Report on Form 6-K filed with the SEC on August 19, 2025)</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4.44</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4">
              <w:r>
                <w:rPr>
                  <w:rStyle w:val="InternetLink"/>
                  <w:rFonts w:ascii="Times New Roman;Times;serif" w:hAnsi="Times New Roman;Times;serif"/>
                  <w:b w:val="false"/>
                  <w:i w:val="false"/>
                  <w:caps w:val="false"/>
                  <w:smallCaps w:val="false"/>
                  <w:sz w:val="22"/>
                </w:rPr>
                <w:t>First Supplemental Indenture, dated August 19, 2025, by and between Lotus Technology Inc. and U.S. Bank, National Association (incorporated by reference to Exhibit 4.2 to the Current Report on Form 6-K filed with the SEC on August 19, 2025)</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4.45†</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5">
              <w:r>
                <w:rPr>
                  <w:rStyle w:val="InternetLink"/>
                  <w:rFonts w:ascii="Times New Roman;Times;serif" w:hAnsi="Times New Roman;Times;serif"/>
                  <w:b w:val="false"/>
                  <w:i w:val="false"/>
                  <w:caps w:val="false"/>
                  <w:smallCaps w:val="false"/>
                  <w:sz w:val="22"/>
                </w:rPr>
                <w:t>Equity Transfer Agreement, dated May 30, 2025, by and between Ningbo Lotus Venture Capital Co., Ltd. and Zhejiang Geely Powertrain Co., Ltd. (incorporated by reference to Exhibit 10.1 to the Current Report on Form 6-K filed with the SEC on May 30, 2025)</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4.46†</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6">
              <w:r>
                <w:rPr>
                  <w:rStyle w:val="InternetLink"/>
                  <w:rFonts w:ascii="Times New Roman;Times;serif" w:hAnsi="Times New Roman;Times;serif"/>
                  <w:b w:val="false"/>
                  <w:i w:val="false"/>
                  <w:caps w:val="false"/>
                  <w:smallCaps w:val="false"/>
                  <w:sz w:val="22"/>
                </w:rPr>
                <w:t>Convertible Note Purchase Agreement, dated June 20, 2025, by and between Lotus Technology Inc and Geely International (Hong Kong) Limited (incorporated by reference to Exhibit 10.1 to the Current Report on Form 6-K filed with the SEC on June 24, 2025)</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4.47†</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7">
              <w:r>
                <w:rPr>
                  <w:rStyle w:val="InternetLink"/>
                  <w:rFonts w:ascii="Times New Roman;Times;serif" w:hAnsi="Times New Roman;Times;serif"/>
                  <w:b w:val="false"/>
                  <w:i w:val="false"/>
                  <w:caps w:val="false"/>
                  <w:smallCaps w:val="false"/>
                  <w:sz w:val="22"/>
                </w:rPr>
                <w:t>Senior Convertible Note, dated June 20, 2025, by and between Lotus Technology Inc and Geely International (Hong Kong) Limited (incorporated by reference to Exhibit 10.2 to the Current Report on Form 6-K filed with the SEC on June 24, 2025)</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4.48</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8">
              <w:r>
                <w:rPr>
                  <w:rStyle w:val="InternetLink"/>
                  <w:rFonts w:ascii="Times New Roman;Times;serif" w:hAnsi="Times New Roman;Times;serif"/>
                  <w:b w:val="false"/>
                  <w:i w:val="false"/>
                  <w:caps w:val="false"/>
                  <w:smallCaps w:val="false"/>
                  <w:sz w:val="22"/>
                </w:rPr>
                <w:t>Master Credit Facility Framework Agreement, dated July 28, 2025, by and between Lotus Technology Inc and Zhejiang Geely Holding Group Company Limited (incorporated by reference to Exhibit 10.1 to the Current Report on Form 6-K filed with the SEC on July 29, 2025)</w:t>
              </w:r>
            </w:hyperlink>
          </w:p>
        </w:tc>
      </w:tr>
      <w:tr>
        <w:trPr/>
        <w:tc>
          <w:tcPr>
            <w:tcW w:w="706"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4.49</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r:id="rId69">
              <w:r>
                <w:rPr>
                  <w:rStyle w:val="InternetLink"/>
                  <w:rFonts w:ascii="Times New Roman;Times;serif" w:hAnsi="Times New Roman;Times;serif"/>
                  <w:b w:val="false"/>
                  <w:i w:val="false"/>
                  <w:caps w:val="false"/>
                  <w:smallCaps w:val="false"/>
                  <w:sz w:val="22"/>
                </w:rPr>
                <w:t>Loan Agreement, dated August 4, 2025, by and between Lotus Technology Innovative Limited and Lotus Cars Limited (incorporated by reference to Exhibit 10.1 to the Current Report on Form 6-K filed with the SEC on August 5, 2025)</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4.50</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w:anchor="lot-20251231xex4d50.htm">
              <w:r>
                <w:rPr>
                  <w:rStyle w:val="InternetLink"/>
                  <w:rFonts w:ascii="Times New Roman;Times;serif" w:hAnsi="Times New Roman;Times;serif"/>
                  <w:b w:val="false"/>
                  <w:i w:val="false"/>
                  <w:caps w:val="false"/>
                  <w:smallCaps w:val="false"/>
                  <w:sz w:val="22"/>
                </w:rPr>
                <w:t>Securities Purchase Agreement, dated August 19, 2025, by and between Lotus Technology Inc. and JAK Opportunities XXV LLC</w:t>
              </w:r>
            </w:hyperlink>
          </w:p>
        </w:tc>
      </w:tr>
      <w:tr>
        <w:trPr/>
        <w:tc>
          <w:tcPr>
            <w:tcW w:w="706"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4.51</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153" w:type="dxa"/>
            <w:tcBorders/>
            <w:tcMar>
              <w:bottom w:w="0" w:type="dxa"/>
            </w:tcMar>
            <w:vAlign w:val="center"/>
          </w:tcPr>
          <w:p>
            <w:pPr>
              <w:pStyle w:val="TableContents"/>
              <w:bidi w:val="0"/>
              <w:spacing w:lineRule="auto" w:line="285" w:before="0" w:after="0"/>
              <w:ind w:left="0" w:right="0" w:hanging="0"/>
              <w:jc w:val="both"/>
              <w:rPr/>
            </w:pPr>
            <w:hyperlink w:anchor="lot-20251231xex4d51.htm">
              <w:r>
                <w:rPr>
                  <w:rStyle w:val="InternetLink"/>
                  <w:rFonts w:ascii="Times New Roman;Times;serif" w:hAnsi="Times New Roman;Times;serif"/>
                  <w:b w:val="false"/>
                  <w:i w:val="false"/>
                  <w:caps w:val="false"/>
                  <w:smallCaps w:val="false"/>
                  <w:sz w:val="22"/>
                </w:rPr>
                <w:t>Series A-1 Convertible Note issued by Lotus Technology Inc. to JAK Opportunities XXV LLC on August 19, 2025</w:t>
              </w:r>
            </w:hyperlink>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788"/>
        <w:gridCol w:w="346"/>
        <w:gridCol w:w="9071"/>
      </w:tblGrid>
      <w:tr>
        <w:trPr/>
        <w:tc>
          <w:tcPr>
            <w:tcW w:w="788"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vAlign w:val="center"/>
          </w:tcPr>
          <w:p>
            <w:pPr>
              <w:pStyle w:val="TableHeading"/>
              <w:bidi w:val="0"/>
              <w:spacing w:lineRule="auto" w:line="285" w:before="0" w:after="0"/>
              <w:ind w:left="0" w:right="0" w:hanging="0"/>
              <w:jc w:val="left"/>
              <w:rPr/>
            </w:pPr>
            <w:r>
              <w:rPr/>
              <w:t>  ​ ​ ​</w:t>
            </w:r>
          </w:p>
        </w:tc>
        <w:tc>
          <w:tcPr>
            <w:tcW w:w="9071" w:type="dxa"/>
            <w:tcBorders>
              <w:bottom w:val="single" w:sz="2" w:space="0" w:color="000000"/>
            </w:tcBorders>
            <w:vAlign w:val="center"/>
          </w:tcPr>
          <w:p>
            <w:pPr>
              <w:pStyle w:val="TableHeading"/>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4.52†</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r:id="rId70">
              <w:r>
                <w:rPr>
                  <w:rStyle w:val="InternetLink"/>
                  <w:rFonts w:ascii="Times New Roman;Times;serif" w:hAnsi="Times New Roman;Times;serif"/>
                  <w:b w:val="false"/>
                  <w:i w:val="false"/>
                  <w:caps w:val="false"/>
                  <w:smallCaps w:val="false"/>
                  <w:sz w:val="22"/>
                </w:rPr>
                <w:t>Share Buyback Agreement, dated August 27, 2025, by and between Lotus Technology Inc. and Meritz Securities Co., Ltd. (incorporated by reference to Exhibit 10.1 to the Current Report on Form 6-K filed with the SEC on August 29, 2025)</w:t>
              </w:r>
            </w:hyperlink>
          </w:p>
        </w:tc>
      </w:tr>
      <w:tr>
        <w:trPr/>
        <w:tc>
          <w:tcPr>
            <w:tcW w:w="788"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4.53</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r:id="rId71">
              <w:r>
                <w:rPr>
                  <w:rStyle w:val="InternetLink"/>
                  <w:rFonts w:ascii="Times New Roman;Times;serif" w:hAnsi="Times New Roman;Times;serif"/>
                  <w:b w:val="false"/>
                  <w:i w:val="false"/>
                  <w:caps w:val="false"/>
                  <w:smallCaps w:val="false"/>
                  <w:sz w:val="22"/>
                </w:rPr>
                <w:t>Subscription Agreement, dated December 23, 2025, by and between Lotus Technology Inc. and ECARX Holdings Inc. (incorporated by reference to Exhibit 99.2 to the Current Report on Form 6-K filed with the SEC on December 29, 2025)</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8.1</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8d1.htm">
              <w:r>
                <w:rPr>
                  <w:rStyle w:val="InternetLink"/>
                  <w:rFonts w:ascii="Times New Roman;Times;serif" w:hAnsi="Times New Roman;Times;serif"/>
                  <w:b w:val="false"/>
                  <w:i w:val="false"/>
                  <w:caps w:val="false"/>
                  <w:smallCaps w:val="false"/>
                  <w:sz w:val="22"/>
                </w:rPr>
                <w:t>List of subsidiaries of Lotus Technology Inc.</w:t>
              </w:r>
            </w:hyperlink>
          </w:p>
        </w:tc>
      </w:tr>
      <w:tr>
        <w:trPr/>
        <w:tc>
          <w:tcPr>
            <w:tcW w:w="788"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11.1</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r:id="rId72">
              <w:r>
                <w:rPr>
                  <w:rStyle w:val="InternetLink"/>
                  <w:rFonts w:ascii="Times New Roman;Times;serif" w:hAnsi="Times New Roman;Times;serif"/>
                  <w:b w:val="false"/>
                  <w:i w:val="false"/>
                  <w:caps w:val="false"/>
                  <w:smallCaps w:val="false"/>
                  <w:sz w:val="22"/>
                </w:rPr>
                <w:t>Code of Business Conduct and Ethics of the Registrant</w:t>
              </w:r>
            </w:hyperlink>
          </w:p>
        </w:tc>
      </w:tr>
      <w:tr>
        <w:trPr/>
        <w:tc>
          <w:tcPr>
            <w:tcW w:w="788"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11.2</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r:id="rId73">
              <w:r>
                <w:rPr>
                  <w:rStyle w:val="InternetLink"/>
                  <w:rFonts w:ascii="Times New Roman;Times;serif" w:hAnsi="Times New Roman;Times;serif"/>
                  <w:b w:val="false"/>
                  <w:i w:val="false"/>
                  <w:caps w:val="false"/>
                  <w:smallCaps w:val="false"/>
                  <w:sz w:val="20"/>
                </w:rPr>
                <w:t>Statement of Policies Governing Material, Non - Public Information and the Prevention of Insider Trading of the Registrant</w:t>
              </w:r>
            </w:hyperlink>
            <w:hyperlink r:id="rId74">
              <w:r>
                <w:rPr>
                  <w:rStyle w:val="InternetLink"/>
                  <w:rFonts w:ascii="Times New Roman;Times;serif" w:hAnsi="Times New Roman;Times;serif"/>
                  <w:caps w:val="false"/>
                  <w:smallCaps w:val="false"/>
                  <w:sz w:val="20"/>
                </w:rPr>
                <w:t xml:space="preserve"> </w:t>
              </w:r>
            </w:hyperlink>
            <w:hyperlink r:id="rId75">
              <w:r>
                <w:rPr>
                  <w:rStyle w:val="InternetLink"/>
                  <w:rFonts w:ascii="Times New Roman;Times;serif" w:hAnsi="Times New Roman;Times;serif"/>
                  <w:b w:val="false"/>
                  <w:i w:val="false"/>
                  <w:caps w:val="false"/>
                  <w:smallCaps w:val="false"/>
                  <w:sz w:val="20"/>
                </w:rPr>
                <w:t>(incorporated by reference to Exhibit 11.2 to the annual report on Form 20-F (File No. 001-41970) filed with the SEC on April 30, 2025)</w:t>
              </w:r>
            </w:hyperlink>
            <w:r>
              <w:rPr>
                <w:rFonts w:ascii="Times New Roman;Times;serif" w:hAnsi="Times New Roman;Times;serif"/>
                <w:sz w:val="20"/>
              </w:rPr>
              <w:t xml:space="preserve"> </w:t>
            </w:r>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12.1</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12d1.htm">
              <w:r>
                <w:rPr>
                  <w:rStyle w:val="InternetLink"/>
                  <w:rFonts w:ascii="Times New Roman;Times;serif" w:hAnsi="Times New Roman;Times;serif"/>
                  <w:b w:val="false"/>
                  <w:i w:val="false"/>
                  <w:caps w:val="false"/>
                  <w:smallCaps w:val="false"/>
                  <w:sz w:val="22"/>
                </w:rPr>
                <w:t>CEO Certification Pursuant to Section 302 of the Sarbanes-Oxley Act of 2002</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12.2</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12d2.htm">
              <w:r>
                <w:rPr>
                  <w:rStyle w:val="InternetLink"/>
                  <w:rFonts w:ascii="Times New Roman;Times;serif" w:hAnsi="Times New Roman;Times;serif"/>
                  <w:b w:val="false"/>
                  <w:i w:val="false"/>
                  <w:caps w:val="false"/>
                  <w:smallCaps w:val="false"/>
                  <w:sz w:val="22"/>
                </w:rPr>
                <w:t>CFO Certification Pursuant to Section 302 of the Sarbanes-Oxley Act of 2002</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13.1</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13d1.htm">
              <w:r>
                <w:rPr>
                  <w:rStyle w:val="InternetLink"/>
                  <w:rFonts w:ascii="Times New Roman;Times;serif" w:hAnsi="Times New Roman;Times;serif"/>
                  <w:b w:val="false"/>
                  <w:i w:val="false"/>
                  <w:caps w:val="false"/>
                  <w:smallCaps w:val="false"/>
                  <w:sz w:val="22"/>
                </w:rPr>
                <w:t>CEO Certification Pursuant to Section 906 of the Sarbanes-Oxley Act of 2002</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13.2</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13d2.htm">
              <w:r>
                <w:rPr>
                  <w:rStyle w:val="InternetLink"/>
                  <w:rFonts w:ascii="Times New Roman;Times;serif" w:hAnsi="Times New Roman;Times;serif"/>
                  <w:b w:val="false"/>
                  <w:i w:val="false"/>
                  <w:caps w:val="false"/>
                  <w:smallCaps w:val="false"/>
                  <w:sz w:val="22"/>
                </w:rPr>
                <w:t>CFO Certification Pursuant to Section 906 of the Sarbanes-Oxley Act of 2002</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15.1</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15d1.htm">
              <w:r>
                <w:rPr>
                  <w:rStyle w:val="InternetLink"/>
                  <w:rFonts w:ascii="Times New Roman;Times;serif" w:hAnsi="Times New Roman;Times;serif"/>
                  <w:b w:val="false"/>
                  <w:i w:val="false"/>
                  <w:caps w:val="false"/>
                  <w:smallCaps w:val="false"/>
                  <w:sz w:val="22"/>
                </w:rPr>
                <w:t>Consent of Maples and Calder (Hong Kong) LLP</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15.2</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15d2.htm">
              <w:r>
                <w:rPr>
                  <w:rStyle w:val="InternetLink"/>
                  <w:rFonts w:ascii="Times New Roman;Times;serif" w:hAnsi="Times New Roman;Times;serif"/>
                  <w:b w:val="false"/>
                  <w:i w:val="false"/>
                  <w:caps w:val="false"/>
                  <w:smallCaps w:val="false"/>
                  <w:sz w:val="22"/>
                </w:rPr>
                <w:t>Consent of Han Kun Law Offices</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15.3</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15d3.htm">
              <w:r>
                <w:rPr>
                  <w:rStyle w:val="InternetLink"/>
                  <w:rFonts w:ascii="Times New Roman;Times;serif" w:hAnsi="Times New Roman;Times;serif"/>
                  <w:b w:val="false"/>
                  <w:i w:val="false"/>
                  <w:caps w:val="false"/>
                  <w:smallCaps w:val="false"/>
                  <w:sz w:val="22"/>
                </w:rPr>
                <w:t>Consent of Grant Thornton Zhitong Certified Public Accountants LLP</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15.4</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15d4.htm">
              <w:r>
                <w:rPr>
                  <w:rStyle w:val="InternetLink"/>
                  <w:rFonts w:ascii="Times New Roman;Times;serif" w:hAnsi="Times New Roman;Times;serif"/>
                  <w:b w:val="false"/>
                  <w:i w:val="false"/>
                  <w:caps w:val="false"/>
                  <w:smallCaps w:val="false"/>
                  <w:sz w:val="22"/>
                </w:rPr>
                <w:t>Consent of KPMG Huazhen LLP</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16.1</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w:anchor="lot-20251231xex16d1.htm">
              <w:r>
                <w:rPr>
                  <w:rStyle w:val="InternetLink"/>
                  <w:rFonts w:ascii="Times New Roman;Times;serif" w:hAnsi="Times New Roman;Times;serif"/>
                  <w:b w:val="false"/>
                  <w:i w:val="false"/>
                  <w:caps w:val="false"/>
                  <w:smallCaps w:val="false"/>
                  <w:sz w:val="22"/>
                </w:rPr>
                <w:t>Letter from KPMG Huazhen LLP</w:t>
              </w:r>
            </w:hyperlink>
          </w:p>
        </w:tc>
      </w:tr>
      <w:tr>
        <w:trPr/>
        <w:tc>
          <w:tcPr>
            <w:tcW w:w="788"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pPr>
            <w:hyperlink r:id="rId76">
              <w:r>
                <w:rPr>
                  <w:rStyle w:val="InternetLink"/>
                  <w:rFonts w:ascii="Times New Roman;Times;serif" w:hAnsi="Times New Roman;Times;serif"/>
                  <w:b w:val="false"/>
                  <w:i w:val="false"/>
                  <w:caps w:val="false"/>
                  <w:smallCaps w:val="false"/>
                  <w:sz w:val="22"/>
                </w:rPr>
                <w:t>Clawback Policy of the Company</w:t>
              </w:r>
            </w:hyperlink>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101.INS</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 this instance document does not appear on the Interactive Data File because its XBRL tags are not embedded within the Inline XBRL document</w:t>
            </w:r>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101.SCH</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Scheme Document</w:t>
            </w:r>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101.CAL</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101.DEF</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101.LAB</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8" w:type="dxa"/>
            <w:tcBorders/>
            <w:tcMar>
              <w:bottom w:w="0" w:type="dxa"/>
            </w:tcMar>
            <w:vAlign w:val="center"/>
          </w:tcPr>
          <w:p>
            <w:pPr>
              <w:pStyle w:val="TableContents"/>
              <w:pBdr/>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101.PRE</w:t>
            </w:r>
            <w:r>
              <w:rPr>
                <w:rFonts w:ascii="Times New Roman;Times;serif" w:hAnsi="Times New Roman;Times;serif"/>
                <w:sz w:val="15"/>
              </w:rPr>
              <w:t>*</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8" w:type="dxa"/>
            <w:tcBorders/>
            <w:tcMar>
              <w:bottom w:w="0" w:type="dxa"/>
            </w:tcMar>
            <w:vAlign w:val="center"/>
          </w:tcPr>
          <w:p>
            <w:pPr>
              <w:pStyle w:val="TableContents"/>
              <w:pBd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lineRule="auto" w:line="307" w:before="0" w:after="160"/>
              <w:ind w:left="0" w:right="0" w:hanging="0"/>
              <w:jc w:val="left"/>
              <w:rPr/>
            </w:pPr>
            <w:r>
              <w:rPr/>
              <w:t>​</w:t>
            </w:r>
          </w:p>
        </w:tc>
        <w:tc>
          <w:tcPr>
            <w:tcW w:w="9071" w:type="dxa"/>
            <w:tcBorders/>
            <w:tcMar>
              <w:bottom w:w="0"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2717" w:type="dxa"/>
        <w:jc w:val="left"/>
        <w:tblInd w:w="0" w:type="dxa"/>
        <w:tblLayout w:type="fixed"/>
        <w:tblCellMar>
          <w:top w:w="0" w:type="dxa"/>
          <w:left w:w="0" w:type="dxa"/>
          <w:bottom w:w="0" w:type="dxa"/>
          <w:right w:w="0" w:type="dxa"/>
        </w:tblCellMar>
      </w:tblPr>
      <w:tblGrid>
        <w:gridCol w:w="226"/>
        <w:gridCol w:w="2491"/>
      </w:tblGrid>
      <w:tr>
        <w:trPr/>
        <w:tc>
          <w:tcPr>
            <w:tcW w:w="226"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w:t>
            </w:r>
          </w:p>
        </w:tc>
        <w:tc>
          <w:tcPr>
            <w:tcW w:w="249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Filed with this annual report.</w:t>
            </w:r>
          </w:p>
        </w:tc>
      </w:tr>
    </w:tbl>
    <w:tbl>
      <w:tblPr>
        <w:tblW w:w="3212" w:type="dxa"/>
        <w:jc w:val="left"/>
        <w:tblInd w:w="0" w:type="dxa"/>
        <w:tblLayout w:type="fixed"/>
        <w:tblCellMar>
          <w:top w:w="0" w:type="dxa"/>
          <w:left w:w="0" w:type="dxa"/>
          <w:bottom w:w="0" w:type="dxa"/>
          <w:right w:w="0" w:type="dxa"/>
        </w:tblCellMar>
      </w:tblPr>
      <w:tblGrid>
        <w:gridCol w:w="331"/>
        <w:gridCol w:w="2881"/>
      </w:tblGrid>
      <w:tr>
        <w:trPr/>
        <w:tc>
          <w:tcPr>
            <w:tcW w:w="33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w:t>
            </w:r>
          </w:p>
        </w:tc>
        <w:tc>
          <w:tcPr>
            <w:tcW w:w="288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Furnished with this annual report.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Schedules and certain portions of the exhibits omitted pursuant to Item 601(a)(5) of Regulation S-K. The Company agrees to furnish supplementally a copy of such schedules, or any section thereof, to the SEC upon request.</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lineRule="auto" w:line="285" w:before="0" w:after="240"/>
              <w:jc w:val="both"/>
              <w:rPr/>
            </w:pPr>
            <w:r>
              <w:rPr/>
              <w:t>†</w:t>
            </w:r>
          </w:p>
        </w:tc>
        <w:tc>
          <w:tcPr>
            <w:tcW w:w="9964"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Certain portions of this exhibit have been redacted pursuant to Item 601(b)(10)(iv) of Regulation S-K. The Company agrees to furnish supplementally an unredacted copy of the exhibit to the SEC upon its request.</w:t>
            </w:r>
          </w:p>
        </w:tc>
      </w:tr>
    </w:tbl>
    <w:tbl>
      <w:tblPr>
        <w:tblW w:w="5012" w:type="dxa"/>
        <w:jc w:val="left"/>
        <w:tblInd w:w="0" w:type="dxa"/>
        <w:tblLayout w:type="fixed"/>
        <w:tblCellMar>
          <w:top w:w="0" w:type="dxa"/>
          <w:left w:w="0" w:type="dxa"/>
          <w:bottom w:w="0" w:type="dxa"/>
          <w:right w:w="0" w:type="dxa"/>
        </w:tblCellMar>
      </w:tblPr>
      <w:tblGrid>
        <w:gridCol w:w="361"/>
        <w:gridCol w:w="4651"/>
      </w:tblGrid>
      <w:tr>
        <w:trPr/>
        <w:tc>
          <w:tcPr>
            <w:tcW w:w="361" w:type="dxa"/>
            <w:tcBorders/>
            <w:vAlign w:val="center"/>
          </w:tcPr>
          <w:p>
            <w:pPr>
              <w:pStyle w:val="TableContents"/>
              <w:bidi w:val="0"/>
              <w:spacing w:lineRule="auto" w:line="285" w:before="0" w:after="240"/>
              <w:jc w:val="both"/>
              <w:rPr/>
            </w:pPr>
            <w:r>
              <w:rPr/>
              <w:t>††</w:t>
            </w:r>
          </w:p>
        </w:tc>
        <w:tc>
          <w:tcPr>
            <w:tcW w:w="4651"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Indicates a management contract or compensatory plan.</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100" w:name="SIGNATURES_895504"/>
      <w:bookmarkStart w:id="101" w:name="_0bf7a424_5be0_441b_bdf1_0a4feea5af95"/>
      <w:bookmarkEnd w:id="100"/>
      <w:bookmarkEnd w:id="101"/>
      <w:r>
        <w:rPr>
          <w:rFonts w:ascii="Times New Roman;Times;serif" w:hAnsi="Times New Roman;Times;serif"/>
          <w:b/>
          <w:sz w:val="20"/>
        </w:rPr>
        <w:t>SIGNATURES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its annual report on Form 20-F and that it has duly caused and authorized the undersigned to sign this annual report on its behalf.</w:t>
      </w:r>
    </w:p>
    <w:tbl>
      <w:tblPr>
        <w:tblW w:w="5240" w:type="dxa"/>
        <w:jc w:val="left"/>
        <w:tblInd w:w="0" w:type="dxa"/>
        <w:tblLayout w:type="fixed"/>
        <w:tblCellMar>
          <w:top w:w="0" w:type="dxa"/>
          <w:left w:w="0" w:type="dxa"/>
          <w:bottom w:w="0" w:type="dxa"/>
          <w:right w:w="0" w:type="dxa"/>
        </w:tblCellMar>
      </w:tblPr>
      <w:tblGrid>
        <w:gridCol w:w="1786"/>
        <w:gridCol w:w="346"/>
        <w:gridCol w:w="406"/>
        <w:gridCol w:w="631"/>
        <w:gridCol w:w="2071"/>
      </w:tblGrid>
      <w:tr>
        <w:trPr/>
        <w:tc>
          <w:tcPr>
            <w:tcW w:w="1786" w:type="dxa"/>
            <w:tcBorders/>
            <w:vAlign w:val="center"/>
          </w:tcPr>
          <w:p>
            <w:pPr>
              <w:pStyle w:val="TableContents"/>
              <w:bidi w:val="0"/>
              <w:spacing w:lineRule="auto" w:line="307" w:before="0" w:after="160"/>
              <w:ind w:left="0" w:right="0" w:hanging="0"/>
              <w:jc w:val="both"/>
              <w:rPr/>
            </w:pPr>
            <w:r>
              <w:rPr/>
              <w:t>​</w:t>
            </w:r>
          </w:p>
        </w:tc>
        <w:tc>
          <w:tcPr>
            <w:tcW w:w="346" w:type="dxa"/>
            <w:tcBorders/>
            <w:vAlign w:val="center"/>
          </w:tcPr>
          <w:p>
            <w:pPr>
              <w:pStyle w:val="TableContents"/>
              <w:bidi w:val="0"/>
              <w:spacing w:lineRule="auto" w:line="285" w:before="0" w:after="0"/>
              <w:ind w:left="0" w:right="0" w:hanging="0"/>
              <w:jc w:val="both"/>
              <w:rPr/>
            </w:pPr>
            <w:r>
              <w:rPr/>
              <w:t>  ​ ​ ​</w:t>
            </w:r>
          </w:p>
        </w:tc>
        <w:tc>
          <w:tcPr>
            <w:tcW w:w="3108" w:type="dxa"/>
            <w:gridSpan w:val="3"/>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Lotus Technology Inc.</w:t>
            </w:r>
          </w:p>
        </w:tc>
      </w:tr>
      <w:tr>
        <w:trPr/>
        <w:tc>
          <w:tcPr>
            <w:tcW w:w="1786" w:type="dxa"/>
            <w:tcBorders/>
            <w:vAlign w:val="center"/>
          </w:tcPr>
          <w:p>
            <w:pPr>
              <w:pStyle w:val="TableContents"/>
              <w:bidi w:val="0"/>
              <w:spacing w:lineRule="auto" w:line="307" w:before="0" w:after="160"/>
              <w:ind w:left="0" w:right="0" w:hanging="0"/>
              <w:jc w:val="both"/>
              <w:rPr/>
            </w:pPr>
            <w:r>
              <w:rPr/>
              <w:t>​</w:t>
            </w:r>
          </w:p>
        </w:tc>
        <w:tc>
          <w:tcPr>
            <w:tcW w:w="346" w:type="dxa"/>
            <w:tcBorders/>
            <w:vAlign w:val="center"/>
          </w:tcPr>
          <w:p>
            <w:pPr>
              <w:pStyle w:val="TableContents"/>
              <w:bidi w:val="0"/>
              <w:spacing w:lineRule="auto" w:line="307" w:before="0" w:after="160"/>
              <w:ind w:left="0" w:right="0" w:hanging="0"/>
              <w:jc w:val="both"/>
              <w:rPr/>
            </w:pPr>
            <w:r>
              <w:rPr/>
              <w:t>​</w:t>
            </w:r>
          </w:p>
        </w:tc>
        <w:tc>
          <w:tcPr>
            <w:tcW w:w="406" w:type="dxa"/>
            <w:tcBorders/>
            <w:vAlign w:val="center"/>
          </w:tcPr>
          <w:p>
            <w:pPr>
              <w:pStyle w:val="TableContents"/>
              <w:bidi w:val="0"/>
              <w:spacing w:lineRule="auto" w:line="307" w:before="0" w:after="160"/>
              <w:ind w:left="0" w:right="0" w:hanging="0"/>
              <w:jc w:val="both"/>
              <w:rPr/>
            </w:pPr>
            <w:r>
              <w:rPr/>
              <w:t>​</w:t>
            </w:r>
          </w:p>
        </w:tc>
        <w:tc>
          <w:tcPr>
            <w:tcW w:w="2702" w:type="dxa"/>
            <w:gridSpan w:val="2"/>
            <w:tcBorders/>
            <w:vAlign w:val="center"/>
          </w:tcPr>
          <w:p>
            <w:pPr>
              <w:pStyle w:val="TableContents"/>
              <w:bidi w:val="0"/>
              <w:spacing w:lineRule="auto" w:line="307" w:before="0" w:after="160"/>
              <w:ind w:left="0" w:right="0" w:hanging="0"/>
              <w:jc w:val="both"/>
              <w:rPr/>
            </w:pPr>
            <w:r>
              <w:rPr/>
              <w:t>​</w:t>
            </w:r>
          </w:p>
        </w:tc>
      </w:tr>
      <w:tr>
        <w:trPr/>
        <w:tc>
          <w:tcPr>
            <w:tcW w:w="1786" w:type="dxa"/>
            <w:tcBorders/>
            <w:vAlign w:val="center"/>
          </w:tcPr>
          <w:p>
            <w:pPr>
              <w:pStyle w:val="TableContents"/>
              <w:bidi w:val="0"/>
              <w:spacing w:lineRule="auto" w:line="307" w:before="0" w:after="160"/>
              <w:ind w:left="0" w:right="0" w:hanging="0"/>
              <w:jc w:val="both"/>
              <w:rPr/>
            </w:pPr>
            <w:r>
              <w:rPr/>
              <w:t>​</w:t>
            </w:r>
          </w:p>
        </w:tc>
        <w:tc>
          <w:tcPr>
            <w:tcW w:w="346" w:type="dxa"/>
            <w:tcBorders/>
            <w:vAlign w:val="center"/>
          </w:tcPr>
          <w:p>
            <w:pPr>
              <w:pStyle w:val="TableContents"/>
              <w:bidi w:val="0"/>
              <w:spacing w:lineRule="auto" w:line="307" w:before="0" w:after="160"/>
              <w:ind w:left="0" w:right="0" w:hanging="0"/>
              <w:jc w:val="both"/>
              <w:rPr/>
            </w:pPr>
            <w:r>
              <w:rPr/>
              <w:t>​</w:t>
            </w:r>
          </w:p>
        </w:tc>
        <w:tc>
          <w:tcPr>
            <w:tcW w:w="40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7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Qingfeng Feng</w:t>
            </w:r>
          </w:p>
        </w:tc>
      </w:tr>
      <w:tr>
        <w:trPr/>
        <w:tc>
          <w:tcPr>
            <w:tcW w:w="1786" w:type="dxa"/>
            <w:tcBorders/>
            <w:vAlign w:val="center"/>
          </w:tcPr>
          <w:p>
            <w:pPr>
              <w:pStyle w:val="TableContents"/>
              <w:bidi w:val="0"/>
              <w:spacing w:lineRule="auto" w:line="307" w:before="0" w:after="160"/>
              <w:ind w:left="0" w:right="0" w:hanging="0"/>
              <w:jc w:val="both"/>
              <w:rPr/>
            </w:pPr>
            <w:r>
              <w:rPr/>
              <w:t>​</w:t>
            </w:r>
          </w:p>
        </w:tc>
        <w:tc>
          <w:tcPr>
            <w:tcW w:w="346" w:type="dxa"/>
            <w:tcBorders/>
            <w:vAlign w:val="center"/>
          </w:tcPr>
          <w:p>
            <w:pPr>
              <w:pStyle w:val="TableContents"/>
              <w:bidi w:val="0"/>
              <w:spacing w:lineRule="auto" w:line="307" w:before="0" w:after="160"/>
              <w:ind w:left="0" w:right="0" w:hanging="0"/>
              <w:jc w:val="both"/>
              <w:rPr/>
            </w:pPr>
            <w:r>
              <w:rPr/>
              <w:t>​</w:t>
            </w:r>
          </w:p>
        </w:tc>
        <w:tc>
          <w:tcPr>
            <w:tcW w:w="406" w:type="dxa"/>
            <w:tcBorders/>
            <w:vAlign w:val="center"/>
          </w:tcPr>
          <w:p>
            <w:pPr>
              <w:pStyle w:val="TableContents"/>
              <w:bidi w:val="0"/>
              <w:spacing w:lineRule="auto" w:line="307" w:before="0" w:after="160"/>
              <w:ind w:left="0" w:right="0" w:hanging="0"/>
              <w:jc w:val="both"/>
              <w:rPr/>
            </w:pPr>
            <w:r>
              <w:rPr/>
              <w:t>​</w:t>
            </w:r>
          </w:p>
        </w:tc>
        <w:tc>
          <w:tcPr>
            <w:tcW w:w="631"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Qingfeng Feng</w:t>
            </w:r>
          </w:p>
        </w:tc>
      </w:tr>
      <w:tr>
        <w:trPr/>
        <w:tc>
          <w:tcPr>
            <w:tcW w:w="1786" w:type="dxa"/>
            <w:tcBorders/>
            <w:vAlign w:val="center"/>
          </w:tcPr>
          <w:p>
            <w:pPr>
              <w:pStyle w:val="TableContents"/>
              <w:bidi w:val="0"/>
              <w:spacing w:lineRule="auto" w:line="307" w:before="0" w:after="160"/>
              <w:ind w:left="0" w:right="0" w:hanging="0"/>
              <w:jc w:val="both"/>
              <w:rPr/>
            </w:pPr>
            <w:r>
              <w:rPr/>
              <w:t>​</w:t>
            </w:r>
          </w:p>
        </w:tc>
        <w:tc>
          <w:tcPr>
            <w:tcW w:w="346" w:type="dxa"/>
            <w:tcBorders/>
            <w:vAlign w:val="center"/>
          </w:tcPr>
          <w:p>
            <w:pPr>
              <w:pStyle w:val="TableContents"/>
              <w:bidi w:val="0"/>
              <w:spacing w:lineRule="auto" w:line="307" w:before="0" w:after="160"/>
              <w:ind w:left="0" w:right="0" w:hanging="0"/>
              <w:jc w:val="both"/>
              <w:rPr/>
            </w:pPr>
            <w:r>
              <w:rPr/>
              <w:t>​</w:t>
            </w:r>
          </w:p>
        </w:tc>
        <w:tc>
          <w:tcPr>
            <w:tcW w:w="406" w:type="dxa"/>
            <w:tcBorders/>
            <w:vAlign w:val="center"/>
          </w:tcPr>
          <w:p>
            <w:pPr>
              <w:pStyle w:val="TableContents"/>
              <w:bidi w:val="0"/>
              <w:spacing w:lineRule="auto" w:line="307" w:before="0" w:after="160"/>
              <w:ind w:left="0" w:right="0" w:hanging="0"/>
              <w:jc w:val="both"/>
              <w:rPr/>
            </w:pPr>
            <w:r>
              <w:rPr/>
              <w:t>​</w:t>
            </w:r>
          </w:p>
        </w:tc>
        <w:tc>
          <w:tcPr>
            <w:tcW w:w="63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April 28, 2026</w:t>
            </w:r>
          </w:p>
        </w:tc>
        <w:tc>
          <w:tcPr>
            <w:tcW w:w="346" w:type="dxa"/>
            <w:tcBorders/>
            <w:vAlign w:val="center"/>
          </w:tcPr>
          <w:p>
            <w:pPr>
              <w:pStyle w:val="TableContents"/>
              <w:bidi w:val="0"/>
              <w:spacing w:lineRule="auto" w:line="307" w:before="0" w:after="160"/>
              <w:ind w:left="0" w:right="0" w:hanging="0"/>
              <w:jc w:val="both"/>
              <w:rPr/>
            </w:pPr>
            <w:r>
              <w:rPr/>
              <w:t>​</w:t>
            </w:r>
          </w:p>
        </w:tc>
        <w:tc>
          <w:tcPr>
            <w:tcW w:w="406" w:type="dxa"/>
            <w:tcBorders/>
            <w:vAlign w:val="center"/>
          </w:tcPr>
          <w:p>
            <w:pPr>
              <w:pStyle w:val="TableContents"/>
              <w:bidi w:val="0"/>
              <w:spacing w:lineRule="auto" w:line="307" w:before="0" w:after="160"/>
              <w:ind w:left="0" w:right="0" w:hanging="0"/>
              <w:jc w:val="both"/>
              <w:rPr/>
            </w:pPr>
            <w:r>
              <w:rPr/>
              <w:t>​</w:t>
            </w:r>
          </w:p>
        </w:tc>
        <w:tc>
          <w:tcPr>
            <w:tcW w:w="631" w:type="dxa"/>
            <w:tcBorders/>
            <w:vAlign w:val="center"/>
          </w:tcPr>
          <w:p>
            <w:pPr>
              <w:pStyle w:val="TableContents"/>
              <w:bidi w:val="0"/>
              <w:spacing w:lineRule="auto" w:line="307" w:before="0" w:after="160"/>
              <w:ind w:left="0" w:right="0" w:hanging="0"/>
              <w:jc w:val="both"/>
              <w:rPr/>
            </w:pPr>
            <w:r>
              <w:rPr/>
              <w:t>​</w:t>
            </w:r>
          </w:p>
        </w:tc>
        <w:tc>
          <w:tcPr>
            <w:tcW w:w="2071" w:type="dxa"/>
            <w:tcBorders/>
            <w:vAlign w:val="center"/>
          </w:tcPr>
          <w:p>
            <w:pPr>
              <w:pStyle w:val="TableContents"/>
              <w:bidi w:val="0"/>
              <w:spacing w:lineRule="auto" w:line="307" w:before="0" w:after="160"/>
              <w:ind w:left="0" w:right="0" w:hanging="0"/>
              <w:jc w:val="both"/>
              <w:rPr/>
            </w:pPr>
            <w:r>
              <w:rPr/>
              <w:t>​</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02" w:name="_bd041771_6dda_468e_a6d9_7fd68f48edfc"/>
      <w:bookmarkEnd w:id="102"/>
      <w:r>
        <w:rPr>
          <w:rFonts w:ascii="Times New Roman;Times;serif" w:hAnsi="Times New Roman;Times;serif"/>
          <w:b/>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Index to the Consolidated Financial Statements</w:t>
      </w:r>
    </w:p>
    <w:tbl>
      <w:tblPr>
        <w:tblW w:w="10205" w:type="dxa"/>
        <w:jc w:val="left"/>
        <w:tblInd w:w="0" w:type="dxa"/>
        <w:tblLayout w:type="fixed"/>
        <w:tblCellMar>
          <w:top w:w="0" w:type="dxa"/>
          <w:left w:w="0" w:type="dxa"/>
          <w:bottom w:w="0" w:type="dxa"/>
          <w:right w:w="0" w:type="dxa"/>
        </w:tblCellMar>
      </w:tblPr>
      <w:tblGrid>
        <w:gridCol w:w="9019"/>
        <w:gridCol w:w="346"/>
        <w:gridCol w:w="840"/>
      </w:tblGrid>
      <w:tr>
        <w:trPr/>
        <w:tc>
          <w:tcPr>
            <w:tcW w:w="9019" w:type="dxa"/>
            <w:tcBorders/>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CONTENTS</w:t>
            </w:r>
          </w:p>
        </w:tc>
        <w:tc>
          <w:tcPr>
            <w:tcW w:w="346" w:type="dxa"/>
            <w:tcBorders/>
            <w:vAlign w:val="center"/>
          </w:tcPr>
          <w:p>
            <w:pPr>
              <w:pStyle w:val="TableContents"/>
              <w:bidi w:val="0"/>
              <w:spacing w:lineRule="auto" w:line="285" w:before="0" w:after="0"/>
              <w:ind w:left="0" w:right="0" w:hanging="0"/>
              <w:jc w:val="left"/>
              <w:rPr/>
            </w:pPr>
            <w:r>
              <w:rPr/>
              <w:t>  ​ ​ ​</w:t>
            </w:r>
          </w:p>
        </w:tc>
        <w:tc>
          <w:tcPr>
            <w:tcW w:w="84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PAGE(S)</w:t>
            </w:r>
          </w:p>
        </w:tc>
      </w:tr>
      <w:tr>
        <w:trPr/>
        <w:tc>
          <w:tcPr>
            <w:tcW w:w="9019" w:type="dxa"/>
            <w:tcBorders/>
            <w:vAlign w:val="center"/>
          </w:tcPr>
          <w:p>
            <w:pPr>
              <w:pStyle w:val="TableContents"/>
              <w:pBdr/>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40" w:type="dxa"/>
            <w:tcBorders>
              <w:top w:val="single" w:sz="2" w:space="0" w:color="000000"/>
            </w:tcBorders>
            <w:tcMar>
              <w:top w:w="28" w:type="dxa"/>
            </w:tcMar>
            <w:vAlign w:val="center"/>
          </w:tcPr>
          <w:p>
            <w:pPr>
              <w:pStyle w:val="TableContents"/>
              <w:bidi w:val="0"/>
              <w:spacing w:lineRule="auto" w:line="307" w:before="0" w:after="160"/>
              <w:ind w:left="0" w:right="0" w:hanging="0"/>
              <w:jc w:val="center"/>
              <w:rPr/>
            </w:pPr>
            <w:r>
              <w:rPr/>
              <w:t>​</w:t>
            </w:r>
          </w:p>
        </w:tc>
      </w:tr>
      <w:tr>
        <w:trPr/>
        <w:tc>
          <w:tcPr>
            <w:tcW w:w="9019" w:type="dxa"/>
            <w:tcBorders/>
            <w:vAlign w:val="center"/>
          </w:tcPr>
          <w:p>
            <w:pPr>
              <w:pStyle w:val="TableContents"/>
              <w:pBdr/>
              <w:bidi w:val="0"/>
              <w:spacing w:lineRule="auto" w:line="285"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hyperlink w:anchor="REPORTOFINDEPENDENTREGISTEREDPUBLICACCOU">
              <w:r>
                <w:rPr>
                  <w:rStyle w:val="InternetLink"/>
                  <w:rFonts w:ascii="Times New Roman;Times;serif" w:hAnsi="Times New Roman;Times;serif"/>
                  <w:caps w:val="false"/>
                  <w:smallCaps w:val="false"/>
                  <w:sz w:val="20"/>
                </w:rPr>
                <w:t xml:space="preserve"> </w:t>
              </w:r>
            </w:hyperlink>
            <w:hyperlink w:anchor="REPORTOFINDEPENDENTREGISTEREDPUBLICACCOU">
              <w:r>
                <w:rPr>
                  <w:rStyle w:val="InternetLink"/>
                  <w:rFonts w:ascii="Times New Roman;Times;serif" w:hAnsi="Times New Roman;Times;serif"/>
                  <w:b w:val="false"/>
                  <w:i w:val="false"/>
                  <w:caps w:val="false"/>
                  <w:smallCaps w:val="false"/>
                  <w:sz w:val="20"/>
                </w:rPr>
                <w:t>for year ended December 31, 2025</w:t>
              </w:r>
            </w:hyperlink>
            <w:r>
              <w:rPr>
                <w:rFonts w:ascii="Times New Roman;Times;serif" w:hAnsi="Times New Roman;Times;serif"/>
                <w:sz w:val="22"/>
              </w:rPr>
              <w:t xml:space="preserve"> </w:t>
            </w:r>
            <w:r>
              <w:rPr>
                <w:rFonts w:ascii="Times New Roman;Times;serif" w:hAnsi="Times New Roman;Times;serif"/>
                <w:sz w:val="20"/>
              </w:rPr>
              <w:t xml:space="preserve">(Grant Thornton Zhitong Certified Public Accountants LLP, Shanghai, China, PCAOB ID 1487) </w:t>
            </w:r>
          </w:p>
        </w:tc>
        <w:tc>
          <w:tcPr>
            <w:tcW w:w="346" w:type="dxa"/>
            <w:tcBorders/>
            <w:vAlign w:val="center"/>
          </w:tcPr>
          <w:p>
            <w:pPr>
              <w:pStyle w:val="TableContents"/>
              <w:bidi w:val="0"/>
              <w:spacing w:lineRule="auto" w:line="307" w:before="0" w:after="160"/>
              <w:ind w:left="0" w:right="0" w:hanging="0"/>
              <w:jc w:val="left"/>
              <w:rPr/>
            </w:pPr>
            <w:r>
              <w:rPr/>
              <w:t>​</w:t>
            </w:r>
          </w:p>
        </w:tc>
        <w:tc>
          <w:tcPr>
            <w:tcW w:w="840"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019" w:type="dxa"/>
            <w:tcBorders/>
            <w:vAlign w:val="center"/>
          </w:tcPr>
          <w:p>
            <w:pPr>
              <w:pStyle w:val="TableContents"/>
              <w:pBdr/>
              <w:bidi w:val="0"/>
              <w:spacing w:lineRule="auto" w:line="285" w:before="0" w:after="0"/>
              <w:ind w:left="0" w:right="0" w:hanging="0"/>
              <w:jc w:val="left"/>
              <w:rPr/>
            </w:pPr>
            <w:hyperlink w:anchor="Report_of_Independent2">
              <w:r>
                <w:rPr>
                  <w:rStyle w:val="InternetLink"/>
                  <w:rFonts w:ascii="Times New Roman;Times;serif" w:hAnsi="Times New Roman;Times;serif"/>
                  <w:b w:val="false"/>
                  <w:i w:val="false"/>
                  <w:caps w:val="false"/>
                  <w:smallCaps w:val="false"/>
                  <w:sz w:val="20"/>
                </w:rPr>
                <w:t>Report of Independent Registered Public Accounting Firm for years ended December 31, 2024 and 2023</w:t>
              </w:r>
            </w:hyperlink>
            <w:r>
              <w:rPr>
                <w:rFonts w:ascii="Times New Roman;Times;serif" w:hAnsi="Times New Roman;Times;serif"/>
                <w:sz w:val="22"/>
              </w:rPr>
              <w:t xml:space="preserve"> </w:t>
            </w:r>
            <w:r>
              <w:rPr>
                <w:rFonts w:ascii="Times New Roman;Times;serif" w:hAnsi="Times New Roman;Times;serif"/>
                <w:sz w:val="20"/>
              </w:rPr>
              <w:t>(KPMG Huazhen LLP, Hangzhou, China, PCAOB ID 1186)</w:t>
            </w:r>
          </w:p>
        </w:tc>
        <w:tc>
          <w:tcPr>
            <w:tcW w:w="346" w:type="dxa"/>
            <w:tcBorders/>
            <w:vAlign w:val="center"/>
          </w:tcPr>
          <w:p>
            <w:pPr>
              <w:pStyle w:val="TableContents"/>
              <w:bidi w:val="0"/>
              <w:spacing w:lineRule="auto" w:line="307" w:before="0" w:after="160"/>
              <w:ind w:left="0" w:right="0" w:hanging="0"/>
              <w:jc w:val="left"/>
              <w:rPr/>
            </w:pPr>
            <w:r>
              <w:rPr/>
              <w:t>​</w:t>
            </w:r>
          </w:p>
        </w:tc>
        <w:tc>
          <w:tcPr>
            <w:tcW w:w="840"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019" w:type="dxa"/>
            <w:tcBorders/>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w:t>
            </w:r>
          </w:p>
        </w:tc>
        <w:tc>
          <w:tcPr>
            <w:tcW w:w="346" w:type="dxa"/>
            <w:tcBorders/>
            <w:vAlign w:val="center"/>
          </w:tcPr>
          <w:p>
            <w:pPr>
              <w:pStyle w:val="TableContents"/>
              <w:bidi w:val="0"/>
              <w:spacing w:lineRule="auto" w:line="307" w:before="0" w:after="160"/>
              <w:ind w:left="0" w:right="0" w:hanging="0"/>
              <w:jc w:val="left"/>
              <w:rPr/>
            </w:pPr>
            <w:r>
              <w:rPr/>
              <w:t>​</w:t>
            </w:r>
          </w:p>
        </w:tc>
        <w:tc>
          <w:tcPr>
            <w:tcW w:w="840" w:type="dxa"/>
            <w:tcBorders/>
            <w:vAlign w:val="center"/>
          </w:tcPr>
          <w:p>
            <w:pPr>
              <w:pStyle w:val="TableContents"/>
              <w:bidi w:val="0"/>
              <w:spacing w:lineRule="auto" w:line="307" w:before="0" w:after="160"/>
              <w:ind w:left="0" w:right="0" w:hanging="0"/>
              <w:jc w:val="center"/>
              <w:rPr/>
            </w:pPr>
            <w:r>
              <w:rPr/>
              <w:t>​</w:t>
            </w:r>
          </w:p>
        </w:tc>
      </w:tr>
      <w:tr>
        <w:trPr/>
        <w:tc>
          <w:tcPr>
            <w:tcW w:w="9019" w:type="dxa"/>
            <w:tcBorders/>
            <w:vAlign w:val="center"/>
          </w:tcPr>
          <w:p>
            <w:pPr>
              <w:pStyle w:val="TableContents"/>
              <w:pBdr/>
              <w:bidi w:val="0"/>
              <w:spacing w:lineRule="auto" w:line="285" w:before="0" w:after="0"/>
              <w:ind w:left="0" w:right="0" w:hanging="0"/>
              <w:jc w:val="left"/>
              <w:rPr/>
            </w:pPr>
            <w:hyperlink w:anchor="BalanceSheet">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40"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019" w:type="dxa"/>
            <w:tcBorders/>
            <w:vAlign w:val="center"/>
          </w:tcPr>
          <w:p>
            <w:pPr>
              <w:pStyle w:val="TableContents"/>
              <w:pBdr/>
              <w:bidi w:val="0"/>
              <w:spacing w:lineRule="auto" w:line="285" w:before="0" w:after="0"/>
              <w:ind w:left="0" w:right="0" w:hanging="0"/>
              <w:jc w:val="left"/>
              <w:rPr/>
            </w:pPr>
            <w:hyperlink w:anchor="ComprehensiveLoss">
              <w:r>
                <w:rPr>
                  <w:rStyle w:val="InternetLink"/>
                  <w:rFonts w:ascii="Times New Roman;Times;serif" w:hAnsi="Times New Roman;Times;serif"/>
                  <w:b w:val="false"/>
                  <w:i w:val="false"/>
                  <w:caps w:val="false"/>
                  <w:smallCaps w:val="false"/>
                  <w:sz w:val="20"/>
                </w:rPr>
                <w:t>Consolidated Statements of Comprehensive Loss for the years ended December 31, 2025, 2024 and 2023</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40"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019" w:type="dxa"/>
            <w:tcBorders/>
            <w:vAlign w:val="center"/>
          </w:tcPr>
          <w:p>
            <w:pPr>
              <w:pStyle w:val="TableContents"/>
              <w:pBdr/>
              <w:bidi w:val="0"/>
              <w:spacing w:lineRule="auto" w:line="285"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Consolidated Statements of Changes in Shareholders’ Deficit for the years ended December 31, 2025, 2024 and 2023</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40"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019" w:type="dxa"/>
            <w:tcBorders/>
            <w:vAlign w:val="center"/>
          </w:tcPr>
          <w:p>
            <w:pPr>
              <w:pStyle w:val="TableContents"/>
              <w:pBdr/>
              <w:bidi w:val="0"/>
              <w:spacing w:lineRule="auto" w:line="285" w:before="0" w:after="0"/>
              <w:ind w:left="0" w:right="0" w:hanging="0"/>
              <w:jc w:val="left"/>
              <w:rPr/>
            </w:pPr>
            <w:hyperlink w:anchor="CashFlow">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40"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F-10</w:t>
            </w:r>
          </w:p>
        </w:tc>
      </w:tr>
      <w:tr>
        <w:trPr/>
        <w:tc>
          <w:tcPr>
            <w:tcW w:w="9019" w:type="dxa"/>
            <w:tcBorders/>
            <w:vAlign w:val="center"/>
          </w:tcPr>
          <w:p>
            <w:pPr>
              <w:pStyle w:val="TableContents"/>
              <w:pBdr/>
              <w:bidi w:val="0"/>
              <w:spacing w:lineRule="auto" w:line="285" w:before="0" w:after="0"/>
              <w:ind w:left="0" w:right="0" w:hanging="0"/>
              <w:jc w:val="left"/>
              <w:rPr/>
            </w:pPr>
            <w:hyperlink w:anchor="a1DESCRIPTIONOFBUSINESSANDORGANIZATION_4">
              <w:r>
                <w:rPr>
                  <w:rStyle w:val="InternetLink"/>
                  <w:rFonts w:ascii="Times New Roman;Times;serif" w:hAnsi="Times New Roman;Times;serif"/>
                  <w:b w:val="false"/>
                  <w:i w:val="false"/>
                  <w:caps w:val="false"/>
                  <w:smallCaps w:val="false"/>
                  <w:sz w:val="20"/>
                </w:rPr>
                <w:t>Notes to the Consolidated Financial Statements</w:t>
              </w:r>
            </w:hyperlink>
          </w:p>
        </w:tc>
        <w:tc>
          <w:tcPr>
            <w:tcW w:w="346" w:type="dxa"/>
            <w:tcBorders/>
            <w:vAlign w:val="center"/>
          </w:tcPr>
          <w:p>
            <w:pPr>
              <w:pStyle w:val="TableContents"/>
              <w:bidi w:val="0"/>
              <w:spacing w:lineRule="auto" w:line="307" w:before="0" w:after="160"/>
              <w:ind w:left="0" w:right="0" w:hanging="0"/>
              <w:jc w:val="left"/>
              <w:rPr/>
            </w:pPr>
            <w:r>
              <w:rPr/>
              <w:t>​</w:t>
            </w:r>
          </w:p>
        </w:tc>
        <w:tc>
          <w:tcPr>
            <w:tcW w:w="840"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F-12</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240"/>
        <w:ind w:left="0" w:right="0" w:hanging="0"/>
        <w:jc w:val="center"/>
        <w:rPr>
          <w:rFonts w:ascii="Times New Roman;Times;serif" w:hAnsi="Times New Roman;Times;serif"/>
          <w:b/>
          <w:sz w:val="20"/>
        </w:rPr>
      </w:pPr>
      <w:bookmarkStart w:id="103" w:name="REPORTOFINDEPENDENTREGISTEREDPUBLICACCOU"/>
      <w:bookmarkStart w:id="104" w:name="_bc494713_956e_4b7c_9607_af88f5c5cf1b"/>
      <w:bookmarkEnd w:id="103"/>
      <w:bookmarkEnd w:id="104"/>
      <w:r>
        <w:rPr>
          <w:rFonts w:ascii="Times New Roman;Times;serif" w:hAnsi="Times New Roman;Times;serif"/>
          <w:b/>
          <w:sz w:val="20"/>
        </w:rPr>
        <w:t>REPORT OF INDEPENDENT REGISTERED PUBLIC ACCOUNTING FIRM</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Shareholders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Lotus Technology Inc.</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 of Lotus Technology Inc. (a Cayman Islands corporation) and subsidiaries (the “Company”) as of December 31, 2025, the related consolidated statements of comprehensive loss, changes in shareholders’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Going concern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discussed in Note 2(a) to the consolidated financial statements, the Company has incurred losses since its inception, and as of December 31, 2025, the Company had an accumulated deficit of US$3,158 million and current liabilities exceeded current assets in the amount of US$1,487 million. In addition, the Company recorded net cash used in operating activities in the amount of US$334 million for the year ended December 31, 2025. These conditions raise substantial doubt about the Company’s ability to continue as a going concern. Management’s plans in regard to these matters are also described in Note 2(a). The consolidated financial statements do not include any adjustments that might result from the outcome of this uncertainty.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5" w:before="0" w:after="480"/>
        <w:ind w:left="0" w:right="0" w:hanging="0"/>
        <w:jc w:val="left"/>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285" w:before="0" w:after="284"/>
        <w:ind w:left="0" w:right="0" w:hanging="0"/>
        <w:jc w:val="left"/>
        <w:rPr>
          <w:rFonts w:ascii="Times New Roman;Times;serif" w:hAnsi="Times New Roman;Times;serif"/>
          <w:sz w:val="20"/>
        </w:rPr>
      </w:pPr>
      <w:r>
        <w:rPr>
          <w:rFonts w:ascii="Times New Roman;Times;serif" w:hAnsi="Times New Roman;Times;serif"/>
          <w:sz w:val="20"/>
        </w:rPr>
        <w:t>/s/ Grant Thornton Zhitong Certified Public Accountants LLP</w:t>
      </w:r>
    </w:p>
    <w:p>
      <w:pPr>
        <w:pStyle w:val="TextBody"/>
        <w:bidi w:val="0"/>
        <w:spacing w:lineRule="auto" w:line="285" w:before="0" w:after="284"/>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2025.</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Shanghai, the People’s Republic of China</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28, 2026</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bookmarkStart w:id="105" w:name="_543b5e9c_fe9a_4c86_80b8_4aa7453f663e"/>
      <w:bookmarkEnd w:id="105"/>
      <w:r>
        <w:rPr/>
        <w:t>​</w:t>
      </w:r>
    </w:p>
    <w:p>
      <w:pPr>
        <w:pStyle w:val="TextBody"/>
        <w:bidi w:val="0"/>
        <w:spacing w:lineRule="auto" w:line="285" w:before="0" w:after="240"/>
        <w:ind w:left="0" w:right="0" w:hanging="0"/>
        <w:jc w:val="center"/>
        <w:rPr>
          <w:rFonts w:ascii="Times New Roman;Times;serif" w:hAnsi="Times New Roman;Times;serif"/>
          <w:b/>
          <w:sz w:val="20"/>
        </w:rPr>
      </w:pPr>
      <w:bookmarkStart w:id="106" w:name="Report_of_Independent2"/>
      <w:bookmarkEnd w:id="106"/>
      <w:r>
        <w:rPr>
          <w:rFonts w:ascii="Times New Roman;Times;serif" w:hAnsi="Times New Roman;Times;serif"/>
          <w:b/>
          <w:sz w:val="20"/>
        </w:rPr>
        <w:t>Report of Independent Registered Public Accounting Firm</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To the Shareholders and Board of Directors </w:t>
        <w:br/>
        <w:t>Lotus Technology Inc.:</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Opinion on the Consolidated Financial Statements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 of Lotus Technology Inc. and subsidiaries (the Company) as of December 31, 2024, the related consolidated statements of comprehensive loss, changes in shareholders’ deficit, and cash flows for each of the years in the two-year period ended December 31, 2024,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each of the years in the two-year period ended December 31, 2024, in conformity with U.S. generally accepted accounting principles.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Going Concern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discussed in Note 2(a) to the consolidated financial statements, the Company has incurred losses since its inception and has an accumulated deficit, net current liabilities, and net cash used in operating activities that raise substantial doubt about its ability to continue as a going concern. Management’s plans in regard to these matters are also described in Note 2(a). The consolidated financial statements do not include any adjustments that might result from the outcome of this uncertainty.</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Basis for Opinion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5" w:before="0" w:after="17"/>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307" w:before="0" w:after="16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 KPMG Huazhen LLP</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We served as the Company’s auditor from 2021 to 2025.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Hangzhou, China</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30, 2025</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107" w:name="_e43cd474_6a28_410d_a40c_8e1b82a17963"/>
      <w:bookmarkEnd w:id="107"/>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bookmarkStart w:id="108" w:name="BalanceSheet"/>
      <w:bookmarkEnd w:id="108"/>
      <w:r>
        <w:rPr>
          <w:rFonts w:ascii="Times New Roman;Times;serif" w:hAnsi="Times New Roman;Times;serif"/>
          <w:b/>
          <w:sz w:val="20"/>
        </w:rPr>
        <w:t>CONSOLIDATED BALANCE SHEETS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2025 AND 2024</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center"/>
        <w:rPr/>
      </w:pPr>
      <w:r>
        <w:rPr/>
        <w:t>​</w:t>
      </w:r>
    </w:p>
    <w:p>
      <w:pPr>
        <w:pStyle w:val="Normal"/>
        <w:bidi w:val="0"/>
        <w:spacing w:before="0" w:after="0"/>
        <w:jc w:val="left"/>
        <w:rPr>
          <w:sz w:val="4"/>
          <w:szCs w:val="4"/>
        </w:rPr>
      </w:pPr>
      <w:r>
        <w:rPr>
          <w:sz w:val="4"/>
          <w:szCs w:val="4"/>
        </w:rPr>
      </w:r>
      <w:bookmarkStart w:id="109" w:name="Tc_his6K9o1y0i3gk_OOI5leQ_64_0"/>
      <w:bookmarkStart w:id="110" w:name="Tc_BhcEl7vK_UqMcBdh4qRqAQ_62_0"/>
      <w:bookmarkStart w:id="111" w:name="Tc_2wKWq7IK9UaY1EGe3KxRaA_60_0"/>
      <w:bookmarkStart w:id="112" w:name="Tc_ECgYc8Ai1UOuEQx7XG71Pw_58_2"/>
      <w:bookmarkStart w:id="113" w:name="Tc_exeTSfZRF0OTsRn2WcZi9A_58_0"/>
      <w:bookmarkStart w:id="114" w:name="Tc_t97NqBhqEU6GDJc4zwh5CA_57_2"/>
      <w:bookmarkStart w:id="115" w:name="Tc_O2sVST0VukGWdpI-q-13tw_57_0"/>
      <w:bookmarkStart w:id="116" w:name="Tc_cG_1XOLMvk6sBT3UGc3cYg_56_2"/>
      <w:bookmarkStart w:id="117" w:name="Tc_wMEn_LdyZEmRXTl2zQeOhw_56_0"/>
      <w:bookmarkStart w:id="118" w:name="Tc_WO0SWhy-dEy8ZyUHnzvpgQ_55_2"/>
      <w:bookmarkStart w:id="119" w:name="Tc_zU27YXFLNU2TRvro9uSKNA_55_0"/>
      <w:bookmarkStart w:id="120" w:name="Tc_16mW33qxz0WChRs2Pzge0w_54_2"/>
      <w:bookmarkStart w:id="121" w:name="Tc_YunAEy2DZk6Z8zif9990Ug_54_0"/>
      <w:bookmarkStart w:id="122" w:name="Tc_zs9exF3zaUmIrOJID1CXrQ_53_2"/>
      <w:bookmarkStart w:id="123" w:name="Tc_60z5HFXISEu_vGrULYUe2w_53_0"/>
      <w:bookmarkStart w:id="124" w:name="Tc_MOuSBq7gr06T4lzrSKN4-w_52_2"/>
      <w:bookmarkStart w:id="125" w:name="Tc_5SOFhIibIkKgNDEuU0tBVg_52_0"/>
      <w:bookmarkStart w:id="126" w:name="Tc_706QMaySgEWo-1U0h1qf7w_51_2"/>
      <w:bookmarkStart w:id="127" w:name="Tc_HQFeDGE7j0iNW11OR_5WqQ_51_0"/>
      <w:bookmarkStart w:id="128" w:name="Tc_Fs2K6qDWK0Gjp5j8NjiYaQ_50_2"/>
      <w:bookmarkStart w:id="129" w:name="Tc_64Ms4bPAI06MAsKHUSK3nQ_50_0"/>
      <w:bookmarkStart w:id="130" w:name="Tc_EYpVUmYzwU-Xrk-AhEUqRA_49_2"/>
      <w:bookmarkStart w:id="131" w:name="Tc_PbfgYsTr60u-6g2vZCyJwQ_49_0"/>
      <w:bookmarkStart w:id="132" w:name="Tc_lFEa67U04UeNKE39rxwtaw_48_2"/>
      <w:bookmarkStart w:id="133" w:name="Tc_lQQz1zZDHkehWXBVVbwomw_48_0"/>
      <w:bookmarkStart w:id="134" w:name="Tc_6MhHpd20Ekey_M7C7KtFQg_47_2"/>
      <w:bookmarkStart w:id="135" w:name="Tc_UvMxBk0rN0mymWOy7G4-Ag_47_0"/>
      <w:bookmarkStart w:id="136" w:name="Tc_1ZiUbLjeAEqi7mwVSRwF4g_46_0"/>
      <w:bookmarkStart w:id="137" w:name="Tc_UPmMDM6A60qgmdzebM5Qsg_44_0"/>
      <w:bookmarkStart w:id="138" w:name="Tc_VDOFzJ0fj0GtBb1_Hrc-mQ_42_2"/>
      <w:bookmarkStart w:id="139" w:name="Tc_Iy0b3yKmQ0aIJVoEzYIO9Q_42_0"/>
      <w:bookmarkStart w:id="140" w:name="Tc_MFR9IQ8fuEaD6Gytes7DVA_41_2"/>
      <w:bookmarkStart w:id="141" w:name="Tc_Ym6nhVYBakmpsrHqG_IAbQ_41_0"/>
      <w:bookmarkStart w:id="142" w:name="Tc_XoH6gTM06kODQyfs3svd9w_40_2"/>
      <w:bookmarkStart w:id="143" w:name="Tc_b47HtrWw1UmWNK_Q-9cnSQ_40_0"/>
      <w:bookmarkStart w:id="144" w:name="Tc_sh1on8ysJEiFzCWjRoVPMQ_39_2"/>
      <w:bookmarkStart w:id="145" w:name="Tc_ayyClL1qo0mgWJgNxvpa8w_39_0"/>
      <w:bookmarkStart w:id="146" w:name="Tc_zkxwriZMBEaPwooUFKIJdw_38_2"/>
      <w:bookmarkStart w:id="147" w:name="Tc_NNR0PCuOCUmDASvt_1sEXA_38_0"/>
      <w:bookmarkStart w:id="148" w:name="Tc_Gr92H6LcTEutgcmoJkjqSQ_37_2"/>
      <w:bookmarkStart w:id="149" w:name="Tc_cXTYOF5QN0mq55Xvf7MYCw_37_0"/>
      <w:bookmarkStart w:id="150" w:name="Tc_a8orZmSUt0SGnFto1ecJyw_36_2"/>
      <w:bookmarkStart w:id="151" w:name="Tc_eTaK4W2qvUGMwcrYdV7Fhg_36_0"/>
      <w:bookmarkStart w:id="152" w:name="Tc_OSSQY0tENUOLc46I3jyCwg_35_2"/>
      <w:bookmarkStart w:id="153" w:name="Tc_dnmlNwcGSkyTjQZ6Atc08Q_35_0"/>
      <w:bookmarkStart w:id="154" w:name="Tc_KLpvy9aMsUmGOa-d5J5-pg_34_0"/>
      <w:bookmarkStart w:id="155" w:name="Tc_WcdBNpMFOUCFh3oJanZzzA_33_2"/>
      <w:bookmarkStart w:id="156" w:name="Tc_K3mIV864f0CfI92cw3tYbA_33_0"/>
      <w:bookmarkStart w:id="157" w:name="Tc_gHcmerJtlk6_687LiQ8KwQ_32_2"/>
      <w:bookmarkStart w:id="158" w:name="Tc_h_Q-0W3Ywkays8DlkHXEHA_32_0"/>
      <w:bookmarkStart w:id="159" w:name="Tc_oO-N5X-np06j0-iBrmBklA_31_0"/>
      <w:bookmarkStart w:id="160" w:name="Tc_aWJh-f5WakyyHmSWqdPkMw_30_0"/>
      <w:bookmarkStart w:id="161" w:name="Tc_dKlEBYmwY0apIDzo9cnTKQ_29_0"/>
      <w:bookmarkStart w:id="162" w:name="Tc_bvXwCbWWAUy3VYEF81H1OQ_27_0"/>
      <w:bookmarkStart w:id="163" w:name="Tc_mJ_BeRmB0kyhNZfXs6BMqQ_25_2"/>
      <w:bookmarkStart w:id="164" w:name="Tc_wZsrHE4dWU2B5Qk4uv_jiA_25_0"/>
      <w:bookmarkStart w:id="165" w:name="Tc_v2ffxSNyuEi5hA7OYs3Vaw_24_2"/>
      <w:bookmarkStart w:id="166" w:name="Tc_DClOCbMb-kaU23ibBZmEOg_24_0"/>
      <w:bookmarkStart w:id="167" w:name="Tc_7SdFrTtR9EiMcKh7iqJCug_23_2"/>
      <w:bookmarkStart w:id="168" w:name="Tc_R10HAtQuo0SUzwOaYtvjjA_23_0"/>
      <w:bookmarkStart w:id="169" w:name="Tc_3o1ieb9XbUy-s7b3Tid94A_22_2"/>
      <w:bookmarkStart w:id="170" w:name="Tc_qElM3I4P5Uqkjsd0BD1B9w_22_0"/>
      <w:bookmarkStart w:id="171" w:name="Tc_WAN1C61G-0GiSNdUbeS1JA_21_2"/>
      <w:bookmarkStart w:id="172" w:name="Tc_GdephDJTFE2ANUTeXtk7ag_21_0"/>
      <w:bookmarkStart w:id="173" w:name="Tc_D8-V7chvfUWF-FZ9hZLcnw_20_2"/>
      <w:bookmarkStart w:id="174" w:name="Tc_LdW_fRI-W0SXpMNYqin6Fg_20_0"/>
      <w:bookmarkStart w:id="175" w:name="Tc_m7Z3f_dt9E-bfALnVwQFCw_19_2"/>
      <w:bookmarkStart w:id="176" w:name="Tc_ihynLnfIJE-JBBmiM9j6Wg_18_2"/>
      <w:bookmarkStart w:id="177" w:name="Tc_AG2SGkoCDkeoW_ZdMb2q_Q_18_0"/>
      <w:bookmarkStart w:id="178" w:name="Tc_cAL02Df2kUKukOriwC150w_17_2"/>
      <w:bookmarkStart w:id="179" w:name="Tc_AlnAboQG50-0jF4w75AmIQ_17_0"/>
      <w:bookmarkStart w:id="180" w:name="Tc_-amjvPICek2H8qytb9wR-g_16_0"/>
      <w:bookmarkStart w:id="181" w:name="Tc_YlV_eU2sqUKpkiRvDUTWfw_14_0"/>
      <w:bookmarkStart w:id="182" w:name="Tc_kjKspG6PD0-0jX4u_kM8DQ_12_2"/>
      <w:bookmarkStart w:id="183" w:name="Tc_RFLV4P9m606tgsRRUxkpPQ_12_0"/>
      <w:bookmarkStart w:id="184" w:name="Tc_aQDqESSYMEuIVD-p4XybaA_11_2"/>
      <w:bookmarkStart w:id="185" w:name="Tc_FU6QGFB7N0a4cszYhtEiSw_11_0"/>
      <w:bookmarkStart w:id="186" w:name="Tc_ep7RcOU2OkGVQZEHeRRoXA_10_2"/>
      <w:bookmarkStart w:id="187" w:name="Tc_U0VBV-tokkKsX5oWTAzlSw_10_0"/>
      <w:bookmarkStart w:id="188" w:name="Tc_ioUufU8fgk2yAnIv55j0Pw_9_2"/>
      <w:bookmarkStart w:id="189" w:name="Tc_uJtMgGRt6UW1Y2DyvpNf1A_9_0"/>
      <w:bookmarkStart w:id="190" w:name="Tc_lYF9wS1gHkCreAYChsxE_A_8_2"/>
      <w:bookmarkStart w:id="191" w:name="Tc_GxVXxONDck-3pPkohjyEHQ_8_0"/>
      <w:bookmarkStart w:id="192" w:name="Tc_G-Mx1D976kS1YHiaqduOiw_7_2"/>
      <w:bookmarkStart w:id="193" w:name="Tc_38OXWs1nC0-s3EeXG6td7Q_7_0"/>
      <w:bookmarkStart w:id="194" w:name="Tc_6gWmrtR2oEiHSehx0_j97w_6_2"/>
      <w:bookmarkStart w:id="195" w:name="Tc_ZDB45mrVsEGlT-TJ9HoLgw_6_0"/>
      <w:bookmarkStart w:id="196" w:name="Tc_PotdmeYqz0uuVjPJHYv9Xw_5_0"/>
      <w:bookmarkStart w:id="197" w:name="Tc_Hgt6Kc2gfk2HCXg-pOwoKw_4_0"/>
      <w:bookmarkStart w:id="198" w:name="Tc_bGUCXyaKcUW7p64NpvL6-w_3_6"/>
      <w:bookmarkStart w:id="199" w:name="Tc_ZPKeVWHwWEq-0UfLdT41-Q_3_4"/>
      <w:bookmarkStart w:id="200" w:name="Tc_H7Glrujdg0GC9W4ers6jqA_2_6"/>
      <w:bookmarkStart w:id="201" w:name="Tc_eircJ9-0N0O7BOZYgHsVYw_2_4"/>
      <w:bookmarkStart w:id="202" w:name="Tc_Mdw5lWBjEkuBg8tSVQVdrQ_2_2"/>
      <w:bookmarkStart w:id="203" w:name="Tc_QPHlYqNU2EaD2iIuX1Xanw_1_4"/>
      <w:bookmarkStart w:id="204" w:name="_9568c520_d1c3_4aff_9f58_5c281724fb3b"/>
      <w:bookmarkStart w:id="205" w:name="Tc_his6K9o1y0i3gk_OOI5leQ_64_0"/>
      <w:bookmarkStart w:id="206" w:name="Tc_BhcEl7vK_UqMcBdh4qRqAQ_62_0"/>
      <w:bookmarkStart w:id="207" w:name="Tc_2wKWq7IK9UaY1EGe3KxRaA_60_0"/>
      <w:bookmarkStart w:id="208" w:name="Tc_ECgYc8Ai1UOuEQx7XG71Pw_58_2"/>
      <w:bookmarkStart w:id="209" w:name="Tc_exeTSfZRF0OTsRn2WcZi9A_58_0"/>
      <w:bookmarkStart w:id="210" w:name="Tc_t97NqBhqEU6GDJc4zwh5CA_57_2"/>
      <w:bookmarkStart w:id="211" w:name="Tc_O2sVST0VukGWdpI-q-13tw_57_0"/>
      <w:bookmarkStart w:id="212" w:name="Tc_cG_1XOLMvk6sBT3UGc3cYg_56_2"/>
      <w:bookmarkStart w:id="213" w:name="Tc_wMEn_LdyZEmRXTl2zQeOhw_56_0"/>
      <w:bookmarkStart w:id="214" w:name="Tc_WO0SWhy-dEy8ZyUHnzvpgQ_55_2"/>
      <w:bookmarkStart w:id="215" w:name="Tc_zU27YXFLNU2TRvro9uSKNA_55_0"/>
      <w:bookmarkStart w:id="216" w:name="Tc_16mW33qxz0WChRs2Pzge0w_54_2"/>
      <w:bookmarkStart w:id="217" w:name="Tc_YunAEy2DZk6Z8zif9990Ug_54_0"/>
      <w:bookmarkStart w:id="218" w:name="Tc_zs9exF3zaUmIrOJID1CXrQ_53_2"/>
      <w:bookmarkStart w:id="219" w:name="Tc_60z5HFXISEu_vGrULYUe2w_53_0"/>
      <w:bookmarkStart w:id="220" w:name="Tc_MOuSBq7gr06T4lzrSKN4-w_52_2"/>
      <w:bookmarkStart w:id="221" w:name="Tc_5SOFhIibIkKgNDEuU0tBVg_52_0"/>
      <w:bookmarkStart w:id="222" w:name="Tc_706QMaySgEWo-1U0h1qf7w_51_2"/>
      <w:bookmarkStart w:id="223" w:name="Tc_HQFeDGE7j0iNW11OR_5WqQ_51_0"/>
      <w:bookmarkStart w:id="224" w:name="Tc_Fs2K6qDWK0Gjp5j8NjiYaQ_50_2"/>
      <w:bookmarkStart w:id="225" w:name="Tc_64Ms4bPAI06MAsKHUSK3nQ_50_0"/>
      <w:bookmarkStart w:id="226" w:name="Tc_EYpVUmYzwU-Xrk-AhEUqRA_49_2"/>
      <w:bookmarkStart w:id="227" w:name="Tc_PbfgYsTr60u-6g2vZCyJwQ_49_0"/>
      <w:bookmarkStart w:id="228" w:name="Tc_lFEa67U04UeNKE39rxwtaw_48_2"/>
      <w:bookmarkStart w:id="229" w:name="Tc_lQQz1zZDHkehWXBVVbwomw_48_0"/>
      <w:bookmarkStart w:id="230" w:name="Tc_6MhHpd20Ekey_M7C7KtFQg_47_2"/>
      <w:bookmarkStart w:id="231" w:name="Tc_UvMxBk0rN0mymWOy7G4-Ag_47_0"/>
      <w:bookmarkStart w:id="232" w:name="Tc_1ZiUbLjeAEqi7mwVSRwF4g_46_0"/>
      <w:bookmarkStart w:id="233" w:name="Tc_UPmMDM6A60qgmdzebM5Qsg_44_0"/>
      <w:bookmarkStart w:id="234" w:name="Tc_VDOFzJ0fj0GtBb1_Hrc-mQ_42_2"/>
      <w:bookmarkStart w:id="235" w:name="Tc_Iy0b3yKmQ0aIJVoEzYIO9Q_42_0"/>
      <w:bookmarkStart w:id="236" w:name="Tc_MFR9IQ8fuEaD6Gytes7DVA_41_2"/>
      <w:bookmarkStart w:id="237" w:name="Tc_Ym6nhVYBakmpsrHqG_IAbQ_41_0"/>
      <w:bookmarkStart w:id="238" w:name="Tc_XoH6gTM06kODQyfs3svd9w_40_2"/>
      <w:bookmarkStart w:id="239" w:name="Tc_b47HtrWw1UmWNK_Q-9cnSQ_40_0"/>
      <w:bookmarkStart w:id="240" w:name="Tc_sh1on8ysJEiFzCWjRoVPMQ_39_2"/>
      <w:bookmarkStart w:id="241" w:name="Tc_ayyClL1qo0mgWJgNxvpa8w_39_0"/>
      <w:bookmarkStart w:id="242" w:name="Tc_zkxwriZMBEaPwooUFKIJdw_38_2"/>
      <w:bookmarkStart w:id="243" w:name="Tc_NNR0PCuOCUmDASvt_1sEXA_38_0"/>
      <w:bookmarkStart w:id="244" w:name="Tc_Gr92H6LcTEutgcmoJkjqSQ_37_2"/>
      <w:bookmarkStart w:id="245" w:name="Tc_cXTYOF5QN0mq55Xvf7MYCw_37_0"/>
      <w:bookmarkStart w:id="246" w:name="Tc_a8orZmSUt0SGnFto1ecJyw_36_2"/>
      <w:bookmarkStart w:id="247" w:name="Tc_eTaK4W2qvUGMwcrYdV7Fhg_36_0"/>
      <w:bookmarkStart w:id="248" w:name="Tc_OSSQY0tENUOLc46I3jyCwg_35_2"/>
      <w:bookmarkStart w:id="249" w:name="Tc_dnmlNwcGSkyTjQZ6Atc08Q_35_0"/>
      <w:bookmarkStart w:id="250" w:name="Tc_KLpvy9aMsUmGOa-d5J5-pg_34_0"/>
      <w:bookmarkStart w:id="251" w:name="Tc_WcdBNpMFOUCFh3oJanZzzA_33_2"/>
      <w:bookmarkStart w:id="252" w:name="Tc_K3mIV864f0CfI92cw3tYbA_33_0"/>
      <w:bookmarkStart w:id="253" w:name="Tc_gHcmerJtlk6_687LiQ8KwQ_32_2"/>
      <w:bookmarkStart w:id="254" w:name="Tc_h_Q-0W3Ywkays8DlkHXEHA_32_0"/>
      <w:bookmarkStart w:id="255" w:name="Tc_oO-N5X-np06j0-iBrmBklA_31_0"/>
      <w:bookmarkStart w:id="256" w:name="Tc_aWJh-f5WakyyHmSWqdPkMw_30_0"/>
      <w:bookmarkStart w:id="257" w:name="Tc_dKlEBYmwY0apIDzo9cnTKQ_29_0"/>
      <w:bookmarkStart w:id="258" w:name="Tc_bvXwCbWWAUy3VYEF81H1OQ_27_0"/>
      <w:bookmarkStart w:id="259" w:name="Tc_mJ_BeRmB0kyhNZfXs6BMqQ_25_2"/>
      <w:bookmarkStart w:id="260" w:name="Tc_wZsrHE4dWU2B5Qk4uv_jiA_25_0"/>
      <w:bookmarkStart w:id="261" w:name="Tc_v2ffxSNyuEi5hA7OYs3Vaw_24_2"/>
      <w:bookmarkStart w:id="262" w:name="Tc_DClOCbMb-kaU23ibBZmEOg_24_0"/>
      <w:bookmarkStart w:id="263" w:name="Tc_7SdFrTtR9EiMcKh7iqJCug_23_2"/>
      <w:bookmarkStart w:id="264" w:name="Tc_R10HAtQuo0SUzwOaYtvjjA_23_0"/>
      <w:bookmarkStart w:id="265" w:name="Tc_3o1ieb9XbUy-s7b3Tid94A_22_2"/>
      <w:bookmarkStart w:id="266" w:name="Tc_qElM3I4P5Uqkjsd0BD1B9w_22_0"/>
      <w:bookmarkStart w:id="267" w:name="Tc_WAN1C61G-0GiSNdUbeS1JA_21_2"/>
      <w:bookmarkStart w:id="268" w:name="Tc_GdephDJTFE2ANUTeXtk7ag_21_0"/>
      <w:bookmarkStart w:id="269" w:name="Tc_D8-V7chvfUWF-FZ9hZLcnw_20_2"/>
      <w:bookmarkStart w:id="270" w:name="Tc_LdW_fRI-W0SXpMNYqin6Fg_20_0"/>
      <w:bookmarkStart w:id="271" w:name="Tc_m7Z3f_dt9E-bfALnVwQFCw_19_2"/>
      <w:bookmarkStart w:id="272" w:name="Tc_ihynLnfIJE-JBBmiM9j6Wg_18_2"/>
      <w:bookmarkStart w:id="273" w:name="Tc_AG2SGkoCDkeoW_ZdMb2q_Q_18_0"/>
      <w:bookmarkStart w:id="274" w:name="Tc_cAL02Df2kUKukOriwC150w_17_2"/>
      <w:bookmarkStart w:id="275" w:name="Tc_AlnAboQG50-0jF4w75AmIQ_17_0"/>
      <w:bookmarkStart w:id="276" w:name="Tc_-amjvPICek2H8qytb9wR-g_16_0"/>
      <w:bookmarkStart w:id="277" w:name="Tc_YlV_eU2sqUKpkiRvDUTWfw_14_0"/>
      <w:bookmarkStart w:id="278" w:name="Tc_kjKspG6PD0-0jX4u_kM8DQ_12_2"/>
      <w:bookmarkStart w:id="279" w:name="Tc_RFLV4P9m606tgsRRUxkpPQ_12_0"/>
      <w:bookmarkStart w:id="280" w:name="Tc_aQDqESSYMEuIVD-p4XybaA_11_2"/>
      <w:bookmarkStart w:id="281" w:name="Tc_FU6QGFB7N0a4cszYhtEiSw_11_0"/>
      <w:bookmarkStart w:id="282" w:name="Tc_ep7RcOU2OkGVQZEHeRRoXA_10_2"/>
      <w:bookmarkStart w:id="283" w:name="Tc_U0VBV-tokkKsX5oWTAzlSw_10_0"/>
      <w:bookmarkStart w:id="284" w:name="Tc_ioUufU8fgk2yAnIv55j0Pw_9_2"/>
      <w:bookmarkStart w:id="285" w:name="Tc_uJtMgGRt6UW1Y2DyvpNf1A_9_0"/>
      <w:bookmarkStart w:id="286" w:name="Tc_lYF9wS1gHkCreAYChsxE_A_8_2"/>
      <w:bookmarkStart w:id="287" w:name="Tc_GxVXxONDck-3pPkohjyEHQ_8_0"/>
      <w:bookmarkStart w:id="288" w:name="Tc_G-Mx1D976kS1YHiaqduOiw_7_2"/>
      <w:bookmarkStart w:id="289" w:name="Tc_38OXWs1nC0-s3EeXG6td7Q_7_0"/>
      <w:bookmarkStart w:id="290" w:name="Tc_6gWmrtR2oEiHSehx0_j97w_6_2"/>
      <w:bookmarkStart w:id="291" w:name="Tc_ZDB45mrVsEGlT-TJ9HoLgw_6_0"/>
      <w:bookmarkStart w:id="292" w:name="Tc_PotdmeYqz0uuVjPJHYv9Xw_5_0"/>
      <w:bookmarkStart w:id="293" w:name="Tc_Hgt6Kc2gfk2HCXg-pOwoKw_4_0"/>
      <w:bookmarkStart w:id="294" w:name="Tc_bGUCXyaKcUW7p64NpvL6-w_3_6"/>
      <w:bookmarkStart w:id="295" w:name="Tc_ZPKeVWHwWEq-0UfLdT41-Q_3_4"/>
      <w:bookmarkStart w:id="296" w:name="Tc_H7Glrujdg0GC9W4ers6jqA_2_6"/>
      <w:bookmarkStart w:id="297" w:name="Tc_eircJ9-0N0O7BOZYgHsVYw_2_4"/>
      <w:bookmarkStart w:id="298" w:name="Tc_Mdw5lWBjEkuBg8tSVQVdrQ_2_2"/>
      <w:bookmarkStart w:id="299" w:name="Tc_QPHlYqNU2EaD2iIuX1Xanw_1_4"/>
      <w:bookmarkStart w:id="300" w:name="_9568c520_d1c3_4aff_9f58_5c281724fb3b"/>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tbl>
      <w:tblPr>
        <w:tblW w:w="6622" w:type="dxa"/>
        <w:jc w:val="left"/>
        <w:tblInd w:w="0" w:type="dxa"/>
        <w:tblLayout w:type="fixed"/>
        <w:tblCellMar>
          <w:top w:w="0" w:type="dxa"/>
          <w:left w:w="0" w:type="dxa"/>
          <w:bottom w:w="0" w:type="dxa"/>
          <w:right w:w="0" w:type="dxa"/>
        </w:tblCellMar>
      </w:tblPr>
      <w:tblGrid>
        <w:gridCol w:w="3721"/>
        <w:gridCol w:w="346"/>
        <w:gridCol w:w="436"/>
        <w:gridCol w:w="346"/>
        <w:gridCol w:w="691"/>
        <w:gridCol w:w="346"/>
        <w:gridCol w:w="73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362835" cy="175260"/>
                      <wp:effectExtent l="0" t="0" r="0" b="0"/>
                      <wp:wrapNone/>
                      <wp:docPr id="219" name="Frame214"/>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0"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76860" cy="175260"/>
                      <wp:effectExtent l="0" t="0" r="0" b="0"/>
                      <wp:wrapNone/>
                      <wp:docPr id="221" name="Frame21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2"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38785" cy="175260"/>
                      <wp:effectExtent l="0" t="0" r="0" b="0"/>
                      <wp:wrapNone/>
                      <wp:docPr id="223" name="Frame2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4"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67360" cy="175260"/>
                      <wp:effectExtent l="0" t="0" r="0" b="0"/>
                      <wp:wrapNone/>
                      <wp:docPr id="225" name="Frame22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4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7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3"/>
              </w:rPr>
            </w:pPr>
            <w:r>
              <w:rPr>
                <w:rFonts w:ascii="Times New Roman;Times;serif" w:hAnsi="Times New Roman;Times;serif"/>
                <w:b/>
                <w:sz w:val="13"/>
              </w:rPr>
              <w:t>As of December 31, </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3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pPr>
            <w:r>
              <w:rPr/>
              <w:t> </w:t>
            </w:r>
            <w:r>
              <w:rPr>
                <w:rFonts w:ascii="Times New Roman;Times;serif" w:hAnsi="Times New Roman;Times;serif"/>
                <w:b/>
                <w:sz w:val="13"/>
              </w:rPr>
              <w:t>Note</w:t>
            </w:r>
          </w:p>
        </w:tc>
        <w:tc>
          <w:tcPr>
            <w:tcW w:w="346" w:type="dxa"/>
            <w:tcBorders/>
            <w:vAlign w:val="center"/>
          </w:tcPr>
          <w:p>
            <w:pPr>
              <w:pStyle w:val="TableContents"/>
              <w:bidi w:val="0"/>
              <w:spacing w:lineRule="auto" w:line="307"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2024</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i/>
                <w:sz w:val="13"/>
              </w:rPr>
            </w:pPr>
            <w:r>
              <w:rPr>
                <w:rFonts w:ascii="Times New Roman;Times;serif" w:hAnsi="Times New Roman;Times;serif"/>
                <w:b/>
                <w:i/>
                <w:sz w:val="13"/>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b/>
                <w:i/>
                <w:sz w:val="13"/>
              </w:rPr>
            </w:pPr>
            <w:r>
              <w:rPr>
                <w:rFonts w:ascii="Times New Roman;Times;serif" w:hAnsi="Times New Roman;Times;serif"/>
                <w:b/>
                <w:i/>
                <w:sz w:val="13"/>
              </w:rPr>
              <w:t>US$</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pPr>
            <w:r>
              <w:rPr/>
              <w:t>  ​</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pPr>
            <w:r>
              <w:rPr/>
              <w:t>  ​</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Cash and cash equivalents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73,431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103,072</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2(e)</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375,865</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379,293</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receivable – third parties,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36,850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117,076</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receivable – related parties, net</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26</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114,126</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107,816</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Inventories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121,361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188,582</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Prepayments and other current assets – third parties, net</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5</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77,570</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72,541</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Prepayments and other current assets – related parties,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111,886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74,558</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911,089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1,042,938</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Non-current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2(e)</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100,981</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2,572</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Securities pledged to an investor</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315,796</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val="false"/>
                <w:i w:val="false"/>
                <w:caps w:val="false"/>
                <w:smallCaps w:val="false"/>
                <w:sz w:val="13"/>
              </w:rPr>
            </w:pPr>
            <w:r>
              <w:rPr>
                <w:rFonts w:ascii="Times New Roman;Times;serif" w:hAnsi="Times New Roman;Times;serif"/>
                <w:b w:val="false"/>
                <w:i w:val="false"/>
                <w:caps w:val="false"/>
                <w:smallCaps w:val="false"/>
                <w:sz w:val="13"/>
              </w:rPr>
              <w:t>Loan receivable from a related party</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351,486</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269,539</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Property, equipment and software,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226,891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316,447</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Intangible assets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7</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116,475</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116,500</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Long-term investments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2(h)</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48,004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9,720</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Operating lease right-of-use assets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8</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118,845</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144,029</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assets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78,408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67,009</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assets – related parties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569</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1,113</w:t>
            </w:r>
          </w:p>
        </w:tc>
      </w:tr>
      <w:tr>
        <w:trPr/>
        <w:tc>
          <w:tcPr>
            <w:tcW w:w="372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non-current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1,041,659</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1,242,725</w:t>
            </w:r>
          </w:p>
        </w:tc>
      </w:tr>
      <w:tr>
        <w:trPr/>
        <w:tc>
          <w:tcPr>
            <w:tcW w:w="372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60"/>
              <w:ind w:left="0" w:right="0" w:hanging="0"/>
              <w:jc w:val="lef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assets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1,952,748</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2,285,663</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LIABILITIES AND SHAREHOLDERS’ DEFICIT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pPr>
            <w:r>
              <w:rPr/>
              <w:t>  ​</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3"/>
              </w:rPr>
              <w:t>Short</w:t>
            </w:r>
            <w:r>
              <w:rPr>
                <w:rFonts w:ascii="Times New Roman;Times;serif" w:hAnsi="Times New Roman;Times;serif"/>
                <w:sz w:val="12"/>
              </w:rPr>
              <w:noBreakHyphen/>
            </w:r>
            <w:r>
              <w:rPr>
                <w:rFonts w:ascii="Times New Roman;Times;serif" w:hAnsi="Times New Roman;Times;serif"/>
                <w:sz w:val="13"/>
              </w:rPr>
              <w:t>term borrowings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479,419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602,949</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Short-term borrowings –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10,26</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784,288</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199,570</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payable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55,032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61,752</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Accounts payable –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26</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458,189</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410,433</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Contract liabilities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18,459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33,964</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Operating lease liabilities – third parties </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8</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11,598</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14,094</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Accrued expenses and other current liabilities – third parties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251,361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389,791</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Accrued expenses and other current liabilities – related parties </w:t>
            </w:r>
          </w:p>
        </w:tc>
        <w:tc>
          <w:tcPr>
            <w:tcW w:w="346" w:type="dxa"/>
            <w:tcBorders/>
            <w:vAlign w:val="center"/>
          </w:tcPr>
          <w:p>
            <w:pPr>
              <w:pStyle w:val="TableContents"/>
              <w:bidi w:val="0"/>
              <w:spacing w:lineRule="auto" w:line="307" w:before="0" w:after="1"/>
              <w:ind w:left="0" w:right="0" w:hanging="0"/>
              <w:jc w:val="left"/>
              <w:rPr/>
            </w:pPr>
            <w:r>
              <w:rPr/>
              <w:t> </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26</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213,529</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214,760</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Share buyback forward liabilities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117,059</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Put option liabilities </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13</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309,115</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Convertible notes – related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126,203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113,910</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current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2,398,078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2,467,397</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b/>
                <w:sz w:val="13"/>
              </w:rPr>
              <w:t>Non</w:t>
            </w:r>
            <w:r>
              <w:rPr>
                <w:rFonts w:ascii="Times New Roman;Times;serif" w:hAnsi="Times New Roman;Times;serif"/>
                <w:sz w:val="12"/>
              </w:rPr>
              <w:noBreakHyphen/>
            </w:r>
            <w:r>
              <w:rPr>
                <w:rFonts w:ascii="Times New Roman;Times;serif" w:hAnsi="Times New Roman;Times;serif"/>
                <w:b/>
                <w:sz w:val="13"/>
              </w:rPr>
              <w:t>current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Contract liabilities – third parties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22</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7,458</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8,683</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Operating lease liabilities – third parties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57,576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68,331</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 xml:space="preserve">Operating lease liabilities – related parties </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8,26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3,105</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10,729</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Warrant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3,340</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Exchangeable notes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14</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128,852</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102,999</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Convertible notes – third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73,226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74,246</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Convertible notes – related parties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15</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77,175</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Long-term borrowings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98,254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Deferred income</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311,912</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293,923</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Deferred tax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698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3721" w:type="dxa"/>
            <w:tcBorders/>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liabilities – third parties</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18</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125,004</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114,770</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3"/>
              </w:rPr>
            </w:pPr>
            <w:r>
              <w:rPr>
                <w:rFonts w:ascii="Times New Roman;Times;serif" w:hAnsi="Times New Roman;Times;serif"/>
                <w:sz w:val="13"/>
              </w:rPr>
              <w:t>Other non-current liabilities – related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3"/>
              </w:rPr>
            </w:pPr>
            <w:r>
              <w:rPr>
                <w:rFonts w:ascii="Times New Roman;Times;serif" w:hAnsi="Times New Roman;Times;serif"/>
                <w:sz w:val="13"/>
              </w:rPr>
              <w:t>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856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3"/>
              </w:rPr>
            </w:pPr>
            <w:r>
              <w:rPr>
                <w:rFonts w:ascii="Times New Roman;Times;serif" w:hAnsi="Times New Roman;Times;serif"/>
                <w:sz w:val="13"/>
              </w:rPr>
              <w:t>1,471</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b/>
                <w:sz w:val="13"/>
              </w:rPr>
              <w:t>Total non</w:t>
            </w:r>
            <w:r>
              <w:rPr>
                <w:rFonts w:ascii="Times New Roman;Times;serif" w:hAnsi="Times New Roman;Times;serif"/>
                <w:sz w:val="12"/>
              </w:rPr>
              <w:noBreakHyphen/>
            </w:r>
            <w:r>
              <w:rPr>
                <w:rFonts w:ascii="Times New Roman;Times;serif" w:hAnsi="Times New Roman;Times;serif"/>
                <w:b/>
                <w:sz w:val="13"/>
              </w:rPr>
              <w:t>current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884,916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678,492</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60"/>
              <w:ind w:left="0" w:right="0" w:hanging="0"/>
              <w:jc w:val="righ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Total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3,282,994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3"/>
              </w:rPr>
            </w:pPr>
            <w:r>
              <w:rPr>
                <w:rFonts w:ascii="Times New Roman;Times;serif" w:hAnsi="Times New Roman;Times;serif"/>
                <w:b/>
                <w:sz w:val="13"/>
              </w:rPr>
              <w:t>3,145,889</w:t>
            </w:r>
          </w:p>
        </w:tc>
      </w:tr>
      <w:tr>
        <w:trPr/>
        <w:tc>
          <w:tcPr>
            <w:tcW w:w="37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43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60"/>
              <w:ind w:left="0" w:right="0" w:hanging="0"/>
              <w:jc w:val="left"/>
              <w:rPr/>
            </w:pPr>
            <w:r>
              <w:rPr/>
              <w:t>​</w:t>
            </w:r>
          </w:p>
        </w:tc>
      </w:tr>
      <w:tr>
        <w:trPr/>
        <w:tc>
          <w:tcPr>
            <w:tcW w:w="372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3"/>
              </w:rPr>
            </w:pPr>
            <w:r>
              <w:rPr>
                <w:rFonts w:ascii="Times New Roman;Times;serif" w:hAnsi="Times New Roman;Times;serif"/>
                <w:b/>
                <w:sz w:val="13"/>
              </w:rPr>
              <w:t>Commitments and contingencies (Note 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3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60"/>
              <w:ind w:left="0" w:right="0" w:hanging="0"/>
              <w:jc w:val="right"/>
              <w:rPr/>
            </w:pPr>
            <w:r>
              <w:rPr/>
              <w:t>​</w:t>
            </w:r>
          </w:p>
        </w:tc>
      </w:tr>
    </w:tbl>
    <w:p>
      <w:pPr>
        <w:pStyle w:val="TextBody"/>
        <w:bidi w:val="0"/>
        <w:spacing w:lineRule="auto" w:line="307" w:before="0" w:after="200"/>
        <w:ind w:left="0" w:right="0" w:hanging="0"/>
        <w:jc w:val="both"/>
        <w:rPr/>
      </w:pPr>
      <w:r>
        <w:rPr/>
        <w:t>​</w:t>
      </w:r>
    </w:p>
    <w:p>
      <w:pPr>
        <w:pStyle w:val="TextBody"/>
        <w:bidi w:val="0"/>
        <w:spacing w:lineRule="auto" w:line="307" w:before="0" w:after="200"/>
        <w:ind w:left="0" w:right="0" w:hanging="0"/>
        <w:jc w:val="both"/>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301" w:name="_195b8fb9_d67e_4e8f_ad65_2c0b5d76cbdc"/>
      <w:bookmarkEnd w:id="301"/>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2025 AND 2024 (Continued)</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302" w:name="Tc_dkym7_EKPkStwy0o08MpFA_15_0"/>
      <w:bookmarkStart w:id="303" w:name="Tc_Chl0BCoq90W46HriPBc8Vg_13_0"/>
      <w:bookmarkStart w:id="304" w:name="Tc_3T_SoTB-ukCH_cKB6OctFA_12_0"/>
      <w:bookmarkStart w:id="305" w:name="Tc_ZRRrVxPrc0C1Jb4vnUuqoQ_11_0"/>
      <w:bookmarkStart w:id="306" w:name="Tc_XOecvDDCBE-Ce7GZXSjOuw_9_0"/>
      <w:bookmarkStart w:id="307" w:name="Tc_F58n5cujuESA5sSAIUz7pg_8_0"/>
      <w:bookmarkStart w:id="308" w:name="Tc_ag1PEoc7h0eM35laXfKxHQ_7_0"/>
      <w:bookmarkStart w:id="309" w:name="Tc_K4MpsU8CrE-gvSQfWZx0RA_6_2"/>
      <w:bookmarkStart w:id="310" w:name="Tc_C6D2dNbyY0iAek6jm7Hk-Q_6_0"/>
      <w:bookmarkStart w:id="311" w:name="Tc_xuZ0xDIHkUKSjdkT38bWAg_5_2"/>
      <w:bookmarkStart w:id="312" w:name="Tc_HMpM5PalgUeStLBXWymVgg_5_0"/>
      <w:bookmarkStart w:id="313" w:name="Tc_GtO9o5VzO0SCwpYfgNQH8Q_4_0"/>
      <w:bookmarkStart w:id="314" w:name="Tc_yHE0LONPzEG10zCGa1x79w_3_6"/>
      <w:bookmarkStart w:id="315" w:name="Tc_pSB142FjUUa-QBZc7hHYyg_3_4"/>
      <w:bookmarkStart w:id="316" w:name="Tc_wuH8p6Hf0Ua2wNtEDjRIlA_2_6"/>
      <w:bookmarkStart w:id="317" w:name="Tc_D3rYV6_kNUGbO0CwKVdlZw_2_4"/>
      <w:bookmarkStart w:id="318" w:name="Tc_dVMsS8RQrE2qepokOul7uQ_2_2"/>
      <w:bookmarkStart w:id="319" w:name="Tc_2jmTmu23v0CDqebFmkr1Yw_1_4"/>
      <w:bookmarkStart w:id="320" w:name="_18884ac5_5fc4_4f45_bf6c_2266c3d55363"/>
      <w:bookmarkStart w:id="321" w:name="Tc_dkym7_EKPkStwy0o08MpFA_15_0"/>
      <w:bookmarkStart w:id="322" w:name="Tc_Chl0BCoq90W46HriPBc8Vg_13_0"/>
      <w:bookmarkStart w:id="323" w:name="Tc_3T_SoTB-ukCH_cKB6OctFA_12_0"/>
      <w:bookmarkStart w:id="324" w:name="Tc_ZRRrVxPrc0C1Jb4vnUuqoQ_11_0"/>
      <w:bookmarkStart w:id="325" w:name="Tc_XOecvDDCBE-Ce7GZXSjOuw_9_0"/>
      <w:bookmarkStart w:id="326" w:name="Tc_F58n5cujuESA5sSAIUz7pg_8_0"/>
      <w:bookmarkStart w:id="327" w:name="Tc_ag1PEoc7h0eM35laXfKxHQ_7_0"/>
      <w:bookmarkStart w:id="328" w:name="Tc_K4MpsU8CrE-gvSQfWZx0RA_6_2"/>
      <w:bookmarkStart w:id="329" w:name="Tc_C6D2dNbyY0iAek6jm7Hk-Q_6_0"/>
      <w:bookmarkStart w:id="330" w:name="Tc_xuZ0xDIHkUKSjdkT38bWAg_5_2"/>
      <w:bookmarkStart w:id="331" w:name="Tc_HMpM5PalgUeStLBXWymVgg_5_0"/>
      <w:bookmarkStart w:id="332" w:name="Tc_GtO9o5VzO0SCwpYfgNQH8Q_4_0"/>
      <w:bookmarkStart w:id="333" w:name="Tc_yHE0LONPzEG10zCGa1x79w_3_6"/>
      <w:bookmarkStart w:id="334" w:name="Tc_pSB142FjUUa-QBZc7hHYyg_3_4"/>
      <w:bookmarkStart w:id="335" w:name="Tc_wuH8p6Hf0Ua2wNtEDjRIlA_2_6"/>
      <w:bookmarkStart w:id="336" w:name="Tc_D3rYV6_kNUGbO0CwKVdlZw_2_4"/>
      <w:bookmarkStart w:id="337" w:name="Tc_dVMsS8RQrE2qepokOul7uQ_2_2"/>
      <w:bookmarkStart w:id="338" w:name="Tc_2jmTmu23v0CDqebFmkr1Yw_1_4"/>
      <w:bookmarkStart w:id="339" w:name="_18884ac5_5fc4_4f45_bf6c_2266c3d55363"/>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tbl>
      <w:tblPr>
        <w:tblW w:w="10205" w:type="dxa"/>
        <w:jc w:val="left"/>
        <w:tblInd w:w="0" w:type="dxa"/>
        <w:tblLayout w:type="fixed"/>
        <w:tblCellMar>
          <w:top w:w="0" w:type="dxa"/>
          <w:left w:w="0" w:type="dxa"/>
          <w:bottom w:w="0" w:type="dxa"/>
          <w:right w:w="0" w:type="dxa"/>
        </w:tblCellMar>
      </w:tblPr>
      <w:tblGrid>
        <w:gridCol w:w="6661"/>
        <w:gridCol w:w="346"/>
        <w:gridCol w:w="454"/>
        <w:gridCol w:w="346"/>
        <w:gridCol w:w="1003"/>
        <w:gridCol w:w="346"/>
        <w:gridCol w:w="1049"/>
      </w:tblGrid>
      <w:tr>
        <w:trPr/>
        <w:tc>
          <w:tcPr>
            <w:tcW w:w="6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29735" cy="175260"/>
                      <wp:effectExtent l="0" t="0" r="0" b="0"/>
                      <wp:wrapNone/>
                      <wp:docPr id="226" name="Frame221"/>
                      <a:graphic xmlns:a="http://schemas.openxmlformats.org/drawingml/2006/main">
                        <a:graphicData uri="http://schemas.microsoft.com/office/word/2010/wordprocessingShape">
                          <wps:wsp>
                            <wps:cNvSpPr txBox="1"/>
                            <wps:spPr>
                              <a:xfrm>
                                <a:off x="0" y="0"/>
                                <a:ext cx="4229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27"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88290" cy="175260"/>
                      <wp:effectExtent l="0" t="0" r="0" b="0"/>
                      <wp:wrapNone/>
                      <wp:docPr id="228" name="Frame223"/>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29"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36905" cy="175260"/>
                      <wp:effectExtent l="0" t="0" r="0" b="0"/>
                      <wp:wrapNone/>
                      <wp:docPr id="230" name="Frame225"/>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1"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66115" cy="175260"/>
                      <wp:effectExtent l="0" t="0" r="0" b="0"/>
                      <wp:wrapNone/>
                      <wp:docPr id="232" name="Frame227"/>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6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4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3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6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4"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pPr>
            <w:r>
              <w:rPr/>
              <w:t> </w:t>
            </w:r>
            <w:r>
              <w:rPr>
                <w:rFonts w:ascii="Times New Roman;Times;serif" w:hAnsi="Times New Roman;Times;serif"/>
                <w:b/>
                <w:sz w:val="16"/>
              </w:rPr>
              <w:t>Note</w:t>
            </w:r>
          </w:p>
        </w:tc>
        <w:tc>
          <w:tcPr>
            <w:tcW w:w="346" w:type="dxa"/>
            <w:tcBorders/>
            <w:vAlign w:val="center"/>
          </w:tcPr>
          <w:p>
            <w:pPr>
              <w:pStyle w:val="TableContents"/>
              <w:bidi w:val="0"/>
              <w:spacing w:lineRule="auto" w:line="307" w:before="0" w:after="1"/>
              <w:ind w:left="0" w:right="0" w:hanging="0"/>
              <w:jc w:val="center"/>
              <w:rPr/>
            </w:pPr>
            <w:r>
              <w:rPr/>
              <w:t>  ​ ​ ​</w:t>
            </w:r>
          </w:p>
        </w:tc>
        <w:tc>
          <w:tcPr>
            <w:tcW w:w="100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104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66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4"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0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049"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66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SHAREHOLDERS’ DEFICIT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4"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03"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049" w:type="dxa"/>
            <w:tcBorders/>
            <w:shd w:fill="CCEEFF" w:val="clear"/>
            <w:vAlign w:val="center"/>
          </w:tcPr>
          <w:p>
            <w:pPr>
              <w:pStyle w:val="TableContents"/>
              <w:bidi w:val="0"/>
              <w:spacing w:lineRule="auto" w:line="307" w:before="0" w:after="160"/>
              <w:ind w:left="0" w:right="0" w:hanging="0"/>
              <w:jc w:val="right"/>
              <w:rPr/>
            </w:pPr>
            <w:r>
              <w:rPr/>
              <w:t>​</w:t>
            </w:r>
          </w:p>
        </w:tc>
      </w:tr>
      <w:tr>
        <w:trPr/>
        <w:tc>
          <w:tcPr>
            <w:tcW w:w="666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Ordinary shares (US$0.00001 par value per share, 5,000,000,000 shares authorized as of December 31, 2025 and 2024; 707,196,733 and 694,134,038 shares issued as of December 31, 2025 and 2024, respectively; 640,672,331 and 676,826,794 shares outstanding as of December 31, 2025 and 2024,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454" w:type="dxa"/>
            <w:tcBorders/>
            <w:vAlign w:val="center"/>
          </w:tcPr>
          <w:p>
            <w:pPr>
              <w:pStyle w:val="TableContents"/>
              <w:bidi w:val="0"/>
              <w:spacing w:lineRule="auto" w:line="307"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lineRule="auto" w:line="307" w:before="0" w:after="160"/>
              <w:ind w:left="0" w:right="0" w:hanging="0"/>
              <w:jc w:val="left"/>
              <w:rPr/>
            </w:pPr>
            <w:r>
              <w:rPr/>
              <w:t>​</w:t>
            </w:r>
          </w:p>
        </w:tc>
        <w:tc>
          <w:tcPr>
            <w:tcW w:w="1003"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lineRule="auto" w:line="307" w:before="0" w:after="160"/>
              <w:ind w:left="0" w:right="0" w:hanging="0"/>
              <w:jc w:val="right"/>
              <w:rPr/>
            </w:pPr>
            <w:r>
              <w:rPr/>
              <w:t>​</w:t>
            </w:r>
          </w:p>
        </w:tc>
        <w:tc>
          <w:tcPr>
            <w:tcW w:w="1049"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66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4"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0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(138,397)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049" w:type="dxa"/>
            <w:tcBorders/>
            <w:shd w:fill="CCEEFF" w:val="clear"/>
            <w:vAlign w:val="center"/>
          </w:tcPr>
          <w:p>
            <w:pPr>
              <w:pStyle w:val="TableContents"/>
              <w:bidi w:val="0"/>
              <w:spacing w:lineRule="auto" w:line="307" w:before="0" w:after="1"/>
              <w:ind w:left="0" w:right="0" w:hanging="0"/>
              <w:jc w:val="right"/>
              <w:rPr/>
            </w:pPr>
            <w:r>
              <w:rPr/>
              <w:t>—</w:t>
            </w:r>
          </w:p>
        </w:tc>
      </w:tr>
      <w:tr>
        <w:trPr/>
        <w:tc>
          <w:tcPr>
            <w:tcW w:w="666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lineRule="auto" w:line="307" w:before="0" w:after="160"/>
              <w:ind w:left="0" w:right="0" w:hanging="0"/>
              <w:jc w:val="left"/>
              <w:rPr/>
            </w:pPr>
            <w:r>
              <w:rPr/>
              <w:t>​</w:t>
            </w:r>
          </w:p>
        </w:tc>
        <w:tc>
          <w:tcPr>
            <w:tcW w:w="4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03"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1,933,992</w:t>
            </w:r>
          </w:p>
        </w:tc>
        <w:tc>
          <w:tcPr>
            <w:tcW w:w="346" w:type="dxa"/>
            <w:tcBorders/>
            <w:vAlign w:val="center"/>
          </w:tcPr>
          <w:p>
            <w:pPr>
              <w:pStyle w:val="TableContents"/>
              <w:bidi w:val="0"/>
              <w:spacing w:lineRule="auto" w:line="307" w:before="0" w:after="160"/>
              <w:ind w:left="0" w:right="0" w:hanging="0"/>
              <w:jc w:val="right"/>
              <w:rPr/>
            </w:pPr>
            <w:r>
              <w:rPr/>
              <w:t>​</w:t>
            </w:r>
          </w:p>
        </w:tc>
        <w:tc>
          <w:tcPr>
            <w:tcW w:w="1049"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1,785,664</w:t>
            </w:r>
          </w:p>
        </w:tc>
      </w:tr>
      <w:tr>
        <w:trPr/>
        <w:tc>
          <w:tcPr>
            <w:tcW w:w="666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4"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0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39,818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049"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55,165</w:t>
            </w:r>
          </w:p>
        </w:tc>
      </w:tr>
      <w:tr>
        <w:trPr/>
        <w:tc>
          <w:tcPr>
            <w:tcW w:w="666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lineRule="auto" w:line="307" w:before="0" w:after="160"/>
              <w:ind w:left="0" w:right="0" w:hanging="0"/>
              <w:jc w:val="left"/>
              <w:rPr/>
            </w:pPr>
            <w:r>
              <w:rPr/>
              <w:t>​</w:t>
            </w:r>
          </w:p>
        </w:tc>
        <w:tc>
          <w:tcPr>
            <w:tcW w:w="4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0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(3,157,918)</w:t>
            </w:r>
          </w:p>
        </w:tc>
        <w:tc>
          <w:tcPr>
            <w:tcW w:w="346" w:type="dxa"/>
            <w:tcBorders/>
            <w:vAlign w:val="center"/>
          </w:tcPr>
          <w:p>
            <w:pPr>
              <w:pStyle w:val="TableContents"/>
              <w:bidi w:val="0"/>
              <w:spacing w:lineRule="auto" w:line="307" w:before="0" w:after="160"/>
              <w:ind w:left="0" w:right="0" w:hanging="0"/>
              <w:jc w:val="right"/>
              <w:rPr/>
            </w:pPr>
            <w:r>
              <w:rPr/>
              <w:t>​</w:t>
            </w:r>
          </w:p>
        </w:tc>
        <w:tc>
          <w:tcPr>
            <w:tcW w:w="104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(2,693,698)</w:t>
            </w:r>
          </w:p>
        </w:tc>
      </w:tr>
      <w:tr>
        <w:trPr/>
        <w:tc>
          <w:tcPr>
            <w:tcW w:w="666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4"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03"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049" w:type="dxa"/>
            <w:tcBorders/>
            <w:shd w:fill="CCEEFF" w:val="clear"/>
            <w:vAlign w:val="center"/>
          </w:tcPr>
          <w:p>
            <w:pPr>
              <w:pStyle w:val="TableContents"/>
              <w:bidi w:val="0"/>
              <w:spacing w:lineRule="auto" w:line="307" w:before="0" w:after="160"/>
              <w:ind w:left="0" w:right="0" w:hanging="0"/>
              <w:jc w:val="right"/>
              <w:rPr/>
            </w:pPr>
            <w:r>
              <w:rPr/>
              <w:t>​</w:t>
            </w:r>
          </w:p>
        </w:tc>
      </w:tr>
      <w:tr>
        <w:trPr/>
        <w:tc>
          <w:tcPr>
            <w:tcW w:w="6661"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deficit attributable to ordinary shareholders</w:t>
            </w:r>
          </w:p>
        </w:tc>
        <w:tc>
          <w:tcPr>
            <w:tcW w:w="346" w:type="dxa"/>
            <w:tcBorders/>
            <w:vAlign w:val="center"/>
          </w:tcPr>
          <w:p>
            <w:pPr>
              <w:pStyle w:val="TableContents"/>
              <w:bidi w:val="0"/>
              <w:spacing w:lineRule="auto" w:line="307" w:before="0" w:after="160"/>
              <w:ind w:left="0" w:right="0" w:hanging="0"/>
              <w:jc w:val="left"/>
              <w:rPr/>
            </w:pPr>
            <w:r>
              <w:rPr/>
              <w:t>​</w:t>
            </w:r>
          </w:p>
        </w:tc>
        <w:tc>
          <w:tcPr>
            <w:tcW w:w="4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0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(1,322,498)</w:t>
            </w:r>
          </w:p>
        </w:tc>
        <w:tc>
          <w:tcPr>
            <w:tcW w:w="346" w:type="dxa"/>
            <w:tcBorders/>
            <w:vAlign w:val="center"/>
          </w:tcPr>
          <w:p>
            <w:pPr>
              <w:pStyle w:val="TableContents"/>
              <w:bidi w:val="0"/>
              <w:spacing w:lineRule="auto" w:line="307" w:before="0" w:after="160"/>
              <w:ind w:left="0" w:right="0" w:hanging="0"/>
              <w:jc w:val="right"/>
              <w:rPr/>
            </w:pPr>
            <w:r>
              <w:rPr/>
              <w:t>​</w:t>
            </w:r>
          </w:p>
        </w:tc>
        <w:tc>
          <w:tcPr>
            <w:tcW w:w="104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(852,862)</w:t>
            </w:r>
          </w:p>
        </w:tc>
      </w:tr>
      <w:tr>
        <w:trPr/>
        <w:tc>
          <w:tcPr>
            <w:tcW w:w="666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4"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03"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(7,748)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049"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(7,364)</w:t>
            </w:r>
          </w:p>
        </w:tc>
      </w:tr>
      <w:tr>
        <w:trPr/>
        <w:tc>
          <w:tcPr>
            <w:tcW w:w="6661"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deficit</w:t>
            </w:r>
          </w:p>
        </w:tc>
        <w:tc>
          <w:tcPr>
            <w:tcW w:w="346" w:type="dxa"/>
            <w:tcBorders/>
            <w:vAlign w:val="center"/>
          </w:tcPr>
          <w:p>
            <w:pPr>
              <w:pStyle w:val="TableContents"/>
              <w:bidi w:val="0"/>
              <w:spacing w:lineRule="auto" w:line="307" w:before="0" w:after="160"/>
              <w:ind w:left="0" w:right="0" w:hanging="0"/>
              <w:jc w:val="left"/>
              <w:rPr/>
            </w:pPr>
            <w:r>
              <w:rPr/>
              <w:t>​</w:t>
            </w:r>
          </w:p>
        </w:tc>
        <w:tc>
          <w:tcPr>
            <w:tcW w:w="4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0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(1,330,246)</w:t>
            </w:r>
          </w:p>
        </w:tc>
        <w:tc>
          <w:tcPr>
            <w:tcW w:w="346" w:type="dxa"/>
            <w:tcBorders/>
            <w:vAlign w:val="center"/>
          </w:tcPr>
          <w:p>
            <w:pPr>
              <w:pStyle w:val="TableContents"/>
              <w:bidi w:val="0"/>
              <w:spacing w:lineRule="auto" w:line="307" w:before="0" w:after="160"/>
              <w:ind w:left="0" w:right="0" w:hanging="0"/>
              <w:jc w:val="right"/>
              <w:rPr/>
            </w:pPr>
            <w:r>
              <w:rPr/>
              <w:t>​</w:t>
            </w:r>
          </w:p>
        </w:tc>
        <w:tc>
          <w:tcPr>
            <w:tcW w:w="1049"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(860,226)</w:t>
            </w:r>
          </w:p>
        </w:tc>
      </w:tr>
      <w:tr>
        <w:trPr/>
        <w:tc>
          <w:tcPr>
            <w:tcW w:w="6661"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4"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03"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1049" w:type="dxa"/>
            <w:tcBorders/>
            <w:shd w:fill="CCEEFF" w:val="clear"/>
            <w:vAlign w:val="center"/>
          </w:tcPr>
          <w:p>
            <w:pPr>
              <w:pStyle w:val="TableContents"/>
              <w:bidi w:val="0"/>
              <w:spacing w:lineRule="auto" w:line="307" w:before="0" w:after="160"/>
              <w:ind w:left="0" w:right="0" w:hanging="0"/>
              <w:jc w:val="right"/>
              <w:rPr/>
            </w:pPr>
            <w:r>
              <w:rPr/>
              <w:t>​</w:t>
            </w:r>
          </w:p>
        </w:tc>
      </w:tr>
      <w:tr>
        <w:trPr/>
        <w:tc>
          <w:tcPr>
            <w:tcW w:w="6661"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deficit</w:t>
            </w:r>
          </w:p>
        </w:tc>
        <w:tc>
          <w:tcPr>
            <w:tcW w:w="346" w:type="dxa"/>
            <w:tcBorders/>
            <w:vAlign w:val="center"/>
          </w:tcPr>
          <w:p>
            <w:pPr>
              <w:pStyle w:val="TableContents"/>
              <w:bidi w:val="0"/>
              <w:spacing w:lineRule="auto" w:line="307" w:before="0" w:after="160"/>
              <w:ind w:left="0" w:right="0" w:hanging="0"/>
              <w:jc w:val="left"/>
              <w:rPr/>
            </w:pPr>
            <w:r>
              <w:rPr/>
              <w:t>​</w:t>
            </w:r>
          </w:p>
        </w:tc>
        <w:tc>
          <w:tcPr>
            <w:tcW w:w="45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03"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1,952,748</w:t>
            </w:r>
          </w:p>
        </w:tc>
        <w:tc>
          <w:tcPr>
            <w:tcW w:w="346" w:type="dxa"/>
            <w:tcBorders/>
            <w:vAlign w:val="center"/>
          </w:tcPr>
          <w:p>
            <w:pPr>
              <w:pStyle w:val="TableContents"/>
              <w:bidi w:val="0"/>
              <w:spacing w:lineRule="auto" w:line="307" w:before="0" w:after="160"/>
              <w:ind w:left="0" w:right="0" w:hanging="0"/>
              <w:jc w:val="right"/>
              <w:rPr/>
            </w:pPr>
            <w:r>
              <w:rPr/>
              <w:t>​</w:t>
            </w:r>
          </w:p>
        </w:tc>
        <w:tc>
          <w:tcPr>
            <w:tcW w:w="1049"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2,285,663</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lineRule="auto" w:line="307" w:before="0" w:after="160"/>
        <w:ind w:left="0" w:right="0" w:hanging="0"/>
        <w:jc w:val="left"/>
        <w:rPr>
          <w:spacing w:val="-10"/>
        </w:rPr>
      </w:pPr>
      <w:r>
        <w:rPr>
          <w:spacing w:val="-10"/>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340" w:name="_bc3ef6be_79f8_4f18_8fcf_e62f0fb5b9cd"/>
      <w:bookmarkEnd w:id="340"/>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bookmarkStart w:id="341" w:name="ComprehensiveLoss"/>
      <w:bookmarkEnd w:id="341"/>
      <w:r>
        <w:rPr>
          <w:rFonts w:ascii="Times New Roman;Times;serif" w:hAnsi="Times New Roman;Times;serif"/>
          <w:b/>
          <w:sz w:val="20"/>
        </w:rPr>
        <w:t>CONSOLIDATED STATEMENTS OF COMPREHENSIVE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342" w:name="Tc_h3doN3xOtU6QvjEYy1PIwA_61_0"/>
      <w:bookmarkStart w:id="343" w:name="Tc_ifjlx2jg2kKZxXMXCn2vvQ_60_0"/>
      <w:bookmarkStart w:id="344" w:name="Tc__v_RUbYKiE2XPpDvvhMVxQ_59_0"/>
      <w:bookmarkStart w:id="345" w:name="Tc_M55vP1oDXkWdXXPpAKl2XQ_57_0"/>
      <w:bookmarkStart w:id="346" w:name="Tc_1NhOUe4Jg0-1Nrz3vwEcIg_55_0"/>
      <w:bookmarkStart w:id="347" w:name="Tc_o_gLac4qpkG3m5FlaFB4Zg_54_0"/>
      <w:bookmarkStart w:id="348" w:name="Tc_7X1INr8JY0i1-63s2QQERg_53_0"/>
      <w:bookmarkStart w:id="349" w:name="Tc_PTOPZUSd1UiOqxWv8CuHNw_51_0"/>
      <w:bookmarkStart w:id="350" w:name="Tc_S19NFQG_AkC2gyKxEgJc8Q_49_0"/>
      <w:bookmarkStart w:id="351" w:name="Tc_c01PTWx7jUWQBOlZSnXcfQ_48_0"/>
      <w:bookmarkStart w:id="352" w:name="Tc_mHz2XVHwxk-Klpki6emRAA_47_2"/>
      <w:bookmarkStart w:id="353" w:name="Tc_ZeyleNuQoUKDdkg7Px2kPQ_47_0"/>
      <w:bookmarkStart w:id="354" w:name="Tc_bilMutIXNU6u79bn6c7SBg_46_0"/>
      <w:bookmarkStart w:id="355" w:name="Tc_wBVBUjtP406kbdq1UrqFiw_44_0"/>
      <w:bookmarkStart w:id="356" w:name="Tc_VFlELI6PTUa0K_33h4CwCg_42_0"/>
      <w:bookmarkStart w:id="357" w:name="Tc_q84HwCtrqEae-HcIM1geNg_40_0"/>
      <w:bookmarkStart w:id="358" w:name="Tc_KEq924Sigku6t8Ekozp8Pw_38_0"/>
      <w:bookmarkStart w:id="359" w:name="Tc_cYr9_E0tCUiBW3z1w7csgQ_36_0"/>
      <w:bookmarkStart w:id="360" w:name="Tc_gOzf5N3ho0KPkAyQO3WwGw_35_0"/>
      <w:bookmarkStart w:id="361" w:name="Tc_iD6KDmzHPEKEo4vBNDashw_34_2"/>
      <w:bookmarkStart w:id="362" w:name="Tc_rAmVyKWqyk-DfPigvzJUQw_34_0"/>
      <w:bookmarkStart w:id="363" w:name="Tc_WSkbQpd5LEOul2ldOc_E1g_33_0"/>
      <w:bookmarkStart w:id="364" w:name="Tc_8hiT5TINjUuAPJqJByaUSQ_31_0"/>
      <w:bookmarkStart w:id="365" w:name="Tc_bIYug3YUEUWbpRrZdTDUAw_30_0"/>
      <w:bookmarkStart w:id="366" w:name="Tc_bZRI0PohwUuhtbDUV8UsBA_29_0"/>
      <w:bookmarkStart w:id="367" w:name="Tc_1SInr6B75UKicfrxkXU5Xg_28_0"/>
      <w:bookmarkStart w:id="368" w:name="Tc_MCs4xuyNqkG8s8zzmH6yZg_27_0"/>
      <w:bookmarkStart w:id="369" w:name="Tc_vkxHbdTwBkyvmShhJ1jvHw_25_0"/>
      <w:bookmarkStart w:id="370" w:name="Tc_L-W7jFG7WkO4Kq6jgyF8cw_23_0"/>
      <w:bookmarkStart w:id="371" w:name="Tc_96i4qVq3tEuoxq1qZUWEyQ_21_2"/>
      <w:bookmarkStart w:id="372" w:name="Tc_5DhDwTLojECDQqykDaKQPw_21_0"/>
      <w:bookmarkStart w:id="373" w:name="Tc_iLkXF7Zui0-EMwsQcVYsIQ_20_2"/>
      <w:bookmarkStart w:id="374" w:name="Tc_FvEOb1L17kOWshuNNlK2CQ_20_0"/>
      <w:bookmarkStart w:id="375" w:name="Tc_-nBuaMfem0a5BXZtFFYfzg_19_0"/>
      <w:bookmarkStart w:id="376" w:name="Tc_swoLknPOWUSu7gUllLA08Q_18_0"/>
      <w:bookmarkStart w:id="377" w:name="Tc_LK_eKmvZHkmVkCFqqz5g2g_17_0"/>
      <w:bookmarkStart w:id="378" w:name="Tc_cWI6_FvheECPnCPJmtOQgg_16_0"/>
      <w:bookmarkStart w:id="379" w:name="Tc_h1OnnaKxwUKoqWFu4Cfa9g_14_0"/>
      <w:bookmarkStart w:id="380" w:name="Tc_WTENRu5_jkmbWNSwvs9Qhg_12_0"/>
      <w:bookmarkStart w:id="381" w:name="Tc_LToreruw-0W8n0Mskr0I3g_11_0"/>
      <w:bookmarkStart w:id="382" w:name="Tc_R9Q3PP93dUid6k5M1sbp7Q_10_0"/>
      <w:bookmarkStart w:id="383" w:name="Tc_gel8omVn9kmdVqptec_SWg_9_0"/>
      <w:bookmarkStart w:id="384" w:name="Tc_-Kjwim6HBEGjfcpv_fJGew_7_0"/>
      <w:bookmarkStart w:id="385" w:name="Tc_Q81qCOiwtkCvMnk7X1h8Ig_6_0"/>
      <w:bookmarkStart w:id="386" w:name="Tc_B2FAssDjMUS6VHSpZdPr8A_5_0"/>
      <w:bookmarkStart w:id="387" w:name="Tc_1gx34r1gu0CyjkYzMzNmkw_4_2"/>
      <w:bookmarkStart w:id="388" w:name="Tc_VU09OU-9gEWViicn1l9BPg_4_0"/>
      <w:bookmarkStart w:id="389" w:name="Tc_mWe40s9LjEebNbo3sQ0INw_3_8"/>
      <w:bookmarkStart w:id="390" w:name="Tc_Abi5Bz3ZYUqfBPlTXg_ngw_3_6"/>
      <w:bookmarkStart w:id="391" w:name="Tc_3sdQl4EUmUakyoOyr5AQ6g_3_4"/>
      <w:bookmarkStart w:id="392" w:name="Tc_fZZAV9gYnEaCjgykBGrRyg_2_8"/>
      <w:bookmarkStart w:id="393" w:name="Tc_sWTlZXK9E0yRVFq-6aR_1A_2_6"/>
      <w:bookmarkStart w:id="394" w:name="Tc_MMNckezMR0i2jck9QxooKA_2_4"/>
      <w:bookmarkStart w:id="395" w:name="Tc_eJsd-B_5p0ispolw2Z6_CA_2_2"/>
      <w:bookmarkStart w:id="396" w:name="Tc_EFf-nfOny0WJuPPQDo2tZg_1_4"/>
      <w:bookmarkStart w:id="397" w:name="_7ecca100_a5b9_4c30_8987_b60cb206cd36"/>
      <w:bookmarkStart w:id="398" w:name="Tc_h3doN3xOtU6QvjEYy1PIwA_61_0"/>
      <w:bookmarkStart w:id="399" w:name="Tc_ifjlx2jg2kKZxXMXCn2vvQ_60_0"/>
      <w:bookmarkStart w:id="400" w:name="Tc__v_RUbYKiE2XPpDvvhMVxQ_59_0"/>
      <w:bookmarkStart w:id="401" w:name="Tc_M55vP1oDXkWdXXPpAKl2XQ_57_0"/>
      <w:bookmarkStart w:id="402" w:name="Tc_1NhOUe4Jg0-1Nrz3vwEcIg_55_0"/>
      <w:bookmarkStart w:id="403" w:name="Tc_o_gLac4qpkG3m5FlaFB4Zg_54_0"/>
      <w:bookmarkStart w:id="404" w:name="Tc_7X1INr8JY0i1-63s2QQERg_53_0"/>
      <w:bookmarkStart w:id="405" w:name="Tc_PTOPZUSd1UiOqxWv8CuHNw_51_0"/>
      <w:bookmarkStart w:id="406" w:name="Tc_S19NFQG_AkC2gyKxEgJc8Q_49_0"/>
      <w:bookmarkStart w:id="407" w:name="Tc_c01PTWx7jUWQBOlZSnXcfQ_48_0"/>
      <w:bookmarkStart w:id="408" w:name="Tc_mHz2XVHwxk-Klpki6emRAA_47_2"/>
      <w:bookmarkStart w:id="409" w:name="Tc_ZeyleNuQoUKDdkg7Px2kPQ_47_0"/>
      <w:bookmarkStart w:id="410" w:name="Tc_bilMutIXNU6u79bn6c7SBg_46_0"/>
      <w:bookmarkStart w:id="411" w:name="Tc_wBVBUjtP406kbdq1UrqFiw_44_0"/>
      <w:bookmarkStart w:id="412" w:name="Tc_VFlELI6PTUa0K_33h4CwCg_42_0"/>
      <w:bookmarkStart w:id="413" w:name="Tc_q84HwCtrqEae-HcIM1geNg_40_0"/>
      <w:bookmarkStart w:id="414" w:name="Tc_KEq924Sigku6t8Ekozp8Pw_38_0"/>
      <w:bookmarkStart w:id="415" w:name="Tc_cYr9_E0tCUiBW3z1w7csgQ_36_0"/>
      <w:bookmarkStart w:id="416" w:name="Tc_gOzf5N3ho0KPkAyQO3WwGw_35_0"/>
      <w:bookmarkStart w:id="417" w:name="Tc_iD6KDmzHPEKEo4vBNDashw_34_2"/>
      <w:bookmarkStart w:id="418" w:name="Tc_rAmVyKWqyk-DfPigvzJUQw_34_0"/>
      <w:bookmarkStart w:id="419" w:name="Tc_WSkbQpd5LEOul2ldOc_E1g_33_0"/>
      <w:bookmarkStart w:id="420" w:name="Tc_8hiT5TINjUuAPJqJByaUSQ_31_0"/>
      <w:bookmarkStart w:id="421" w:name="Tc_bIYug3YUEUWbpRrZdTDUAw_30_0"/>
      <w:bookmarkStart w:id="422" w:name="Tc_bZRI0PohwUuhtbDUV8UsBA_29_0"/>
      <w:bookmarkStart w:id="423" w:name="Tc_1SInr6B75UKicfrxkXU5Xg_28_0"/>
      <w:bookmarkStart w:id="424" w:name="Tc_MCs4xuyNqkG8s8zzmH6yZg_27_0"/>
      <w:bookmarkStart w:id="425" w:name="Tc_vkxHbdTwBkyvmShhJ1jvHw_25_0"/>
      <w:bookmarkStart w:id="426" w:name="Tc_L-W7jFG7WkO4Kq6jgyF8cw_23_0"/>
      <w:bookmarkStart w:id="427" w:name="Tc_96i4qVq3tEuoxq1qZUWEyQ_21_2"/>
      <w:bookmarkStart w:id="428" w:name="Tc_5DhDwTLojECDQqykDaKQPw_21_0"/>
      <w:bookmarkStart w:id="429" w:name="Tc_iLkXF7Zui0-EMwsQcVYsIQ_20_2"/>
      <w:bookmarkStart w:id="430" w:name="Tc_FvEOb1L17kOWshuNNlK2CQ_20_0"/>
      <w:bookmarkStart w:id="431" w:name="Tc_-nBuaMfem0a5BXZtFFYfzg_19_0"/>
      <w:bookmarkStart w:id="432" w:name="Tc_swoLknPOWUSu7gUllLA08Q_18_0"/>
      <w:bookmarkStart w:id="433" w:name="Tc_LK_eKmvZHkmVkCFqqz5g2g_17_0"/>
      <w:bookmarkStart w:id="434" w:name="Tc_cWI6_FvheECPnCPJmtOQgg_16_0"/>
      <w:bookmarkStart w:id="435" w:name="Tc_h1OnnaKxwUKoqWFu4Cfa9g_14_0"/>
      <w:bookmarkStart w:id="436" w:name="Tc_WTENRu5_jkmbWNSwvs9Qhg_12_0"/>
      <w:bookmarkStart w:id="437" w:name="Tc_LToreruw-0W8n0Mskr0I3g_11_0"/>
      <w:bookmarkStart w:id="438" w:name="Tc_R9Q3PP93dUid6k5M1sbp7Q_10_0"/>
      <w:bookmarkStart w:id="439" w:name="Tc_gel8omVn9kmdVqptec_SWg_9_0"/>
      <w:bookmarkStart w:id="440" w:name="Tc_-Kjwim6HBEGjfcpv_fJGew_7_0"/>
      <w:bookmarkStart w:id="441" w:name="Tc_Q81qCOiwtkCvMnk7X1h8Ig_6_0"/>
      <w:bookmarkStart w:id="442" w:name="Tc_B2FAssDjMUS6VHSpZdPr8A_5_0"/>
      <w:bookmarkStart w:id="443" w:name="Tc_1gx34r1gu0CyjkYzMzNmkw_4_2"/>
      <w:bookmarkStart w:id="444" w:name="Tc_VU09OU-9gEWViicn1l9BPg_4_0"/>
      <w:bookmarkStart w:id="445" w:name="Tc_mWe40s9LjEebNbo3sQ0INw_3_8"/>
      <w:bookmarkStart w:id="446" w:name="Tc_Abi5Bz3ZYUqfBPlTXg_ngw_3_6"/>
      <w:bookmarkStart w:id="447" w:name="Tc_3sdQl4EUmUakyoOyr5AQ6g_3_4"/>
      <w:bookmarkStart w:id="448" w:name="Tc_fZZAV9gYnEaCjgykBGrRyg_2_8"/>
      <w:bookmarkStart w:id="449" w:name="Tc_sWTlZXK9E0yRVFq-6aR_1A_2_6"/>
      <w:bookmarkStart w:id="450" w:name="Tc_MMNckezMR0i2jck9QxooKA_2_4"/>
      <w:bookmarkStart w:id="451" w:name="Tc_eJsd-B_5p0ispolw2Z6_CA_2_2"/>
      <w:bookmarkStart w:id="452" w:name="Tc_EFf-nfOny0WJuPPQDo2tZg_1_4"/>
      <w:bookmarkStart w:id="453" w:name="_7ecca100_a5b9_4c30_8987_b60cb206cd3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tbl>
      <w:tblPr>
        <w:tblW w:w="10205" w:type="dxa"/>
        <w:jc w:val="left"/>
        <w:tblInd w:w="0" w:type="dxa"/>
        <w:tblLayout w:type="fixed"/>
        <w:tblCellMar>
          <w:top w:w="0" w:type="dxa"/>
          <w:left w:w="0" w:type="dxa"/>
          <w:bottom w:w="0" w:type="dxa"/>
          <w:right w:w="0" w:type="dxa"/>
        </w:tblCellMar>
      </w:tblPr>
      <w:tblGrid>
        <w:gridCol w:w="6331"/>
        <w:gridCol w:w="346"/>
        <w:gridCol w:w="326"/>
        <w:gridCol w:w="346"/>
        <w:gridCol w:w="706"/>
        <w:gridCol w:w="346"/>
        <w:gridCol w:w="706"/>
        <w:gridCol w:w="346"/>
        <w:gridCol w:w="752"/>
      </w:tblGrid>
      <w:tr>
        <w:trPr/>
        <w:tc>
          <w:tcPr>
            <w:tcW w:w="6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020185" cy="175260"/>
                      <wp:effectExtent l="0" t="0" r="0" b="0"/>
                      <wp:wrapNone/>
                      <wp:docPr id="233" name="Frame228"/>
                      <a:graphic xmlns:a="http://schemas.openxmlformats.org/drawingml/2006/main">
                        <a:graphicData uri="http://schemas.microsoft.com/office/word/2010/wordprocessingShape">
                          <wps:wsp>
                            <wps:cNvSpPr txBox="1"/>
                            <wps:spPr>
                              <a:xfrm>
                                <a:off x="0" y="0"/>
                                <a:ext cx="4020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4"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35"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36"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48310" cy="175260"/>
                      <wp:effectExtent l="0" t="0" r="0" b="0"/>
                      <wp:wrapNone/>
                      <wp:docPr id="237" name="Frame23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38"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48310" cy="175260"/>
                      <wp:effectExtent l="0" t="0" r="0" b="0"/>
                      <wp:wrapNone/>
                      <wp:docPr id="239" name="Frame23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0"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77520" cy="175260"/>
                      <wp:effectExtent l="0" t="0" r="0" b="0"/>
                      <wp:wrapNone/>
                      <wp:docPr id="241" name="Frame236"/>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856"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1"/>
              </w:rPr>
            </w:pPr>
            <w:r>
              <w:rPr>
                <w:rFonts w:ascii="Times New Roman;Times;serif" w:hAnsi="Times New Roman;Times;serif"/>
                <w:b/>
                <w:sz w:val="11"/>
              </w:rPr>
              <w:t>Year ended December 31, </w:t>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pPr>
            <w:r>
              <w:rPr/>
              <w:t> </w:t>
            </w:r>
            <w:r>
              <w:rPr>
                <w:rFonts w:ascii="Times New Roman;Times;serif" w:hAnsi="Times New Roman;Times;serif"/>
                <w:b/>
                <w:sz w:val="11"/>
              </w:rPr>
              <w:t>Note</w:t>
            </w:r>
          </w:p>
        </w:tc>
        <w:tc>
          <w:tcPr>
            <w:tcW w:w="346" w:type="dxa"/>
            <w:tcBorders/>
            <w:vAlign w:val="center"/>
          </w:tcPr>
          <w:p>
            <w:pPr>
              <w:pStyle w:val="TableContents"/>
              <w:bidi w:val="0"/>
              <w:spacing w:lineRule="auto" w:line="307" w:before="0" w:after="1"/>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2023</w:t>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i/>
                <w:sz w:val="11"/>
              </w:rPr>
            </w:pPr>
            <w:r>
              <w:rPr>
                <w:rFonts w:ascii="Times New Roman;Times;serif" w:hAnsi="Times New Roman;Times;serif"/>
                <w:b/>
                <w:i/>
                <w:sz w:val="11"/>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i/>
                <w:sz w:val="11"/>
              </w:rPr>
            </w:pPr>
            <w:r>
              <w:rPr>
                <w:rFonts w:ascii="Times New Roman;Times;serif" w:hAnsi="Times New Roman;Times;serif"/>
                <w:b/>
                <w:i/>
                <w:sz w:val="11"/>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b/>
                <w:i/>
                <w:sz w:val="11"/>
              </w:rPr>
            </w:pPr>
            <w:r>
              <w:rPr>
                <w:rFonts w:ascii="Times New Roman;Times;serif" w:hAnsi="Times New Roman;Times;serif"/>
                <w:b/>
                <w:i/>
                <w:sz w:val="11"/>
              </w:rPr>
              <w:t>US$</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Revenues: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1"/>
              </w:rPr>
            </w:pPr>
            <w:r>
              <w:rPr>
                <w:rFonts w:ascii="Times New Roman;Times;serif" w:hAnsi="Times New Roman;Times;serif"/>
                <w:sz w:val="11"/>
              </w:rPr>
              <w:t>22</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52" w:type="dxa"/>
            <w:tcBorders/>
            <w:shd w:fill="CCEEFF" w:val="clear"/>
            <w:vAlign w:val="center"/>
          </w:tcPr>
          <w:p>
            <w:pPr>
              <w:pStyle w:val="TableContents"/>
              <w:bidi w:val="0"/>
              <w:spacing w:lineRule="auto" w:line="307" w:before="0" w:after="1"/>
              <w:ind w:left="0" w:right="0" w:hanging="0"/>
              <w:jc w:val="right"/>
              <w:rPr/>
            </w:pPr>
            <w:r>
              <w:rPr/>
              <w:t>  ​</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Sales of goods (including related parties amounts of US$5,933, US$18,162</w:t>
            </w:r>
            <w:r>
              <w:rPr>
                <w:rFonts w:ascii="Times New Roman;Times;serif" w:hAnsi="Times New Roman;Times;serif"/>
                <w:sz w:val="10"/>
              </w:rPr>
              <w:t xml:space="preserve"> </w:t>
            </w:r>
            <w:r>
              <w:rPr>
                <w:rFonts w:ascii="Times New Roman;Times;serif" w:hAnsi="Times New Roman;Times;serif"/>
                <w:sz w:val="11"/>
              </w:rPr>
              <w:t>and US$3,432</w:t>
            </w:r>
            <w:r>
              <w:rPr>
                <w:rFonts w:ascii="Times New Roman;Times;serif" w:hAnsi="Times New Roman;Times;serif"/>
                <w:sz w:val="10"/>
              </w:rPr>
              <w:t xml:space="preserve"> </w:t>
            </w:r>
            <w:r>
              <w:rPr>
                <w:rFonts w:ascii="Times New Roman;Times;serif" w:hAnsi="Times New Roman;Times;serif"/>
                <w:sz w:val="11"/>
              </w:rPr>
              <w:t>for the years ended December 31, 2025, 2024 and 2023,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462,802</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891,061</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660,158</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Service revenues (including related parties amounts of US$29,045, US$24,358</w:t>
            </w:r>
            <w:r>
              <w:rPr>
                <w:rFonts w:ascii="Times New Roman;Times;serif" w:hAnsi="Times New Roman;Times;serif"/>
                <w:sz w:val="10"/>
              </w:rPr>
              <w:t xml:space="preserve"> </w:t>
            </w:r>
            <w:r>
              <w:rPr>
                <w:rFonts w:ascii="Times New Roman;Times;serif" w:hAnsi="Times New Roman;Times;serif"/>
                <w:sz w:val="11"/>
              </w:rPr>
              <w:t>and US$12,573</w:t>
            </w:r>
            <w:r>
              <w:rPr>
                <w:rFonts w:ascii="Times New Roman;Times;serif" w:hAnsi="Times New Roman;Times;serif"/>
                <w:sz w:val="10"/>
              </w:rPr>
              <w:t xml:space="preserve"> </w:t>
            </w:r>
            <w:r>
              <w:rPr>
                <w:rFonts w:ascii="Times New Roman;Times;serif" w:hAnsi="Times New Roman;Times;serif"/>
                <w:sz w:val="11"/>
              </w:rPr>
              <w:t>for the years ended December 31, 2025, 2024 and 2023, respectively)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56,296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33,288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18,850</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Total revenues</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519,098</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924,349</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679,008</w:t>
            </w:r>
          </w:p>
        </w:tc>
      </w:tr>
      <w:tr>
        <w:trPr/>
        <w:tc>
          <w:tcPr>
            <w:tcW w:w="633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Cost of revenues:</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60"/>
              <w:ind w:left="0" w:right="0" w:hanging="0"/>
              <w:jc w:val="right"/>
              <w:rPr/>
            </w:pPr>
            <w:r>
              <w:rPr/>
              <w:t>​</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Cost of goods sold (including related parties amounts of US$349,247, US$774,002</w:t>
            </w:r>
            <w:r>
              <w:rPr>
                <w:rFonts w:ascii="Times New Roman;Times;serif" w:hAnsi="Times New Roman;Times;serif"/>
                <w:sz w:val="10"/>
              </w:rPr>
              <w:t xml:space="preserve"> </w:t>
            </w:r>
            <w:r>
              <w:rPr>
                <w:rFonts w:ascii="Times New Roman;Times;serif" w:hAnsi="Times New Roman;Times;serif"/>
                <w:sz w:val="11"/>
              </w:rPr>
              <w:t>and US$549,893</w:t>
            </w:r>
            <w:r>
              <w:rPr>
                <w:rFonts w:ascii="Times New Roman;Times;serif" w:hAnsi="Times New Roman;Times;serif"/>
                <w:sz w:val="10"/>
              </w:rPr>
              <w:t xml:space="preserve"> </w:t>
            </w:r>
            <w:r>
              <w:rPr>
                <w:rFonts w:ascii="Times New Roman;Times;serif" w:hAnsi="Times New Roman;Times;serif"/>
                <w:sz w:val="11"/>
              </w:rPr>
              <w:t>for the years ended December 31, 2025, 2024 and 2023, respectively)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(430,031)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(867,061)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(564,741)</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Cost of services</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(43,857)</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(27,662)</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(12,086)</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Total cost of revenues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(473,888)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(894,723)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(576,827)</w:t>
            </w:r>
          </w:p>
        </w:tc>
      </w:tr>
      <w:tr>
        <w:trPr/>
        <w:tc>
          <w:tcPr>
            <w:tcW w:w="6331" w:type="dxa"/>
            <w:tcBorders/>
            <w:vAlign w:val="center"/>
          </w:tcPr>
          <w:p>
            <w:pPr>
              <w:pStyle w:val="TableContents"/>
              <w:pBdr/>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60"/>
              <w:ind w:left="0" w:right="0" w:hanging="0"/>
              <w:jc w:val="right"/>
              <w:rPr/>
            </w:pPr>
            <w:r>
              <w:rPr/>
              <w:t>​</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Gross profit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45,210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29,626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102,181</w:t>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60"/>
              <w:ind w:left="0" w:right="0" w:hanging="0"/>
              <w:jc w:val="right"/>
              <w:rPr/>
            </w:pPr>
            <w:r>
              <w:rPr/>
              <w:t>​</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Operating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Research and development expenses (including related parties amounts of US$63,011, US$107,669</w:t>
            </w:r>
            <w:r>
              <w:rPr>
                <w:rFonts w:ascii="Times New Roman;Times;serif" w:hAnsi="Times New Roman;Times;serif"/>
                <w:sz w:val="10"/>
              </w:rPr>
              <w:t xml:space="preserve"> </w:t>
            </w:r>
            <w:r>
              <w:rPr>
                <w:rFonts w:ascii="Times New Roman;Times;serif" w:hAnsi="Times New Roman;Times;serif"/>
                <w:sz w:val="11"/>
              </w:rPr>
              <w:t>and US$135,334</w:t>
            </w:r>
            <w:r>
              <w:rPr>
                <w:rFonts w:ascii="Times New Roman;Times;serif" w:hAnsi="Times New Roman;Times;serif"/>
                <w:sz w:val="10"/>
              </w:rPr>
              <w:t xml:space="preserve"> </w:t>
            </w:r>
            <w:r>
              <w:rPr>
                <w:rFonts w:ascii="Times New Roman;Times;serif" w:hAnsi="Times New Roman;Times;serif"/>
                <w:sz w:val="11"/>
              </w:rPr>
              <w:t>for the years ended December 31, 2025, 2024 and 2023,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(170,960)</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(274,801)</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(368,729)</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Selling and marketing expenses (including related parties amounts of US$20,125, US$52,636</w:t>
            </w:r>
            <w:r>
              <w:rPr>
                <w:rFonts w:ascii="Times New Roman;Times;serif" w:hAnsi="Times New Roman;Times;serif"/>
                <w:sz w:val="10"/>
              </w:rPr>
              <w:t xml:space="preserve"> </w:t>
            </w:r>
            <w:r>
              <w:rPr>
                <w:rFonts w:ascii="Times New Roman;Times;serif" w:hAnsi="Times New Roman;Times;serif"/>
                <w:sz w:val="11"/>
              </w:rPr>
              <w:t>and US$40,531</w:t>
            </w:r>
            <w:r>
              <w:rPr>
                <w:rFonts w:ascii="Times New Roman;Times;serif" w:hAnsi="Times New Roman;Times;serif"/>
                <w:sz w:val="10"/>
              </w:rPr>
              <w:t xml:space="preserve"> </w:t>
            </w:r>
            <w:r>
              <w:rPr>
                <w:rFonts w:ascii="Times New Roman;Times;serif" w:hAnsi="Times New Roman;Times;serif"/>
                <w:sz w:val="11"/>
              </w:rPr>
              <w:t>for the years ended December 31, 2025, 2024 and 2023, respectively)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(148,261)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(322,310)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(328,935)</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General and administrative expenses (including related parties amounts of US$4,227, US$10,873</w:t>
            </w:r>
            <w:r>
              <w:rPr>
                <w:rFonts w:ascii="Times New Roman;Times;serif" w:hAnsi="Times New Roman;Times;serif"/>
                <w:sz w:val="10"/>
              </w:rPr>
              <w:t xml:space="preserve"> </w:t>
            </w:r>
            <w:r>
              <w:rPr>
                <w:rFonts w:ascii="Times New Roman;Times;serif" w:hAnsi="Times New Roman;Times;serif"/>
                <w:sz w:val="11"/>
              </w:rPr>
              <w:t>and US$13,085</w:t>
            </w:r>
            <w:r>
              <w:rPr>
                <w:rFonts w:ascii="Times New Roman;Times;serif" w:hAnsi="Times New Roman;Times;serif"/>
                <w:sz w:val="10"/>
              </w:rPr>
              <w:t xml:space="preserve"> </w:t>
            </w:r>
            <w:r>
              <w:rPr>
                <w:rFonts w:ascii="Times New Roman;Times;serif" w:hAnsi="Times New Roman;Times;serif"/>
                <w:sz w:val="11"/>
              </w:rPr>
              <w:t>for the years ended December 31, 2025, 2024 and 2023,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(135,850)</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(227,475)</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(144,533)</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Other operating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1"/>
              </w:rPr>
            </w:pPr>
            <w:r>
              <w:rPr>
                <w:rFonts w:ascii="Times New Roman;Times;serif" w:hAnsi="Times New Roman;Times;serif"/>
                <w:sz w:val="11"/>
              </w:rPr>
              <w:t>2(w)</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38,463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8,638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4,077</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Impairment of long-lived assets</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
              <w:ind w:left="0" w:right="0" w:hanging="0"/>
              <w:jc w:val="center"/>
              <w:rPr>
                <w:rFonts w:ascii="Times New Roman;Times;serif" w:hAnsi="Times New Roman;Times;serif"/>
                <w:sz w:val="11"/>
              </w:rPr>
            </w:pPr>
            <w:r>
              <w:rPr>
                <w:rFonts w:ascii="Times New Roman;Times;serif" w:hAnsi="Times New Roman;Times;serif"/>
                <w:sz w:val="11"/>
              </w:rPr>
              <w:t>2(m)</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(51,800)</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6331"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Total operating expenses</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(468,408)</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(815,948)</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(838,120)</w:t>
            </w:r>
          </w:p>
        </w:tc>
      </w:tr>
      <w:tr>
        <w:trPr/>
        <w:tc>
          <w:tcPr>
            <w:tcW w:w="6331"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Operating loss</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(423,198)</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(786,322)</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(735,939)</w:t>
            </w:r>
          </w:p>
        </w:tc>
      </w:tr>
      <w:tr>
        <w:trPr/>
        <w:tc>
          <w:tcPr>
            <w:tcW w:w="6331"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Interest expenses (including related parties amounts of US$39,109, US$19,504</w:t>
            </w:r>
            <w:r>
              <w:rPr>
                <w:rFonts w:ascii="Times New Roman;Times;serif" w:hAnsi="Times New Roman;Times;serif"/>
                <w:sz w:val="10"/>
              </w:rPr>
              <w:t xml:space="preserve"> </w:t>
            </w:r>
            <w:r>
              <w:rPr>
                <w:rFonts w:ascii="Times New Roman;Times;serif" w:hAnsi="Times New Roman;Times;serif"/>
                <w:sz w:val="11"/>
              </w:rPr>
              <w:t>and nil</w:t>
            </w:r>
            <w:r>
              <w:rPr>
                <w:rFonts w:ascii="Times New Roman;Times;serif" w:hAnsi="Times New Roman;Times;serif"/>
                <w:sz w:val="10"/>
              </w:rPr>
              <w:t xml:space="preserve"> </w:t>
            </w:r>
            <w:r>
              <w:rPr>
                <w:rFonts w:ascii="Times New Roman;Times;serif" w:hAnsi="Times New Roman;Times;serif"/>
                <w:sz w:val="11"/>
              </w:rPr>
              <w:t>for the years ended December 31, 2025, 2024 and 2023, respectively)</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(63,338)</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(58,218)</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(10,200)</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Interest income (including related parties amounts of US$20,725, US$13,661</w:t>
            </w:r>
            <w:r>
              <w:rPr>
                <w:rFonts w:ascii="Times New Roman;Times;serif" w:hAnsi="Times New Roman;Times;serif"/>
                <w:sz w:val="10"/>
              </w:rPr>
              <w:t xml:space="preserve"> </w:t>
            </w:r>
            <w:r>
              <w:rPr>
                <w:rFonts w:ascii="Times New Roman;Times;serif" w:hAnsi="Times New Roman;Times;serif"/>
                <w:sz w:val="11"/>
              </w:rPr>
              <w:t>and US$122</w:t>
            </w:r>
            <w:r>
              <w:rPr>
                <w:rFonts w:ascii="Times New Roman;Times;serif" w:hAnsi="Times New Roman;Times;serif"/>
                <w:sz w:val="10"/>
              </w:rPr>
              <w:t xml:space="preserve"> </w:t>
            </w:r>
            <w:r>
              <w:rPr>
                <w:rFonts w:ascii="Times New Roman;Times;serif" w:hAnsi="Times New Roman;Times;serif"/>
                <w:sz w:val="11"/>
              </w:rPr>
              <w:t>for the years ended December 31, 2025, 2024 and 2023, respectively)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28,143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22,289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9,204</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Investment income (loss), net</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10,740</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14,232</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(1,162)</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Foreign currency exchange gains (losses),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25,709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(11,664)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42</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Changes in fair values of liabilities, excluding impact of instrument-specific credit risk</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(28,319)</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(285,423)</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(10,039)</w:t>
            </w:r>
          </w:p>
        </w:tc>
      </w:tr>
      <w:tr>
        <w:trPr/>
        <w:tc>
          <w:tcPr>
            <w:tcW w:w="6331"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Loss before income taxes and share of results of equity method investments</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(450,263)</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(1,105,106)</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(748,094)</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Income tax expense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1"/>
              </w:rPr>
            </w:pPr>
            <w:r>
              <w:rPr>
                <w:rFonts w:ascii="Times New Roman;Times;serif" w:hAnsi="Times New Roman;Times;serif"/>
                <w:sz w:val="11"/>
              </w:rPr>
              <w:t>20</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(15,946)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(2,012)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(1,113)</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Share of results of equity method investments</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1,987</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(171)</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(1,048)</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Net loss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(464,222)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(1,107,289)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(750,255)</w:t>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60"/>
              <w:ind w:left="0" w:right="0" w:hanging="0"/>
              <w:jc w:val="right"/>
              <w:rPr/>
            </w:pPr>
            <w:r>
              <w:rPr/>
              <w:t>​</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Less: Net loss attributable to noncontrolling interests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(2,364)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(8,254)</w:t>
            </w:r>
          </w:p>
        </w:tc>
      </w:tr>
      <w:tr>
        <w:trPr/>
        <w:tc>
          <w:tcPr>
            <w:tcW w:w="6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60"/>
              <w:ind w:left="0" w:right="0" w:hanging="0"/>
              <w:jc w:val="right"/>
              <w:rPr/>
            </w:pPr>
            <w:r>
              <w:rPr/>
              <w:t>​</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Net loss attributable to ordinary shareholders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(464,220)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(1,104,925)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(742,001)</w:t>
            </w:r>
          </w:p>
        </w:tc>
      </w:tr>
      <w:tr>
        <w:trPr/>
        <w:tc>
          <w:tcPr>
            <w:tcW w:w="6331" w:type="dxa"/>
            <w:tcBorders/>
            <w:vAlign w:val="center"/>
          </w:tcPr>
          <w:p>
            <w:pPr>
              <w:pStyle w:val="TableContents"/>
              <w:pBdr/>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60"/>
              <w:ind w:left="0" w:right="0" w:hanging="0"/>
              <w:jc w:val="right"/>
              <w:rPr/>
            </w:pPr>
            <w:r>
              <w:rPr/>
              <w:t>​</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Accretion of redeemable convertible preferred shares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(2,979)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(15,121)</w:t>
            </w:r>
          </w:p>
        </w:tc>
      </w:tr>
      <w:tr>
        <w:trPr/>
        <w:tc>
          <w:tcPr>
            <w:tcW w:w="6331" w:type="dxa"/>
            <w:tcBorders/>
            <w:vAlign w:val="center"/>
          </w:tcPr>
          <w:p>
            <w:pPr>
              <w:pStyle w:val="TableContents"/>
              <w:pBdr/>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60"/>
              <w:ind w:left="0" w:right="0" w:hanging="0"/>
              <w:jc w:val="right"/>
              <w:rPr/>
            </w:pPr>
            <w:r>
              <w:rPr/>
              <w:t>​</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Net loss available to ordinary shareholders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(464,220)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(1,107,904)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(757,122)</w:t>
            </w:r>
          </w:p>
        </w:tc>
      </w:tr>
      <w:tr>
        <w:trPr/>
        <w:tc>
          <w:tcPr>
            <w:tcW w:w="6331" w:type="dxa"/>
            <w:tcBorders/>
            <w:vAlign w:val="center"/>
          </w:tcPr>
          <w:p>
            <w:pPr>
              <w:pStyle w:val="TableContents"/>
              <w:pBdr/>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60"/>
              <w:ind w:left="0" w:right="0" w:hanging="0"/>
              <w:jc w:val="left"/>
              <w:rPr/>
            </w:pPr>
            <w:r>
              <w:rPr/>
              <w:t>​</w:t>
            </w:r>
          </w:p>
        </w:tc>
      </w:tr>
      <w:tr>
        <w:trPr/>
        <w:tc>
          <w:tcPr>
            <w:tcW w:w="6331"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10"/>
              </w:rPr>
            </w:pPr>
            <w:r>
              <w:rPr>
                <w:rFonts w:ascii="Times New Roman;Times;serif" w:hAnsi="Times New Roman;Times;serif"/>
                <w:b/>
                <w:sz w:val="11"/>
              </w:rPr>
              <w:t xml:space="preserve">Loss per ordinary share </w:t>
            </w:r>
            <w:r>
              <w:rPr>
                <w:rFonts w:ascii="Times New Roman;Times;serif" w:hAnsi="Times New Roman;Times;serif"/>
                <w:b/>
                <w:sz w:val="8"/>
              </w:rPr>
              <w:t>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60"/>
              <w:ind w:left="0" w:right="0" w:hanging="0"/>
              <w:jc w:val="left"/>
              <w:rPr/>
            </w:pPr>
            <w:r>
              <w:rPr/>
              <w:t>​</w:t>
            </w:r>
          </w:p>
        </w:tc>
      </w:tr>
      <w:tr>
        <w:trPr/>
        <w:tc>
          <w:tcPr>
            <w:tcW w:w="6331" w:type="dxa"/>
            <w:tcBorders/>
            <w:vAlign w:val="center"/>
          </w:tcPr>
          <w:p>
            <w:pPr>
              <w:pStyle w:val="TableContents"/>
              <w:pBdr/>
              <w:bidi w:val="0"/>
              <w:spacing w:lineRule="auto" w:line="307" w:before="0" w:after="1"/>
              <w:ind w:left="0" w:right="0" w:hanging="0"/>
              <w:jc w:val="left"/>
              <w:rPr/>
            </w:pPr>
            <w:r>
              <w:rPr/>
              <w:t>—</w:t>
            </w:r>
            <w:r>
              <w:rPr>
                <w:rFonts w:ascii="Times New Roman;Times;serif" w:hAnsi="Times New Roman;Times;serif"/>
                <w:sz w:val="11"/>
              </w:rPr>
              <w:t>Basic and diluted</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
              <w:ind w:left="0" w:right="0" w:hanging="0"/>
              <w:jc w:val="center"/>
              <w:rPr>
                <w:rFonts w:ascii="Times New Roman;Times;serif" w:hAnsi="Times New Roman;Times;serif"/>
                <w:sz w:val="11"/>
              </w:rPr>
            </w:pPr>
            <w:r>
              <w:rPr>
                <w:rFonts w:ascii="Times New Roman;Times;serif" w:hAnsi="Times New Roman;Times;serif"/>
                <w:sz w:val="11"/>
              </w:rPr>
              <w:t>21</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(0.72)</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(1.72)</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(1.60)</w:t>
            </w:r>
          </w:p>
        </w:tc>
      </w:tr>
      <w:tr>
        <w:trPr/>
        <w:tc>
          <w:tcPr>
            <w:tcW w:w="6331"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10"/>
              </w:rPr>
            </w:pPr>
            <w:r>
              <w:rPr>
                <w:rFonts w:ascii="Times New Roman;Times;serif" w:hAnsi="Times New Roman;Times;serif"/>
                <w:b/>
                <w:sz w:val="11"/>
              </w:rPr>
              <w:t xml:space="preserve">Weighted average number of ordinary shares outstanding used in computing net loss per ordinary share </w:t>
            </w:r>
            <w:r>
              <w:rPr>
                <w:rFonts w:ascii="Times New Roman;Times;serif" w:hAnsi="Times New Roman;Times;serif"/>
                <w:b/>
                <w:sz w:val="8"/>
              </w:rPr>
              <w:t>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60"/>
              <w:ind w:left="0" w:right="0" w:hanging="0"/>
              <w:jc w:val="left"/>
              <w:rPr/>
            </w:pPr>
            <w:r>
              <w:rPr/>
              <w:t>​</w:t>
            </w:r>
          </w:p>
        </w:tc>
      </w:tr>
      <w:tr>
        <w:trPr/>
        <w:tc>
          <w:tcPr>
            <w:tcW w:w="6331" w:type="dxa"/>
            <w:tcBorders/>
            <w:vAlign w:val="center"/>
          </w:tcPr>
          <w:p>
            <w:pPr>
              <w:pStyle w:val="TableContents"/>
              <w:pBdr/>
              <w:bidi w:val="0"/>
              <w:spacing w:lineRule="auto" w:line="307" w:before="0" w:after="1"/>
              <w:ind w:left="0" w:right="0" w:hanging="0"/>
              <w:jc w:val="left"/>
              <w:rPr/>
            </w:pPr>
            <w:r>
              <w:rPr/>
              <w:t>—</w:t>
            </w:r>
            <w:r>
              <w:rPr>
                <w:rFonts w:ascii="Times New Roman;Times;serif" w:hAnsi="Times New Roman;Times;serif"/>
                <w:sz w:val="11"/>
              </w:rPr>
              <w:t xml:space="preserve">Basic and diluted </w:t>
            </w:r>
          </w:p>
        </w:tc>
        <w:tc>
          <w:tcPr>
            <w:tcW w:w="346" w:type="dxa"/>
            <w:tcBorders/>
            <w:vAlign w:val="center"/>
          </w:tcPr>
          <w:p>
            <w:pPr>
              <w:pStyle w:val="TableContents"/>
              <w:bidi w:val="0"/>
              <w:spacing w:lineRule="auto" w:line="307" w:before="0" w:after="160"/>
              <w:ind w:left="0" w:right="0" w:hanging="0"/>
              <w:jc w:val="left"/>
              <w:rPr/>
            </w:pPr>
            <w:r>
              <w:rPr/>
              <w:t>​</w:t>
            </w:r>
          </w:p>
        </w:tc>
        <w:tc>
          <w:tcPr>
            <w:tcW w:w="3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648,535,169</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645,227,356</w:t>
            </w:r>
          </w:p>
        </w:tc>
        <w:tc>
          <w:tcPr>
            <w:tcW w:w="346" w:type="dxa"/>
            <w:tcBorders/>
            <w:vAlign w:val="center"/>
          </w:tcPr>
          <w:p>
            <w:pPr>
              <w:pStyle w:val="TableContents"/>
              <w:bidi w:val="0"/>
              <w:spacing w:lineRule="auto" w:line="307" w:before="0" w:after="160"/>
              <w:ind w:left="0" w:right="0" w:hanging="0"/>
              <w:jc w:val="lef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474,621,603</w:t>
            </w:r>
          </w:p>
        </w:tc>
      </w:tr>
      <w:tr>
        <w:trPr/>
        <w:tc>
          <w:tcPr>
            <w:tcW w:w="633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52" w:type="dxa"/>
            <w:tcBorders/>
            <w:shd w:fill="CCEEFF" w:val="clear"/>
            <w:vAlign w:val="center"/>
          </w:tcPr>
          <w:p>
            <w:pPr>
              <w:pStyle w:val="TableContents"/>
              <w:bidi w:val="0"/>
              <w:spacing w:lineRule="auto" w:line="307" w:before="0" w:after="160"/>
              <w:ind w:left="0" w:right="0" w:hanging="0"/>
              <w:jc w:val="lef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Net loss</w:t>
            </w:r>
          </w:p>
        </w:tc>
        <w:tc>
          <w:tcPr>
            <w:tcW w:w="346" w:type="dxa"/>
            <w:tcBorders/>
            <w:vAlign w:val="center"/>
          </w:tcPr>
          <w:p>
            <w:pPr>
              <w:pStyle w:val="TableContents"/>
              <w:bidi w:val="0"/>
              <w:spacing w:lineRule="auto" w:line="307" w:before="0" w:after="160"/>
              <w:ind w:left="0" w:right="0" w:hanging="0"/>
              <w:jc w:val="center"/>
              <w:rPr/>
            </w:pPr>
            <w:r>
              <w:rPr/>
              <w:t>​</w:t>
            </w:r>
          </w:p>
        </w:tc>
        <w:tc>
          <w:tcPr>
            <w:tcW w:w="32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(464,222)</w:t>
            </w:r>
          </w:p>
        </w:tc>
        <w:tc>
          <w:tcPr>
            <w:tcW w:w="346" w:type="dxa"/>
            <w:tcBorders/>
            <w:vAlign w:val="center"/>
          </w:tcPr>
          <w:p>
            <w:pPr>
              <w:pStyle w:val="TableContents"/>
              <w:bidi w:val="0"/>
              <w:spacing w:lineRule="auto" w:line="307" w:before="0" w:after="160"/>
              <w:ind w:left="0" w:right="0" w:hanging="0"/>
              <w:jc w:val="right"/>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(1,107,289)</w:t>
            </w:r>
          </w:p>
        </w:tc>
        <w:tc>
          <w:tcPr>
            <w:tcW w:w="346" w:type="dxa"/>
            <w:tcBorders/>
            <w:vAlign w:val="center"/>
          </w:tcPr>
          <w:p>
            <w:pPr>
              <w:pStyle w:val="TableContents"/>
              <w:bidi w:val="0"/>
              <w:spacing w:lineRule="auto" w:line="307" w:before="0" w:after="160"/>
              <w:ind w:left="0" w:right="0" w:hanging="0"/>
              <w:jc w:val="right"/>
              <w:rPr/>
            </w:pPr>
            <w:r>
              <w:rPr/>
              <w:t>​</w:t>
            </w:r>
          </w:p>
        </w:tc>
        <w:tc>
          <w:tcPr>
            <w:tcW w:w="752" w:type="dxa"/>
            <w:tcBorders/>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(750,255)</w:t>
            </w:r>
          </w:p>
        </w:tc>
      </w:tr>
      <w:tr>
        <w:trPr/>
        <w:tc>
          <w:tcPr>
            <w:tcW w:w="633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32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5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Other comprehensive (loss) income:</w:t>
            </w:r>
          </w:p>
        </w:tc>
        <w:tc>
          <w:tcPr>
            <w:tcW w:w="346" w:type="dxa"/>
            <w:tcBorders/>
            <w:vAlign w:val="center"/>
          </w:tcPr>
          <w:p>
            <w:pPr>
              <w:pStyle w:val="TableContents"/>
              <w:bidi w:val="0"/>
              <w:spacing w:lineRule="auto" w:line="307" w:before="0" w:after="160"/>
              <w:ind w:left="0" w:right="0" w:hanging="0"/>
              <w:jc w:val="center"/>
              <w:rPr/>
            </w:pPr>
            <w:r>
              <w:rPr/>
              <w:t> ​</w:t>
            </w:r>
          </w:p>
        </w:tc>
        <w:tc>
          <w:tcPr>
            <w:tcW w:w="326" w:type="dxa"/>
            <w:tcBorders/>
            <w:vAlign w:val="center"/>
          </w:tcPr>
          <w:p>
            <w:pPr>
              <w:pStyle w:val="TableContents"/>
              <w:bidi w:val="0"/>
              <w:spacing w:lineRule="auto" w:line="307" w:before="0" w:after="160"/>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righ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right"/>
              <w:rPr/>
            </w:pPr>
            <w:r>
              <w:rPr/>
              <w:t>​</w:t>
            </w:r>
          </w:p>
        </w:tc>
        <w:tc>
          <w:tcPr>
            <w:tcW w:w="752" w:type="dxa"/>
            <w:tcBorders/>
            <w:vAlign w:val="center"/>
          </w:tcPr>
          <w:p>
            <w:pPr>
              <w:pStyle w:val="TableContents"/>
              <w:bidi w:val="0"/>
              <w:spacing w:lineRule="auto" w:line="307" w:before="0" w:after="160"/>
              <w:ind w:left="0" w:right="0" w:hanging="0"/>
              <w:jc w:val="right"/>
              <w:rPr/>
            </w:pPr>
            <w:r>
              <w:rPr/>
              <w:t>​</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Fair value changes of liabilities due to instrument-specific credit risk, net of nil</w:t>
            </w:r>
            <w:r>
              <w:rPr>
                <w:rFonts w:ascii="Times New Roman;Times;serif" w:hAnsi="Times New Roman;Times;serif"/>
                <w:sz w:val="10"/>
              </w:rPr>
              <w:t xml:space="preserve"> </w:t>
            </w:r>
            <w:r>
              <w:rPr>
                <w:rFonts w:ascii="Times New Roman;Times;serif" w:hAnsi="Times New Roman;Times;serif"/>
                <w:sz w:val="11"/>
              </w:rPr>
              <w:t>income taxes</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32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13,875</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13,547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5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(8,650)</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sz w:val="10"/>
              </w:rPr>
            </w:pPr>
            <w:r>
              <w:rPr>
                <w:rFonts w:ascii="Times New Roman;Times;serif" w:hAnsi="Times New Roman;Times;serif"/>
                <w:sz w:val="11"/>
              </w:rPr>
              <w:t>Foreign currency translation adjustment, net of nil</w:t>
            </w:r>
            <w:r>
              <w:rPr>
                <w:rFonts w:ascii="Times New Roman;Times;serif" w:hAnsi="Times New Roman;Times;serif"/>
                <w:sz w:val="10"/>
              </w:rPr>
              <w:t xml:space="preserve"> </w:t>
            </w:r>
            <w:r>
              <w:rPr>
                <w:rFonts w:ascii="Times New Roman;Times;serif" w:hAnsi="Times New Roman;Times;serif"/>
                <w:sz w:val="11"/>
              </w:rPr>
              <w:t>income taxes</w:t>
            </w:r>
          </w:p>
        </w:tc>
        <w:tc>
          <w:tcPr>
            <w:tcW w:w="346" w:type="dxa"/>
            <w:tcBorders/>
            <w:vAlign w:val="center"/>
          </w:tcPr>
          <w:p>
            <w:pPr>
              <w:pStyle w:val="TableContents"/>
              <w:bidi w:val="0"/>
              <w:spacing w:lineRule="auto" w:line="307" w:before="0" w:after="160"/>
              <w:ind w:left="0" w:right="0" w:hanging="0"/>
              <w:jc w:val="center"/>
              <w:rPr/>
            </w:pPr>
            <w:r>
              <w:rPr/>
              <w:t> ​</w:t>
            </w:r>
          </w:p>
        </w:tc>
        <w:tc>
          <w:tcPr>
            <w:tcW w:w="326" w:type="dxa"/>
            <w:tcBorders/>
            <w:vAlign w:val="center"/>
          </w:tcPr>
          <w:p>
            <w:pPr>
              <w:pStyle w:val="TableContents"/>
              <w:bidi w:val="0"/>
              <w:spacing w:lineRule="auto" w:line="307" w:before="0" w:after="160"/>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(29,222)</w:t>
            </w:r>
          </w:p>
        </w:tc>
        <w:tc>
          <w:tcPr>
            <w:tcW w:w="346" w:type="dxa"/>
            <w:tcBorders/>
            <w:vAlign w:val="center"/>
          </w:tcPr>
          <w:p>
            <w:pPr>
              <w:pStyle w:val="TableContents"/>
              <w:bidi w:val="0"/>
              <w:spacing w:lineRule="auto" w:line="307" w:before="0" w:after="160"/>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16,351</w:t>
            </w:r>
          </w:p>
        </w:tc>
        <w:tc>
          <w:tcPr>
            <w:tcW w:w="346" w:type="dxa"/>
            <w:tcBorders/>
            <w:vAlign w:val="center"/>
          </w:tcPr>
          <w:p>
            <w:pPr>
              <w:pStyle w:val="TableContents"/>
              <w:bidi w:val="0"/>
              <w:spacing w:lineRule="auto" w:line="307" w:before="0" w:after="160"/>
              <w:ind w:left="0" w:right="0" w:hanging="0"/>
              <w:jc w:val="right"/>
              <w:rPr/>
            </w:pPr>
            <w:r>
              <w:rPr/>
              <w:t>​</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16,210</w:t>
            </w:r>
          </w:p>
        </w:tc>
      </w:tr>
      <w:tr>
        <w:trPr/>
        <w:tc>
          <w:tcPr>
            <w:tcW w:w="6331"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center"/>
              <w:rPr/>
            </w:pPr>
            <w:r>
              <w:rPr/>
              <w:t> ​</w:t>
            </w:r>
          </w:p>
        </w:tc>
        <w:tc>
          <w:tcPr>
            <w:tcW w:w="326" w:type="dxa"/>
            <w:tcBorders/>
            <w:shd w:fill="CCEEFF" w:val="clear"/>
            <w:vAlign w:val="center"/>
          </w:tcPr>
          <w:p>
            <w:pPr>
              <w:pStyle w:val="TableContents"/>
              <w:bidi w:val="0"/>
              <w:spacing w:lineRule="auto" w:line="307" w:before="0" w:after="160"/>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5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 xml:space="preserve">Total other comprehensive (loss) income </w:t>
            </w:r>
          </w:p>
        </w:tc>
        <w:tc>
          <w:tcPr>
            <w:tcW w:w="346" w:type="dxa"/>
            <w:tcBorders/>
            <w:vAlign w:val="center"/>
          </w:tcPr>
          <w:p>
            <w:pPr>
              <w:pStyle w:val="TableContents"/>
              <w:bidi w:val="0"/>
              <w:spacing w:lineRule="auto" w:line="307" w:before="0" w:after="160"/>
              <w:ind w:left="0" w:right="0" w:hanging="0"/>
              <w:jc w:val="center"/>
              <w:rPr/>
            </w:pPr>
            <w:r>
              <w:rPr/>
              <w:t> ​</w:t>
            </w:r>
          </w:p>
        </w:tc>
        <w:tc>
          <w:tcPr>
            <w:tcW w:w="326" w:type="dxa"/>
            <w:tcBorders/>
            <w:vAlign w:val="center"/>
          </w:tcPr>
          <w:p>
            <w:pPr>
              <w:pStyle w:val="TableContents"/>
              <w:bidi w:val="0"/>
              <w:spacing w:lineRule="auto" w:line="307" w:before="0" w:after="160"/>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(15,347)</w:t>
            </w:r>
          </w:p>
        </w:tc>
        <w:tc>
          <w:tcPr>
            <w:tcW w:w="346" w:type="dxa"/>
            <w:tcBorders/>
            <w:vAlign w:val="center"/>
          </w:tcPr>
          <w:p>
            <w:pPr>
              <w:pStyle w:val="TableContents"/>
              <w:bidi w:val="0"/>
              <w:spacing w:lineRule="auto" w:line="307" w:before="0" w:after="160"/>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29,898</w:t>
            </w:r>
          </w:p>
        </w:tc>
        <w:tc>
          <w:tcPr>
            <w:tcW w:w="346" w:type="dxa"/>
            <w:tcBorders/>
            <w:vAlign w:val="center"/>
          </w:tcPr>
          <w:p>
            <w:pPr>
              <w:pStyle w:val="TableContents"/>
              <w:bidi w:val="0"/>
              <w:spacing w:lineRule="auto" w:line="307" w:before="0" w:after="160"/>
              <w:ind w:left="0" w:right="0" w:hanging="0"/>
              <w:jc w:val="right"/>
              <w:rPr/>
            </w:pPr>
            <w:r>
              <w:rPr/>
              <w:t>​</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7,560</w:t>
            </w:r>
          </w:p>
        </w:tc>
      </w:tr>
      <w:tr>
        <w:trPr/>
        <w:tc>
          <w:tcPr>
            <w:tcW w:w="6331" w:type="dxa"/>
            <w:tcBorders/>
            <w:shd w:fill="CCEEFF" w:val="clear"/>
            <w:vAlign w:val="center"/>
          </w:tcPr>
          <w:p>
            <w:pPr>
              <w:pStyle w:val="TableContents"/>
              <w:pBdr/>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center"/>
              <w:rPr/>
            </w:pPr>
            <w:r>
              <w:rPr/>
              <w:t> ​</w:t>
            </w:r>
          </w:p>
        </w:tc>
        <w:tc>
          <w:tcPr>
            <w:tcW w:w="326" w:type="dxa"/>
            <w:tcBorders/>
            <w:shd w:fill="CCEEFF" w:val="clear"/>
            <w:vAlign w:val="center"/>
          </w:tcPr>
          <w:p>
            <w:pPr>
              <w:pStyle w:val="TableContents"/>
              <w:bidi w:val="0"/>
              <w:spacing w:lineRule="auto" w:line="307" w:before="0" w:after="160"/>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0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52"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Total comprehensive loss</w:t>
            </w:r>
          </w:p>
        </w:tc>
        <w:tc>
          <w:tcPr>
            <w:tcW w:w="346" w:type="dxa"/>
            <w:tcBorders/>
            <w:vAlign w:val="center"/>
          </w:tcPr>
          <w:p>
            <w:pPr>
              <w:pStyle w:val="TableContents"/>
              <w:bidi w:val="0"/>
              <w:spacing w:lineRule="auto" w:line="307" w:before="0" w:after="160"/>
              <w:ind w:left="0" w:right="0" w:hanging="0"/>
              <w:jc w:val="center"/>
              <w:rPr/>
            </w:pPr>
            <w:r>
              <w:rPr/>
              <w:t> ​</w:t>
            </w:r>
          </w:p>
        </w:tc>
        <w:tc>
          <w:tcPr>
            <w:tcW w:w="326" w:type="dxa"/>
            <w:tcBorders/>
            <w:vAlign w:val="center"/>
          </w:tcPr>
          <w:p>
            <w:pPr>
              <w:pStyle w:val="TableContents"/>
              <w:bidi w:val="0"/>
              <w:spacing w:lineRule="auto" w:line="307" w:before="0" w:after="160"/>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(479,569)</w:t>
            </w:r>
          </w:p>
        </w:tc>
        <w:tc>
          <w:tcPr>
            <w:tcW w:w="346" w:type="dxa"/>
            <w:tcBorders/>
            <w:vAlign w:val="center"/>
          </w:tcPr>
          <w:p>
            <w:pPr>
              <w:pStyle w:val="TableContents"/>
              <w:bidi w:val="0"/>
              <w:spacing w:lineRule="auto" w:line="307" w:before="0" w:after="160"/>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(1,077,391)</w:t>
            </w:r>
          </w:p>
        </w:tc>
        <w:tc>
          <w:tcPr>
            <w:tcW w:w="346" w:type="dxa"/>
            <w:tcBorders/>
            <w:vAlign w:val="center"/>
          </w:tcPr>
          <w:p>
            <w:pPr>
              <w:pStyle w:val="TableContents"/>
              <w:bidi w:val="0"/>
              <w:spacing w:lineRule="auto" w:line="307" w:before="0" w:after="160"/>
              <w:ind w:left="0" w:right="0" w:hanging="0"/>
              <w:jc w:val="right"/>
              <w:rPr/>
            </w:pPr>
            <w:r>
              <w:rPr/>
              <w:t>​</w:t>
            </w:r>
          </w:p>
        </w:tc>
        <w:tc>
          <w:tcPr>
            <w:tcW w:w="75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(742,695)</w:t>
            </w:r>
          </w:p>
        </w:tc>
      </w:tr>
      <w:tr>
        <w:trPr/>
        <w:tc>
          <w:tcPr>
            <w:tcW w:w="63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1"/>
              </w:rPr>
            </w:pPr>
            <w:r>
              <w:rPr>
                <w:rFonts w:ascii="Times New Roman;Times;serif" w:hAnsi="Times New Roman;Times;serif"/>
                <w:sz w:val="11"/>
              </w:rPr>
              <w:t>Less: Total comprehensive loss attributable to noncontrolling interests</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32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(2,364)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5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1"/>
              </w:rPr>
            </w:pPr>
            <w:r>
              <w:rPr>
                <w:rFonts w:ascii="Times New Roman;Times;serif" w:hAnsi="Times New Roman;Times;serif"/>
                <w:sz w:val="11"/>
              </w:rPr>
              <w:t>(8,254)</w:t>
            </w:r>
          </w:p>
        </w:tc>
      </w:tr>
      <w:tr>
        <w:trPr/>
        <w:tc>
          <w:tcPr>
            <w:tcW w:w="633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1"/>
              </w:rPr>
            </w:pPr>
            <w:r>
              <w:rPr>
                <w:rFonts w:ascii="Times New Roman;Times;serif" w:hAnsi="Times New Roman;Times;serif"/>
                <w:b/>
                <w:sz w:val="11"/>
              </w:rPr>
              <w:t>Total comprehensive loss attributable to ordinary shareholders</w:t>
            </w:r>
          </w:p>
        </w:tc>
        <w:tc>
          <w:tcPr>
            <w:tcW w:w="346" w:type="dxa"/>
            <w:tcBorders/>
            <w:vAlign w:val="center"/>
          </w:tcPr>
          <w:p>
            <w:pPr>
              <w:pStyle w:val="TableContents"/>
              <w:bidi w:val="0"/>
              <w:spacing w:lineRule="auto" w:line="307" w:before="0" w:after="160"/>
              <w:ind w:left="0" w:right="0" w:hanging="0"/>
              <w:jc w:val="center"/>
              <w:rPr/>
            </w:pPr>
            <w:r>
              <w:rPr/>
              <w:t>​</w:t>
            </w:r>
          </w:p>
        </w:tc>
        <w:tc>
          <w:tcPr>
            <w:tcW w:w="32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(479,567)</w:t>
            </w:r>
          </w:p>
        </w:tc>
        <w:tc>
          <w:tcPr>
            <w:tcW w:w="346" w:type="dxa"/>
            <w:tcBorders/>
            <w:vAlign w:val="center"/>
          </w:tcPr>
          <w:p>
            <w:pPr>
              <w:pStyle w:val="TableContents"/>
              <w:bidi w:val="0"/>
              <w:spacing w:lineRule="auto" w:line="307" w:before="0" w:after="160"/>
              <w:ind w:left="0" w:right="0" w:hanging="0"/>
              <w:jc w:val="right"/>
              <w:rPr/>
            </w:pPr>
            <w:r>
              <w:rPr/>
              <w:t>​</w:t>
            </w:r>
          </w:p>
        </w:tc>
        <w:tc>
          <w:tcPr>
            <w:tcW w:w="70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(1,075,027)</w:t>
            </w:r>
          </w:p>
        </w:tc>
        <w:tc>
          <w:tcPr>
            <w:tcW w:w="346" w:type="dxa"/>
            <w:tcBorders/>
            <w:vAlign w:val="center"/>
          </w:tcPr>
          <w:p>
            <w:pPr>
              <w:pStyle w:val="TableContents"/>
              <w:bidi w:val="0"/>
              <w:spacing w:lineRule="auto" w:line="307" w:before="0" w:after="160"/>
              <w:ind w:left="0" w:right="0" w:hanging="0"/>
              <w:jc w:val="right"/>
              <w:rPr/>
            </w:pPr>
            <w:r>
              <w:rPr/>
              <w:t>​</w:t>
            </w:r>
          </w:p>
        </w:tc>
        <w:tc>
          <w:tcPr>
            <w:tcW w:w="752"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1"/>
              </w:rPr>
            </w:pPr>
            <w:r>
              <w:rPr>
                <w:rFonts w:ascii="Times New Roman;Times;serif" w:hAnsi="Times New Roman;Times;serif"/>
                <w:b/>
                <w:sz w:val="11"/>
              </w:rPr>
              <w:t>(734,441)</w:t>
            </w:r>
          </w:p>
        </w:tc>
      </w:tr>
    </w:tbl>
    <w:p>
      <w:pPr>
        <w:pStyle w:val="TextBody"/>
        <w:bidi w:val="0"/>
        <w:spacing w:lineRule="auto" w:line="240" w:before="0" w:after="160"/>
        <w:ind w:left="0" w:right="0" w:hanging="0"/>
        <w:jc w:val="both"/>
        <w:rPr>
          <w:rFonts w:ascii="Times New Roman;Times;serif" w:hAnsi="Times New Roman;Times;serif"/>
          <w:sz w:val="22"/>
        </w:rPr>
      </w:pPr>
      <w:r>
        <w:rPr>
          <w:rFonts w:ascii="Times New Roman;Times;serif" w:hAnsi="Times New Roman;Times;serif"/>
          <w:sz w:val="15"/>
        </w:rPr>
        <w:t>1</w:t>
      </w:r>
      <w:r>
        <w:rPr>
          <w:rFonts w:ascii="Times New Roman;Times;serif" w:hAnsi="Times New Roman;Times;serif"/>
          <w:sz w:val="22"/>
        </w:rPr>
        <w:t xml:space="preserve"> </w:t>
      </w:r>
      <w:r>
        <w:rPr>
          <w:rFonts w:ascii="Times New Roman;Times;serif" w:hAnsi="Times New Roman;Times;serif"/>
          <w:sz w:val="20"/>
        </w:rPr>
        <w:t>Shares outstanding for all periods reflect the adjustment for Recapitalization.</w:t>
      </w:r>
    </w:p>
    <w:p>
      <w:pPr>
        <w:pStyle w:val="TextBody"/>
        <w:bidi w:val="0"/>
        <w:spacing w:lineRule="auto" w:line="285" w:before="0" w:after="20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lineRule="auto" w:line="307" w:before="0" w:after="200"/>
        <w:ind w:left="0" w:right="0" w:hanging="0"/>
        <w:jc w:val="center"/>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454" w:name="_aee09b11_ee26_4fc8_94c6_d7e6f16bbcd2"/>
      <w:bookmarkEnd w:id="454"/>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bookmarkStart w:id="455" w:name="Equity"/>
      <w:bookmarkEnd w:id="455"/>
      <w:r>
        <w:rPr>
          <w:rFonts w:ascii="Times New Roman;Times;serif" w:hAnsi="Times New Roman;Times;serif"/>
          <w:b/>
          <w:sz w:val="20"/>
        </w:rPr>
        <w:t>CONSOLIDATED STATEMENTS OF CHANGES IN SHAREHOLDERS’ DEFICIT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center"/>
        <w:rPr/>
      </w:pPr>
      <w:r>
        <w:rPr/>
        <w:t>​</w:t>
      </w:r>
    </w:p>
    <w:p>
      <w:pPr>
        <w:pStyle w:val="Normal"/>
        <w:bidi w:val="0"/>
        <w:spacing w:before="0" w:after="0"/>
        <w:jc w:val="left"/>
        <w:rPr>
          <w:sz w:val="4"/>
          <w:szCs w:val="4"/>
        </w:rPr>
      </w:pPr>
      <w:r>
        <w:rPr>
          <w:sz w:val="4"/>
          <w:szCs w:val="4"/>
        </w:rPr>
      </w:r>
      <w:bookmarkStart w:id="456" w:name="Tc_xLbhOI-HbEiLeZWaOrRloQ_22_0"/>
      <w:bookmarkStart w:id="457" w:name="Tc_Dj638DTFHUeIuWY6EKXUJw_20_18"/>
      <w:bookmarkStart w:id="458" w:name="Tc_6CyLclmHf0uD6EdxKuhPCw_20_14"/>
      <w:bookmarkStart w:id="459" w:name="Tc_q-jUiKUKq02U94o8H6B1SQ_20_12"/>
      <w:bookmarkStart w:id="460" w:name="Tc_DUEn4SPkOk-08smzTrGgEg_20_6"/>
      <w:bookmarkStart w:id="461" w:name="Tc_c8JuzY-ShUmip4tuklSs1Q_20_2"/>
      <w:bookmarkStart w:id="462" w:name="Tc_5wEBlXonGkmlJXWb21-89w_20_0"/>
      <w:bookmarkStart w:id="463" w:name="Tc_1IkdcjfqKEeRBnpUeNV0fg_19_16"/>
      <w:bookmarkStart w:id="464" w:name="Tc_ZWA6Gk-ic0WthEXkCl06tQ_19_14"/>
      <w:bookmarkStart w:id="465" w:name="Tc_q8yvepUnhkWGyuJhvmN5OA_19_12"/>
      <w:bookmarkStart w:id="466" w:name="Tc_CXVFK9dLrEKu_xH_sw4vXg_19_10"/>
      <w:bookmarkStart w:id="467" w:name="Tc_xypKXfZCi0WUi8sREufB_Q_19_8"/>
      <w:bookmarkStart w:id="468" w:name="Tc_tQo0d_11nUaL5-TPMapghg_19_6"/>
      <w:bookmarkStart w:id="469" w:name="Tc_U-v337ADX0OHTkKB_HKSNw_19_4"/>
      <w:bookmarkStart w:id="470" w:name="Tc_V5gclV9F2U-tQA3Q1rFKkw_19_0"/>
      <w:bookmarkStart w:id="471" w:name="Tc_yX_X0PUEq02itrCDZ274dA_18_18"/>
      <w:bookmarkStart w:id="472" w:name="Tc_cW72cRyHEEWL1rPE6EPqgg_18_14"/>
      <w:bookmarkStart w:id="473" w:name="Tc_ZR_Yy5hKN0afBoH0RUy4pQ_18_12"/>
      <w:bookmarkStart w:id="474" w:name="Tc_du9Zy3waek65yR_AYCzW8A_18_8"/>
      <w:bookmarkStart w:id="475" w:name="Tc_MevO1Ge-eECQmKwhARMaUw_18_6"/>
      <w:bookmarkStart w:id="476" w:name="Tc_SnJbWCO5PECiwv1_a9pO1w_18_4"/>
      <w:bookmarkStart w:id="477" w:name="Tc_Tf2k0rPgpEml7KG8V7KCiA_18_2"/>
      <w:bookmarkStart w:id="478" w:name="Tc_DiNhsIlNf0qYMHNQarXGEA_18_0"/>
      <w:bookmarkStart w:id="479" w:name="Tc_RdqC3XxtZUOwsmNcLJ8W9Q_17_18"/>
      <w:bookmarkStart w:id="480" w:name="Tc_jWK-R88VqUOQ8qAIiMA9Gg_17_14"/>
      <w:bookmarkStart w:id="481" w:name="Tc_CWsyQfSJOkqXtVQJ5jwbBg_17_12"/>
      <w:bookmarkStart w:id="482" w:name="Tc_r1jyA9wop0-JNSZG0Q3ZPg_17_6"/>
      <w:bookmarkStart w:id="483" w:name="Tc_AB3toBKF4kC1aJEEBMbBVQ_17_2"/>
      <w:bookmarkStart w:id="484" w:name="Tc_rsFyBULeF0qhX6YuNo2ERg_17_0"/>
      <w:bookmarkStart w:id="485" w:name="Tc_Fba-7iunuUKRwid4_z-eNw_16_18"/>
      <w:bookmarkStart w:id="486" w:name="Tc_lvlTNf9nj0eYLgtaeIyDBg_16_14"/>
      <w:bookmarkStart w:id="487" w:name="Tc_1Fn-oI2KRk-xQMTPLoIixQ_16_12"/>
      <w:bookmarkStart w:id="488" w:name="Tc_fEJzC3RfdU-ohn8tsUfTXw_16_8"/>
      <w:bookmarkStart w:id="489" w:name="Tc_HgbbEkuf-0GaWbfGb0rpEw_16_7"/>
      <w:bookmarkStart w:id="490" w:name="Tc_qOXS-toVS0WEz3gHCiIm0w_16_6"/>
      <w:bookmarkStart w:id="491" w:name="Tc_AmkJebLdeUSDBhyS4BMjuQ_16_2"/>
      <w:bookmarkStart w:id="492" w:name="Tc_2dqrXZbYgU6bIW9lOpzBeQ_16_0"/>
      <w:bookmarkStart w:id="493" w:name="Tc_PUEM-XhGDEGP-mryUNp8Ng_15_18"/>
      <w:bookmarkStart w:id="494" w:name="Tc_ALsOiIJnmUaoUmmihFU5_Q_15_14"/>
      <w:bookmarkStart w:id="495" w:name="Tc_GEWM2PtUwUGYOAo47gCscA_15_12"/>
      <w:bookmarkStart w:id="496" w:name="Tc_9Yrqr03KIUOPXjfdMwZLMA_15_8"/>
      <w:bookmarkStart w:id="497" w:name="Tc_Ec2fhXeHsE2Wp3Zyb365pQ_15_7"/>
      <w:bookmarkStart w:id="498" w:name="Tc_Gz-qr3VXOEG-Dqvbcwjq2Q_15_6"/>
      <w:bookmarkStart w:id="499" w:name="Tc_ndo7tMteYkqman9q56xp1w_15_2"/>
      <w:bookmarkStart w:id="500" w:name="Tc_18-4D-zdGES1EnBu69I3Ew_15_0"/>
      <w:bookmarkStart w:id="501" w:name="Tc_62lJGzv3OEyLREzwzGFYOQ_14_18"/>
      <w:bookmarkStart w:id="502" w:name="Tc_9nklxjpjiEado7vAV5yNCQ_14_14"/>
      <w:bookmarkStart w:id="503" w:name="Tc_gNNP7f0aGE2B3OwLaNmDxg_14_12"/>
      <w:bookmarkStart w:id="504" w:name="Tc_Bmf9ozjJxESdV46NQ_mVKg_14_8"/>
      <w:bookmarkStart w:id="505" w:name="Tc_Be1Nb6jliEewnXhiCmQiXw_14_6"/>
      <w:bookmarkStart w:id="506" w:name="Tc_tVhe8R-xaE-efXNsW9Eflw_14_4"/>
      <w:bookmarkStart w:id="507" w:name="Tc_mT_CJq1aXEGj95EExqxTfg_14_2"/>
      <w:bookmarkStart w:id="508" w:name="Tc_VB46TvWj_ka2IA8GAsen4A_14_0"/>
      <w:bookmarkStart w:id="509" w:name="Tc_kXKhFwdbWkm4Xphtchqb_w_12_10"/>
      <w:bookmarkStart w:id="510" w:name="Tc_TVX7VTjWYUihC_Wblp1ngA_12_8"/>
      <w:bookmarkStart w:id="511" w:name="Tc_bNivZZYCEEqeb8EwNDAAWQ_12_6"/>
      <w:bookmarkStart w:id="512" w:name="Tc_jppPGVI2XUiwkZ5VPLlFJQ_12_4"/>
      <w:bookmarkStart w:id="513" w:name="Tc_NoSmTYj_pkeBOh3sU_CT5w_12_0"/>
      <w:bookmarkStart w:id="514" w:name="Tc_S7OaetepOkWcOmRfMYafOQ_11_18"/>
      <w:bookmarkStart w:id="515" w:name="Tc_GG-K7wSXCUOdE3EiFi6q-w_11_14"/>
      <w:bookmarkStart w:id="516" w:name="Tc_IksfFBN6SUSfizPYwSX_8Q_11_10"/>
      <w:bookmarkStart w:id="517" w:name="Tc_y6Qcn2Eink2kPNtvXwTaOQ_11_8"/>
      <w:bookmarkStart w:id="518" w:name="Tc_hVCJ-Ex6jU-V-tnNQdpa2w_11_6"/>
      <w:bookmarkStart w:id="519" w:name="Tc_rrJG6wK7bUKDpwVIN17pNA_11_4"/>
      <w:bookmarkStart w:id="520" w:name="Tc_ynUnV3Q2OEyseWvXdPIjZA_11_0"/>
      <w:bookmarkStart w:id="521" w:name="Tc_9EmKTdsOb0aLAMiUCAKg5Q_10_18"/>
      <w:bookmarkStart w:id="522" w:name="Tc_5AXcvO5gbkOCjx9vQTYV-w_10_14"/>
      <w:bookmarkStart w:id="523" w:name="Tc_mnNQgeeJ-k2D3kUdAh8sQw_10_10"/>
      <w:bookmarkStart w:id="524" w:name="Tc_0rZEYh33IEeaVIjxhjEh6A_10_8"/>
      <w:bookmarkStart w:id="525" w:name="Tc_Apca58a5wkmZkpUmfYy7cQ_10_6"/>
      <w:bookmarkStart w:id="526" w:name="Tc_ZQpDvoWp7Ue7KeDULJ9bNw_10_4"/>
      <w:bookmarkStart w:id="527" w:name="Tc_8fZpZnLwaUmdqDn-vsg2eA_10_0"/>
      <w:bookmarkStart w:id="528" w:name="Tc_6rCnjj5zDEOoOJ3ml6KGVQ_9_12"/>
      <w:bookmarkStart w:id="529" w:name="Tc_HYI5YyIxrUKzgFuU69cj-g_9_10"/>
      <w:bookmarkStart w:id="530" w:name="Tc_7FrB850im0K-putPjjVdCA_9_8"/>
      <w:bookmarkStart w:id="531" w:name="Tc_hRiVL1yHmE-x_XXMDnO3Jw_9_6"/>
      <w:bookmarkStart w:id="532" w:name="Tc_A7Yrz2qyqUqa9s6MEexgOQ_9_4"/>
      <w:bookmarkStart w:id="533" w:name="Tc_L2S3eFktUUekkh_lS1gnUA_9_0"/>
      <w:bookmarkStart w:id="534" w:name="Tc_xPkuNCDO-k2FC6fh2A99dg_8_8"/>
      <w:bookmarkStart w:id="535" w:name="Tc_Ol6O9dKMYEe-T_3jdQANXg_8_0"/>
      <w:bookmarkStart w:id="536" w:name="Tc_WoiHkBgQKE6aApA_1ecxlA_7_20"/>
      <w:bookmarkStart w:id="537" w:name="Tc_vQpJqgmrG0OtvrL9aSXEDw_7_18"/>
      <w:bookmarkStart w:id="538" w:name="Tc_jeuravOhgkGVOaRckAwRRw_7_16"/>
      <w:bookmarkStart w:id="539" w:name="Tc_7KQfFzt6106My2ohmlcrvQ_7_14"/>
      <w:bookmarkStart w:id="540" w:name="Tc_FCqdp0J8xEug6qAUxBFNMg_7_12"/>
      <w:bookmarkStart w:id="541" w:name="Tc_H7g9TszjF0G7go5ccITV-A_7_10"/>
      <w:bookmarkStart w:id="542" w:name="Tc_3RQKj0HmGku-daFglnDBLw_7_8"/>
      <w:bookmarkStart w:id="543" w:name="Tc_k0ojrdudSEWcw_ORzqmi-Q_7_6"/>
      <w:bookmarkStart w:id="544" w:name="Tc_mxwwei29H0eDhZvC87MabA_7_4"/>
      <w:bookmarkStart w:id="545" w:name="Tc_JZ7BljtlVEmCv2BeNDsrCg_6_20"/>
      <w:bookmarkStart w:id="546" w:name="Tc_fnjLfnX2m0q2NnXZHGp_4A_6_18"/>
      <w:bookmarkStart w:id="547" w:name="Tc_1z9On23QMk2OrP1ccWF8OA_6_16"/>
      <w:bookmarkStart w:id="548" w:name="Tc_OcSZfgKRcUG-3uKD1S9pbw_6_14"/>
      <w:bookmarkStart w:id="549" w:name="Tc_XoOWgmIfbUCOIz1Bm9NR_Q_6_12"/>
      <w:bookmarkStart w:id="550" w:name="Tc_Jp0Vgp_amUO3Rqwk4Z3cIw_6_10"/>
      <w:bookmarkStart w:id="551" w:name="Tc_5_e9uu-QWEGDxusy7hA-Yg_6_8"/>
      <w:bookmarkStart w:id="552" w:name="Tc_hw59MTYHVUyzjZnI0MuYpA_6_4"/>
      <w:bookmarkStart w:id="553" w:name="Tc_eUg1R714OUyI1AYryH2f3A_6_2"/>
      <w:bookmarkStart w:id="554" w:name="Tc_UnYUIVBZZkWbyDwlqypA1w_5_20"/>
      <w:bookmarkStart w:id="555" w:name="Tc_L0NJ8IXn_U21iH39JaEmsw_5_18"/>
      <w:bookmarkStart w:id="556" w:name="Tc_BUxBWtVbIUmNOywFBC5CoA_5_16"/>
      <w:bookmarkStart w:id="557" w:name="Tc_jbnIVU9-zEyJRl-lvWCHoA_5_14"/>
      <w:bookmarkStart w:id="558" w:name="Tc_bGsiLMVDfUSOWmE11xNwLw_5_12"/>
      <w:bookmarkStart w:id="559" w:name="Tc_ITHFzSOtF06ZYnZlZT9dew_5_10"/>
      <w:bookmarkStart w:id="560" w:name="Tc_tV0s_8UlKkWKRmLxl-IZRQ_5_8"/>
      <w:bookmarkStart w:id="561" w:name="Tc_SX9y-8lL9keRa1lgwd08uQ_4_20"/>
      <w:bookmarkStart w:id="562" w:name="Tc_a213ERoPz0a1gzwtKPqemg_4_16"/>
      <w:bookmarkStart w:id="563" w:name="Tc_koVU9IUn8UGUbD-2WVzJTA_4_12"/>
      <w:bookmarkStart w:id="564" w:name="Tc_nPFAG_pBcU2EUD-Tk6l5MQ_4_10"/>
      <w:bookmarkStart w:id="565" w:name="Tc_nBFUfQvfckm9bPdj9McLrg_3_16"/>
      <w:bookmarkStart w:id="566" w:name="Tc_K5xC_tv9OkiIyfI1lKueuA_3_12"/>
      <w:bookmarkStart w:id="567" w:name="Tc_n9xLYgDpnUiolmEFOkXjNw_2_16"/>
      <w:bookmarkStart w:id="568" w:name="Tc_dn5lJb-ReUaspxz8GOW8qA_1_16"/>
      <w:bookmarkStart w:id="569" w:name="_508d7be2_b7d1_44bc_8c44_6d800b7398b7"/>
      <w:bookmarkStart w:id="570" w:name="Tc_xLbhOI-HbEiLeZWaOrRloQ_22_0"/>
      <w:bookmarkStart w:id="571" w:name="Tc_Dj638DTFHUeIuWY6EKXUJw_20_18"/>
      <w:bookmarkStart w:id="572" w:name="Tc_6CyLclmHf0uD6EdxKuhPCw_20_14"/>
      <w:bookmarkStart w:id="573" w:name="Tc_q-jUiKUKq02U94o8H6B1SQ_20_12"/>
      <w:bookmarkStart w:id="574" w:name="Tc_DUEn4SPkOk-08smzTrGgEg_20_6"/>
      <w:bookmarkStart w:id="575" w:name="Tc_c8JuzY-ShUmip4tuklSs1Q_20_2"/>
      <w:bookmarkStart w:id="576" w:name="Tc_5wEBlXonGkmlJXWb21-89w_20_0"/>
      <w:bookmarkStart w:id="577" w:name="Tc_1IkdcjfqKEeRBnpUeNV0fg_19_16"/>
      <w:bookmarkStart w:id="578" w:name="Tc_ZWA6Gk-ic0WthEXkCl06tQ_19_14"/>
      <w:bookmarkStart w:id="579" w:name="Tc_q8yvepUnhkWGyuJhvmN5OA_19_12"/>
      <w:bookmarkStart w:id="580" w:name="Tc_CXVFK9dLrEKu_xH_sw4vXg_19_10"/>
      <w:bookmarkStart w:id="581" w:name="Tc_xypKXfZCi0WUi8sREufB_Q_19_8"/>
      <w:bookmarkStart w:id="582" w:name="Tc_tQo0d_11nUaL5-TPMapghg_19_6"/>
      <w:bookmarkStart w:id="583" w:name="Tc_U-v337ADX0OHTkKB_HKSNw_19_4"/>
      <w:bookmarkStart w:id="584" w:name="Tc_V5gclV9F2U-tQA3Q1rFKkw_19_0"/>
      <w:bookmarkStart w:id="585" w:name="Tc_yX_X0PUEq02itrCDZ274dA_18_18"/>
      <w:bookmarkStart w:id="586" w:name="Tc_cW72cRyHEEWL1rPE6EPqgg_18_14"/>
      <w:bookmarkStart w:id="587" w:name="Tc_ZR_Yy5hKN0afBoH0RUy4pQ_18_12"/>
      <w:bookmarkStart w:id="588" w:name="Tc_du9Zy3waek65yR_AYCzW8A_18_8"/>
      <w:bookmarkStart w:id="589" w:name="Tc_MevO1Ge-eECQmKwhARMaUw_18_6"/>
      <w:bookmarkStart w:id="590" w:name="Tc_SnJbWCO5PECiwv1_a9pO1w_18_4"/>
      <w:bookmarkStart w:id="591" w:name="Tc_Tf2k0rPgpEml7KG8V7KCiA_18_2"/>
      <w:bookmarkStart w:id="592" w:name="Tc_DiNhsIlNf0qYMHNQarXGEA_18_0"/>
      <w:bookmarkStart w:id="593" w:name="Tc_RdqC3XxtZUOwsmNcLJ8W9Q_17_18"/>
      <w:bookmarkStart w:id="594" w:name="Tc_jWK-R88VqUOQ8qAIiMA9Gg_17_14"/>
      <w:bookmarkStart w:id="595" w:name="Tc_CWsyQfSJOkqXtVQJ5jwbBg_17_12"/>
      <w:bookmarkStart w:id="596" w:name="Tc_r1jyA9wop0-JNSZG0Q3ZPg_17_6"/>
      <w:bookmarkStart w:id="597" w:name="Tc_AB3toBKF4kC1aJEEBMbBVQ_17_2"/>
      <w:bookmarkStart w:id="598" w:name="Tc_rsFyBULeF0qhX6YuNo2ERg_17_0"/>
      <w:bookmarkStart w:id="599" w:name="Tc_Fba-7iunuUKRwid4_z-eNw_16_18"/>
      <w:bookmarkStart w:id="600" w:name="Tc_lvlTNf9nj0eYLgtaeIyDBg_16_14"/>
      <w:bookmarkStart w:id="601" w:name="Tc_1Fn-oI2KRk-xQMTPLoIixQ_16_12"/>
      <w:bookmarkStart w:id="602" w:name="Tc_fEJzC3RfdU-ohn8tsUfTXw_16_8"/>
      <w:bookmarkStart w:id="603" w:name="Tc_HgbbEkuf-0GaWbfGb0rpEw_16_7"/>
      <w:bookmarkStart w:id="604" w:name="Tc_qOXS-toVS0WEz3gHCiIm0w_16_6"/>
      <w:bookmarkStart w:id="605" w:name="Tc_AmkJebLdeUSDBhyS4BMjuQ_16_2"/>
      <w:bookmarkStart w:id="606" w:name="Tc_2dqrXZbYgU6bIW9lOpzBeQ_16_0"/>
      <w:bookmarkStart w:id="607" w:name="Tc_PUEM-XhGDEGP-mryUNp8Ng_15_18"/>
      <w:bookmarkStart w:id="608" w:name="Tc_ALsOiIJnmUaoUmmihFU5_Q_15_14"/>
      <w:bookmarkStart w:id="609" w:name="Tc_GEWM2PtUwUGYOAo47gCscA_15_12"/>
      <w:bookmarkStart w:id="610" w:name="Tc_9Yrqr03KIUOPXjfdMwZLMA_15_8"/>
      <w:bookmarkStart w:id="611" w:name="Tc_Ec2fhXeHsE2Wp3Zyb365pQ_15_7"/>
      <w:bookmarkStart w:id="612" w:name="Tc_Gz-qr3VXOEG-Dqvbcwjq2Q_15_6"/>
      <w:bookmarkStart w:id="613" w:name="Tc_ndo7tMteYkqman9q56xp1w_15_2"/>
      <w:bookmarkStart w:id="614" w:name="Tc_18-4D-zdGES1EnBu69I3Ew_15_0"/>
      <w:bookmarkStart w:id="615" w:name="Tc_62lJGzv3OEyLREzwzGFYOQ_14_18"/>
      <w:bookmarkStart w:id="616" w:name="Tc_9nklxjpjiEado7vAV5yNCQ_14_14"/>
      <w:bookmarkStart w:id="617" w:name="Tc_gNNP7f0aGE2B3OwLaNmDxg_14_12"/>
      <w:bookmarkStart w:id="618" w:name="Tc_Bmf9ozjJxESdV46NQ_mVKg_14_8"/>
      <w:bookmarkStart w:id="619" w:name="Tc_Be1Nb6jliEewnXhiCmQiXw_14_6"/>
      <w:bookmarkStart w:id="620" w:name="Tc_tVhe8R-xaE-efXNsW9Eflw_14_4"/>
      <w:bookmarkStart w:id="621" w:name="Tc_mT_CJq1aXEGj95EExqxTfg_14_2"/>
      <w:bookmarkStart w:id="622" w:name="Tc_VB46TvWj_ka2IA8GAsen4A_14_0"/>
      <w:bookmarkStart w:id="623" w:name="Tc_kXKhFwdbWkm4Xphtchqb_w_12_10"/>
      <w:bookmarkStart w:id="624" w:name="Tc_TVX7VTjWYUihC_Wblp1ngA_12_8"/>
      <w:bookmarkStart w:id="625" w:name="Tc_bNivZZYCEEqeb8EwNDAAWQ_12_6"/>
      <w:bookmarkStart w:id="626" w:name="Tc_jppPGVI2XUiwkZ5VPLlFJQ_12_4"/>
      <w:bookmarkStart w:id="627" w:name="Tc_NoSmTYj_pkeBOh3sU_CT5w_12_0"/>
      <w:bookmarkStart w:id="628" w:name="Tc_S7OaetepOkWcOmRfMYafOQ_11_18"/>
      <w:bookmarkStart w:id="629" w:name="Tc_GG-K7wSXCUOdE3EiFi6q-w_11_14"/>
      <w:bookmarkStart w:id="630" w:name="Tc_IksfFBN6SUSfizPYwSX_8Q_11_10"/>
      <w:bookmarkStart w:id="631" w:name="Tc_y6Qcn2Eink2kPNtvXwTaOQ_11_8"/>
      <w:bookmarkStart w:id="632" w:name="Tc_hVCJ-Ex6jU-V-tnNQdpa2w_11_6"/>
      <w:bookmarkStart w:id="633" w:name="Tc_rrJG6wK7bUKDpwVIN17pNA_11_4"/>
      <w:bookmarkStart w:id="634" w:name="Tc_ynUnV3Q2OEyseWvXdPIjZA_11_0"/>
      <w:bookmarkStart w:id="635" w:name="Tc_9EmKTdsOb0aLAMiUCAKg5Q_10_18"/>
      <w:bookmarkStart w:id="636" w:name="Tc_5AXcvO5gbkOCjx9vQTYV-w_10_14"/>
      <w:bookmarkStart w:id="637" w:name="Tc_mnNQgeeJ-k2D3kUdAh8sQw_10_10"/>
      <w:bookmarkStart w:id="638" w:name="Tc_0rZEYh33IEeaVIjxhjEh6A_10_8"/>
      <w:bookmarkStart w:id="639" w:name="Tc_Apca58a5wkmZkpUmfYy7cQ_10_6"/>
      <w:bookmarkStart w:id="640" w:name="Tc_ZQpDvoWp7Ue7KeDULJ9bNw_10_4"/>
      <w:bookmarkStart w:id="641" w:name="Tc_8fZpZnLwaUmdqDn-vsg2eA_10_0"/>
      <w:bookmarkStart w:id="642" w:name="Tc_6rCnjj5zDEOoOJ3ml6KGVQ_9_12"/>
      <w:bookmarkStart w:id="643" w:name="Tc_HYI5YyIxrUKzgFuU69cj-g_9_10"/>
      <w:bookmarkStart w:id="644" w:name="Tc_7FrB850im0K-putPjjVdCA_9_8"/>
      <w:bookmarkStart w:id="645" w:name="Tc_hRiVL1yHmE-x_XXMDnO3Jw_9_6"/>
      <w:bookmarkStart w:id="646" w:name="Tc_A7Yrz2qyqUqa9s6MEexgOQ_9_4"/>
      <w:bookmarkStart w:id="647" w:name="Tc_L2S3eFktUUekkh_lS1gnUA_9_0"/>
      <w:bookmarkStart w:id="648" w:name="Tc_xPkuNCDO-k2FC6fh2A99dg_8_8"/>
      <w:bookmarkStart w:id="649" w:name="Tc_Ol6O9dKMYEe-T_3jdQANXg_8_0"/>
      <w:bookmarkStart w:id="650" w:name="Tc_WoiHkBgQKE6aApA_1ecxlA_7_20"/>
      <w:bookmarkStart w:id="651" w:name="Tc_vQpJqgmrG0OtvrL9aSXEDw_7_18"/>
      <w:bookmarkStart w:id="652" w:name="Tc_jeuravOhgkGVOaRckAwRRw_7_16"/>
      <w:bookmarkStart w:id="653" w:name="Tc_7KQfFzt6106My2ohmlcrvQ_7_14"/>
      <w:bookmarkStart w:id="654" w:name="Tc_FCqdp0J8xEug6qAUxBFNMg_7_12"/>
      <w:bookmarkStart w:id="655" w:name="Tc_H7g9TszjF0G7go5ccITV-A_7_10"/>
      <w:bookmarkStart w:id="656" w:name="Tc_3RQKj0HmGku-daFglnDBLw_7_8"/>
      <w:bookmarkStart w:id="657" w:name="Tc_k0ojrdudSEWcw_ORzqmi-Q_7_6"/>
      <w:bookmarkStart w:id="658" w:name="Tc_mxwwei29H0eDhZvC87MabA_7_4"/>
      <w:bookmarkStart w:id="659" w:name="Tc_JZ7BljtlVEmCv2BeNDsrCg_6_20"/>
      <w:bookmarkStart w:id="660" w:name="Tc_fnjLfnX2m0q2NnXZHGp_4A_6_18"/>
      <w:bookmarkStart w:id="661" w:name="Tc_1z9On23QMk2OrP1ccWF8OA_6_16"/>
      <w:bookmarkStart w:id="662" w:name="Tc_OcSZfgKRcUG-3uKD1S9pbw_6_14"/>
      <w:bookmarkStart w:id="663" w:name="Tc_XoOWgmIfbUCOIz1Bm9NR_Q_6_12"/>
      <w:bookmarkStart w:id="664" w:name="Tc_Jp0Vgp_amUO3Rqwk4Z3cIw_6_10"/>
      <w:bookmarkStart w:id="665" w:name="Tc_5_e9uu-QWEGDxusy7hA-Yg_6_8"/>
      <w:bookmarkStart w:id="666" w:name="Tc_hw59MTYHVUyzjZnI0MuYpA_6_4"/>
      <w:bookmarkStart w:id="667" w:name="Tc_eUg1R714OUyI1AYryH2f3A_6_2"/>
      <w:bookmarkStart w:id="668" w:name="Tc_UnYUIVBZZkWbyDwlqypA1w_5_20"/>
      <w:bookmarkStart w:id="669" w:name="Tc_L0NJ8IXn_U21iH39JaEmsw_5_18"/>
      <w:bookmarkStart w:id="670" w:name="Tc_BUxBWtVbIUmNOywFBC5CoA_5_16"/>
      <w:bookmarkStart w:id="671" w:name="Tc_jbnIVU9-zEyJRl-lvWCHoA_5_14"/>
      <w:bookmarkStart w:id="672" w:name="Tc_bGsiLMVDfUSOWmE11xNwLw_5_12"/>
      <w:bookmarkStart w:id="673" w:name="Tc_ITHFzSOtF06ZYnZlZT9dew_5_10"/>
      <w:bookmarkStart w:id="674" w:name="Tc_tV0s_8UlKkWKRmLxl-IZRQ_5_8"/>
      <w:bookmarkStart w:id="675" w:name="Tc_SX9y-8lL9keRa1lgwd08uQ_4_20"/>
      <w:bookmarkStart w:id="676" w:name="Tc_a213ERoPz0a1gzwtKPqemg_4_16"/>
      <w:bookmarkStart w:id="677" w:name="Tc_koVU9IUn8UGUbD-2WVzJTA_4_12"/>
      <w:bookmarkStart w:id="678" w:name="Tc_nPFAG_pBcU2EUD-Tk6l5MQ_4_10"/>
      <w:bookmarkStart w:id="679" w:name="Tc_nBFUfQvfckm9bPdj9McLrg_3_16"/>
      <w:bookmarkStart w:id="680" w:name="Tc_K5xC_tv9OkiIyfI1lKueuA_3_12"/>
      <w:bookmarkStart w:id="681" w:name="Tc_n9xLYgDpnUiolmEFOkXjNw_2_16"/>
      <w:bookmarkStart w:id="682" w:name="Tc_dn5lJb-ReUaspxz8GOW8qA_1_16"/>
      <w:bookmarkStart w:id="683" w:name="_508d7be2_b7d1_44bc_8c44_6d800b7398b7"/>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tbl>
      <w:tblPr>
        <w:tblW w:w="11346" w:type="dxa"/>
        <w:jc w:val="left"/>
        <w:tblInd w:w="0" w:type="dxa"/>
        <w:tblLayout w:type="fixed"/>
        <w:tblCellMar>
          <w:top w:w="0" w:type="dxa"/>
          <w:left w:w="0" w:type="dxa"/>
          <w:bottom w:w="0" w:type="dxa"/>
          <w:right w:w="0" w:type="dxa"/>
        </w:tblCellMar>
      </w:tblPr>
      <w:tblGrid>
        <w:gridCol w:w="1126"/>
        <w:gridCol w:w="346"/>
        <w:gridCol w:w="361"/>
        <w:gridCol w:w="346"/>
        <w:gridCol w:w="706"/>
        <w:gridCol w:w="346"/>
        <w:gridCol w:w="346"/>
        <w:gridCol w:w="346"/>
        <w:gridCol w:w="586"/>
        <w:gridCol w:w="346"/>
        <w:gridCol w:w="631"/>
        <w:gridCol w:w="346"/>
        <w:gridCol w:w="886"/>
        <w:gridCol w:w="346"/>
        <w:gridCol w:w="796"/>
        <w:gridCol w:w="346"/>
        <w:gridCol w:w="766"/>
        <w:gridCol w:w="346"/>
        <w:gridCol w:w="871"/>
        <w:gridCol w:w="346"/>
        <w:gridCol w:w="81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15010" cy="175260"/>
                      <wp:effectExtent l="0" t="0" r="0" b="0"/>
                      <wp:wrapNone/>
                      <wp:docPr id="242" name="Frame23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3"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29235" cy="175260"/>
                      <wp:effectExtent l="0" t="0" r="0" b="0"/>
                      <wp:wrapNone/>
                      <wp:docPr id="244" name="Frame2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45"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48310" cy="175260"/>
                      <wp:effectExtent l="0" t="0" r="0" b="0"/>
                      <wp:wrapNone/>
                      <wp:docPr id="246" name="Frame24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47"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48"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49"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72110" cy="175260"/>
                      <wp:effectExtent l="0" t="0" r="0" b="0"/>
                      <wp:wrapNone/>
                      <wp:docPr id="250" name="Frame24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1"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00685" cy="175260"/>
                      <wp:effectExtent l="0" t="0" r="0" b="0"/>
                      <wp:wrapNone/>
                      <wp:docPr id="252" name="Frame24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3"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62610" cy="175260"/>
                      <wp:effectExtent l="0" t="0" r="0" b="0"/>
                      <wp:wrapNone/>
                      <wp:docPr id="254" name="Frame2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55"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05460" cy="175260"/>
                      <wp:effectExtent l="0" t="0" r="0" b="0"/>
                      <wp:wrapNone/>
                      <wp:docPr id="256" name="Frame2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57"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86410" cy="175260"/>
                      <wp:effectExtent l="0" t="0" r="0" b="0"/>
                      <wp:wrapNone/>
                      <wp:docPr id="258" name="Frame25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59"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53085" cy="175260"/>
                      <wp:effectExtent l="0" t="0" r="0" b="0"/>
                      <wp:wrapNone/>
                      <wp:docPr id="260" name="Frame25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1"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14985" cy="175260"/>
                      <wp:effectExtent l="0" t="0" r="0" b="0"/>
                      <wp:wrapNone/>
                      <wp:docPr id="262" name="Frame25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Total</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shareholders’</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Accumulated</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 xml:space="preserve">deficit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Additional</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attributable to</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Total</w:t>
            </w:r>
            <w:r>
              <w:rPr>
                <w:rFonts w:ascii="Times New Roman;Times;serif" w:hAnsi="Times New Roman;Times;serif"/>
                <w:sz w:val="12"/>
              </w:rPr>
              <w:t xml:space="preserve"> </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Treasury</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comprehensive</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Accumulated</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ordinary</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Noncontrolling</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shareholders’</w:t>
            </w:r>
            <w:r>
              <w:rPr>
                <w:rFonts w:ascii="Times New Roman;Times;serif" w:hAnsi="Times New Roman;Times;serif"/>
                <w:sz w:val="12"/>
              </w:rPr>
              <w:t xml:space="preserve"> </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Note</w:t>
            </w:r>
          </w:p>
        </w:tc>
        <w:tc>
          <w:tcPr>
            <w:tcW w:w="346" w:type="dxa"/>
            <w:tcBorders/>
            <w:vAlign w:val="center"/>
          </w:tcPr>
          <w:p>
            <w:pPr>
              <w:pStyle w:val="TableContents"/>
              <w:bidi w:val="0"/>
              <w:spacing w:lineRule="auto" w:line="307" w:before="0" w:after="160"/>
              <w:ind w:left="0" w:right="0" w:hanging="0"/>
              <w:jc w:val="center"/>
              <w:rPr/>
            </w:pPr>
            <w:r>
              <w:rPr/>
              <w:t>​</w:t>
            </w:r>
          </w:p>
        </w:tc>
        <w:tc>
          <w:tcPr>
            <w:tcW w:w="13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46" w:type="dxa"/>
            <w:tcBorders/>
            <w:vAlign w:val="center"/>
          </w:tcPr>
          <w:p>
            <w:pPr>
              <w:pStyle w:val="TableContents"/>
              <w:bidi w:val="0"/>
              <w:spacing w:lineRule="auto" w:line="307" w:before="0" w:after="16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stock</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shareholders</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interests</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Number of shares</w:t>
            </w:r>
          </w:p>
        </w:tc>
        <w:tc>
          <w:tcPr>
            <w:tcW w:w="346" w:type="dxa"/>
            <w:tcBorders/>
            <w:vAlign w:val="center"/>
          </w:tcPr>
          <w:p>
            <w:pPr>
              <w:pStyle w:val="TableContents"/>
              <w:bidi w:val="0"/>
              <w:spacing w:lineRule="auto" w:line="307" w:before="0" w:after="1"/>
              <w:ind w:left="0" w:right="0" w:hanging="0"/>
              <w:jc w:val="center"/>
              <w:rPr/>
            </w:pPr>
            <w:r>
              <w:rPr/>
              <w:t>  ​ ​ ​</w:t>
            </w:r>
          </w:p>
        </w:tc>
        <w:tc>
          <w:tcPr>
            <w:tcW w:w="34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58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January 1, 2025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676,826,794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1,785,664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55,165</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(2,693,698)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(852,862)</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(7,364)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(860,226)</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(464,220)</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(464,220)</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(464,222)</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Fair value changes of liabilities due to instrument-specific credit risk, net of nil income taxes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13,875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13,875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13,875</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Foreign currency translation adjustment, net of nil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(29,222)</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(29,222)</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(29,222)</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Total comprehensive loss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(15,347)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(464,220)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(479,567)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(479,569)</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right"/>
              <w:rPr/>
            </w:pPr>
            <w:r>
              <w:rPr/>
              <w:t>​</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24</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2,274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2,274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2,274</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to Westwood Capital Group LLC (“Westwood”)</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19</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649,000</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1,301</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1,301</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1,301</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to ECARX Holdings Inc. (“ECARX”)</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19</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12,408,759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17,000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17,000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17,000</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Conversion of convertible notes to ordinary shares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15</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787,778</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3,178</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(1,968)</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1,210</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1,210</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Disposal of an equity investment under common control</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2(h)</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58,671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58,671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58,671</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Disposal of a subsidiary</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(382)</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(382)</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Meritz Securities Co., Ltd.(“Meritz”) share buyback</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13</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(50,000,000)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(141,575)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71,050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(70,525)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(70,525)</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left"/>
              <w:rPr/>
            </w:pPr>
            <w:r>
              <w:rPr/>
              <w:t>​</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640,672,331</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(138,397)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1,933,992</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39,818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(3,157,918)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(1,322,498)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7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(7,748)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(1,330,246)</w:t>
            </w:r>
          </w:p>
        </w:tc>
      </w:tr>
    </w:tbl>
    <w:p>
      <w:pPr>
        <w:pStyle w:val="TextBody"/>
        <w:bidi w:val="0"/>
        <w:spacing w:lineRule="auto" w:line="285" w:before="0" w:after="0"/>
        <w:ind w:left="0" w:right="0" w:hanging="0"/>
        <w:jc w:val="left"/>
        <w:rPr>
          <w:rFonts w:ascii="Times New Roman;Times;serif" w:hAnsi="Times New Roman;Times;serif"/>
          <w:sz w:val="20"/>
        </w:rPr>
      </w:pPr>
      <w:bookmarkStart w:id="684" w:name="_38e3edb3_b144_43a0_bb92_cdc04ab4d40b"/>
      <w:bookmarkEnd w:id="684"/>
      <w:r>
        <w:rPr>
          <w:rFonts w:ascii="Times New Roman;Times;serif" w:hAnsi="Times New Roman;Times;serif"/>
          <w:sz w:val="20"/>
        </w:rPr>
        <w:t>*Amounts less than US$0.5.</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685" w:name="_d408c483_da29_4738_b79a_8cbb814e6f37"/>
      <w:bookmarkEnd w:id="685"/>
      <w:r>
        <w:rPr>
          <w:rFonts w:ascii="Times New Roman;Times;serif" w:hAnsi="Times New Roman;Times;serif"/>
          <w:b/>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SHAREHOLDERS’ DEFICIT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2024 AND 2023 (Continued)</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lineRule="auto" w:line="307" w:before="0" w:after="160"/>
        <w:ind w:left="0" w:right="0" w:hanging="0"/>
        <w:jc w:val="center"/>
        <w:rPr/>
      </w:pPr>
      <w:r>
        <w:rPr/>
        <w:t>​</w:t>
      </w:r>
    </w:p>
    <w:p>
      <w:pPr>
        <w:pStyle w:val="Normal"/>
        <w:bidi w:val="0"/>
        <w:spacing w:before="0" w:after="0"/>
        <w:jc w:val="left"/>
        <w:rPr>
          <w:sz w:val="4"/>
          <w:szCs w:val="4"/>
        </w:rPr>
      </w:pPr>
      <w:r>
        <w:rPr>
          <w:sz w:val="4"/>
          <w:szCs w:val="4"/>
        </w:rPr>
      </w:r>
      <w:bookmarkStart w:id="686" w:name="Tc_lp2bhteWwkuHHQC2sfw6OA_28_0"/>
      <w:bookmarkStart w:id="687" w:name="Tc_jf1f22MQx0WhjndGZscsaQ_26_16"/>
      <w:bookmarkStart w:id="688" w:name="Tc_0VagzoDTKkSQX3oJi3qCeA_26_12"/>
      <w:bookmarkStart w:id="689" w:name="Tc_pRtE0gW9L0SP1pIODQyRGA_26_10"/>
      <w:bookmarkStart w:id="690" w:name="Tc_d7ZFB296Hke4y86LdR2c1Q_26_6"/>
      <w:bookmarkStart w:id="691" w:name="Tc_EaSpV3MND0KF7NVIsDNDvQ_26_4"/>
      <w:bookmarkStart w:id="692" w:name="Tc_8cPcvgnfbUKRfrYLscWXEw_26_2"/>
      <w:bookmarkStart w:id="693" w:name="Tc_Gnghm4ZKLk2QDU8CX-9-zg_26_0"/>
      <w:bookmarkStart w:id="694" w:name="Tc_bUsiqeVuIke_susCvHyo0g_25_16"/>
      <w:bookmarkStart w:id="695" w:name="Tc_K8h3chlXVUWi4RGSXuR88A_25_12"/>
      <w:bookmarkStart w:id="696" w:name="Tc_HXZOGaF1tEmdTLPBmsyR1Q_25_10"/>
      <w:bookmarkStart w:id="697" w:name="Tc_lxyuJOYpwkGemHiC9hpyDA_25_6"/>
      <w:bookmarkStart w:id="698" w:name="Tc_yikdIH5jiEKT59FWW5t0pQ_25_4"/>
      <w:bookmarkStart w:id="699" w:name="Tc_tEdJiG96LEK_CX10JUx4fg_25_2"/>
      <w:bookmarkStart w:id="700" w:name="Tc_qdGZAUq9EEm_FeX4Ywe3JQ_25_0"/>
      <w:bookmarkStart w:id="701" w:name="Tc_jkmFZfUegU-9ML7Bkn4aIA_24_16"/>
      <w:bookmarkStart w:id="702" w:name="Tc_-7jXXhuovEaxaAMgtsNEXw_24_12"/>
      <w:bookmarkStart w:id="703" w:name="Tc_mv89Ey5Qe0W8S8mkLBYxmQ_24_10"/>
      <w:bookmarkStart w:id="704" w:name="Tc_w5Bpv0D40UCCe-uBHAWdeg_24_7"/>
      <w:bookmarkStart w:id="705" w:name="Tc_rcPRMi9zc0yEGo9DgB-baA_24_6"/>
      <w:bookmarkStart w:id="706" w:name="Tc_S0x3AjUG8keKXeXWW5BP0g_24_2"/>
      <w:bookmarkStart w:id="707" w:name="Tc_mfKOqf6gJE6HE4KNKekseA_24_0"/>
      <w:bookmarkStart w:id="708" w:name="Tc_ftyAuz_XxkKXcH0BNJyMRw_23_16"/>
      <w:bookmarkStart w:id="709" w:name="Tc_YsFq3MZD5UaZk5nfVRpMcA_23_12"/>
      <w:bookmarkStart w:id="710" w:name="Tc_-SFQnizpZ0ew8mNrlhdkgg_23_10"/>
      <w:bookmarkStart w:id="711" w:name="Tc_ihqaNMT5wUmyhCsIuqVIpA_23_0"/>
      <w:bookmarkStart w:id="712" w:name="Tc__2TIgcZhXUWfmd3iks8vNw_22_16"/>
      <w:bookmarkStart w:id="713" w:name="Tc_OeSPk04xIUeOHDJu6I2TqA_22_12"/>
      <w:bookmarkStart w:id="714" w:name="Tc_1CN8vXk3nUm1XTy984EGrA_22_10"/>
      <w:bookmarkStart w:id="715" w:name="Tc_WODIBDExKUOmSakYGjb9fQ_22_2"/>
      <w:bookmarkStart w:id="716" w:name="Tc_XmHBS5zrOkipdoGqpNHphg_22_0"/>
      <w:bookmarkStart w:id="717" w:name="Tc_KcZOuROmwUiLQq3UDoOwoQ_21_16"/>
      <w:bookmarkStart w:id="718" w:name="Tc_CeqIgXbNpUKz12SqExO_PA_21_12"/>
      <w:bookmarkStart w:id="719" w:name="Tc_uyw0q2vyck-rrdeQP37NkA_21_10"/>
      <w:bookmarkStart w:id="720" w:name="Tc_AICT4yMyO0uKJ4jY5TV_KA_21_7"/>
      <w:bookmarkStart w:id="721" w:name="Tc_ut6eXWtz502WW17FMU3Jew_21_6"/>
      <w:bookmarkStart w:id="722" w:name="Tc_fA9VgCU4LkKy-MAapk6dYQ_21_2"/>
      <w:bookmarkStart w:id="723" w:name="Tc_kQzeID_By0OBkdOrsY1mUQ_21_0"/>
      <w:bookmarkStart w:id="724" w:name="Tc_BaNfLWi_-EuNI2dqdZudpg_20_16"/>
      <w:bookmarkStart w:id="725" w:name="Tc_MsThje6E3kCDPBn8LZrzQQ_20_12"/>
      <w:bookmarkStart w:id="726" w:name="Tc_1nQSQwY3V0q47cfZxHZtww_20_10"/>
      <w:bookmarkStart w:id="727" w:name="Tc_X2TZijQkqEK4jJczciF-6w_20_7"/>
      <w:bookmarkStart w:id="728" w:name="Tc_tyfOlwF3cUy4WeQ-rN4-AA_20_6"/>
      <w:bookmarkStart w:id="729" w:name="Tc_NF9e1R-S0UuYkYQykzLwDA_20_2"/>
      <w:bookmarkStart w:id="730" w:name="Tc_pCKJdiviREKEjSSow1wtTw_20_0"/>
      <w:bookmarkStart w:id="731" w:name="Tc_7SfNNUlGN0eTTy7h_BCQRg_19_16"/>
      <w:bookmarkStart w:id="732" w:name="Tc_NuIDlwcygkqzCPriUrWyTg_19_12"/>
      <w:bookmarkStart w:id="733" w:name="Tc_pBjpF4HHqk2y3IvrYWCJOg_19_10"/>
      <w:bookmarkStart w:id="734" w:name="Tc_67VT3Tl9d0KRC_8VAuy7qw_19_7"/>
      <w:bookmarkStart w:id="735" w:name="Tc_U_wEQrvxKEyBn1OW1YGShA_19_6"/>
      <w:bookmarkStart w:id="736" w:name="Tc_F_xI7ZZY00WXIAZeMsXPQA_19_2"/>
      <w:bookmarkStart w:id="737" w:name="Tc_njfY0yOojUOdOSP4QnGG5g_19_0"/>
      <w:bookmarkStart w:id="738" w:name="Tc_frj0NYdDD0CKqG66auYW2w_18_16"/>
      <w:bookmarkStart w:id="739" w:name="Tc_KwyaYqkP-0au4na9YZrGLA_18_12"/>
      <w:bookmarkStart w:id="740" w:name="Tc_48uYoxfVfEaUm3QSxlFgEw_18_10"/>
      <w:bookmarkStart w:id="741" w:name="Tc_fPB_WKVHY02nRVL9dDuCag_18_7"/>
      <w:bookmarkStart w:id="742" w:name="Tc_0u4BlYAJ10uVBvLREgyVSQ_18_6"/>
      <w:bookmarkStart w:id="743" w:name="Tc_5EuuM5Gc9U6q04UE6Rk5yw_18_0"/>
      <w:bookmarkStart w:id="744" w:name="Tc_797pEc0kz0GHul6SqzV6VA_17_16"/>
      <w:bookmarkStart w:id="745" w:name="Tc_lCAJGafqU0aVBut6svBm1w_17_12"/>
      <w:bookmarkStart w:id="746" w:name="Tc_BIczXNHdFk-xf4-kPYL-SA_17_10"/>
      <w:bookmarkStart w:id="747" w:name="Tc_GX8KcCGrUUKjBdy3swYiyA_17_6"/>
      <w:bookmarkStart w:id="748" w:name="Tc_U41NcAu6Xkyy2IxWvacJRQ_17_4"/>
      <w:bookmarkStart w:id="749" w:name="Tc_vtU_rA8DtEy_EPHg6DgLrQ_17_2"/>
      <w:bookmarkStart w:id="750" w:name="Tc_6k2uMbErPk6uYwvYgvuTeg_17_0"/>
      <w:bookmarkStart w:id="751" w:name="Tc_hAN9pVn_WEayMblkHGq_cA_16_18"/>
      <w:bookmarkStart w:id="752" w:name="Tc_SYhC-1c2s0SIDiMdjVWCMQ_16_16"/>
      <w:bookmarkStart w:id="753" w:name="Tc_bHffJr0LKUC6YOQkybNUag_16_14"/>
      <w:bookmarkStart w:id="754" w:name="Tc_DNMtnprSnkGFzRCfEBwrzQ_16_12"/>
      <w:bookmarkStart w:id="755" w:name="Tc_N5FRscl4-UOuxu8hiwCpkA_16_10"/>
      <w:bookmarkStart w:id="756" w:name="Tc_OHBb97ueeE2Aqay1DskuAA_16_4"/>
      <w:bookmarkStart w:id="757" w:name="Tc_Pa_ZUAp880m_ZG0NtyFR_g_16_2"/>
      <w:bookmarkStart w:id="758" w:name="Tc_9e9DTtBrc0uaXjmwEnTD0Q_16_0"/>
      <w:bookmarkStart w:id="759" w:name="Tc_I2vlXLOkR0akFewGE4cp2w_15_16"/>
      <w:bookmarkStart w:id="760" w:name="Tc_73x2d8HNpkGkefvDsVxPOg_15_12"/>
      <w:bookmarkStart w:id="761" w:name="Tc_F5zXmeLolEWC3WOHR5J8IA_15_10"/>
      <w:bookmarkStart w:id="762" w:name="Tc_F7TZqqwSskW2UoZZmBMjRw_15_6"/>
      <w:bookmarkStart w:id="763" w:name="Tc_xVDFODn620amVo87v7ennA_15_4"/>
      <w:bookmarkStart w:id="764" w:name="Tc_9yAojTFYbES953l3NGOopQ_15_2"/>
      <w:bookmarkStart w:id="765" w:name="Tc_3a5YSTN8N0aUlvDfRjG6tQ_15_0"/>
      <w:bookmarkStart w:id="766" w:name="Tc_rJonuTdOiEOc4xNkIqOc8Q_14_14"/>
      <w:bookmarkStart w:id="767" w:name="Tc_ZtoiUvhYZ0m3AUDrQdIJ9w_14_12"/>
      <w:bookmarkStart w:id="768" w:name="Tc_QoUbeMxnT0SmGvkqYxKBaA_14_10"/>
      <w:bookmarkStart w:id="769" w:name="Tc_vaHq3s_43Ue_zKet531ULQ_14_8"/>
      <w:bookmarkStart w:id="770" w:name="Tc_BNEmjRYSIU2V9G9LRCTpMA_14_6"/>
      <w:bookmarkStart w:id="771" w:name="Tc_EEsmyYb4mUy1a2jbik6h4A_14_4"/>
      <w:bookmarkStart w:id="772" w:name="Tc_i6wDbPaIrkCmRNHd_AODLA_14_0"/>
      <w:bookmarkStart w:id="773" w:name="Tc_inxMdQLpvE6rH_8YbJEnjg_12_8"/>
      <w:bookmarkStart w:id="774" w:name="Tc_rYine_WZD0C3v-BlyLQInQ_12_6"/>
      <w:bookmarkStart w:id="775" w:name="Tc_yDHbC7buTkyOWXZR66UY-w_12_4"/>
      <w:bookmarkStart w:id="776" w:name="Tc_VSv-OGs1VkCan3JcuMY1VQ_12_0"/>
      <w:bookmarkStart w:id="777" w:name="Tc_Y7z2sVpu1UeQ-Gff8xUWlQ_11_16"/>
      <w:bookmarkStart w:id="778" w:name="Tc_B5g3A8jFcU2tQmY2O7YmZQ_11_12"/>
      <w:bookmarkStart w:id="779" w:name="Tc_YhL-I9RoRkK2Zcb2TkeYUA_11_8"/>
      <w:bookmarkStart w:id="780" w:name="Tc_biiGzCYW50eXfGK2oK6sfQ_11_6"/>
      <w:bookmarkStart w:id="781" w:name="Tc_M-sYWpN5akyGWzN_JnMqXw_11_4"/>
      <w:bookmarkStart w:id="782" w:name="Tc_1GYGRHCGqUiubjk8D9UVzA_11_0"/>
      <w:bookmarkStart w:id="783" w:name="Tc_ynuO_IzG90Ki_LWWpeP-_g_10_16"/>
      <w:bookmarkStart w:id="784" w:name="Tc_w8kIRIkBa0--Vj5gFA5HRA_10_12"/>
      <w:bookmarkStart w:id="785" w:name="Tc_jLEHz4n1yUqGAd1ux1KoUw_10_8"/>
      <w:bookmarkStart w:id="786" w:name="Tc_2WOQtbco8Eai92tLyC3ZPg_10_6"/>
      <w:bookmarkStart w:id="787" w:name="Tc_hT_2hSuPSUmoj6jMjWpBwA_10_4"/>
      <w:bookmarkStart w:id="788" w:name="Tc_SKaoJlMZoECDwhuAvQ-bZA_10_0"/>
      <w:bookmarkStart w:id="789" w:name="Tc_w6SV0maleEuiyjN1JA6IAA_9_10"/>
      <w:bookmarkStart w:id="790" w:name="Tc_htPPIJYJ7UeCyZ9J596orw_9_8"/>
      <w:bookmarkStart w:id="791" w:name="Tc_FAK6hg2kT0O5xJQ4E8YAkg_9_6"/>
      <w:bookmarkStart w:id="792" w:name="Tc_Usxwcfaf9Uy27x8EOoFbLg_9_4"/>
      <w:bookmarkStart w:id="793" w:name="Tc_ugfZ2tglUE6C-MyV1fIweg_9_0"/>
      <w:bookmarkStart w:id="794" w:name="Tc_LbuBefN0cE6pS5ehGb_HKA_8_0"/>
      <w:bookmarkStart w:id="795" w:name="Tc_XPEzKJhwfkm4X84EYcMTEg_7_18"/>
      <w:bookmarkStart w:id="796" w:name="Tc_aIpBGCJWRkO1xuyi1LP6Kg_7_16"/>
      <w:bookmarkStart w:id="797" w:name="Tc_NMomL--wD0y7wpV7A89pew_7_14"/>
      <w:bookmarkStart w:id="798" w:name="Tc_IBDsn3w4WEGp5sqLITftyg_7_12"/>
      <w:bookmarkStart w:id="799" w:name="Tc_q8-pTiP-ME2qa87AJTDvnQ_7_10"/>
      <w:bookmarkStart w:id="800" w:name="Tc_TFM7Yo-DiEOz1CFkqkzzwA_7_8"/>
      <w:bookmarkStart w:id="801" w:name="Tc_kT5FhPrykk-uyucJlVmAxg_7_6"/>
      <w:bookmarkStart w:id="802" w:name="Tc_1yCXJi6FmEijYV_XSYmICw_7_4"/>
      <w:bookmarkStart w:id="803" w:name="Tc_KqsokTRsykCvZE8eV6504g_6_18"/>
      <w:bookmarkStart w:id="804" w:name="Tc_fTHFh_Fv_kex4R3IiLTayA_6_16"/>
      <w:bookmarkStart w:id="805" w:name="Tc_wjH_OvCTs0upE31RuA73vQ_6_14"/>
      <w:bookmarkStart w:id="806" w:name="Tc_cFR_Xud6O0e7wIAitul2NQ_6_12"/>
      <w:bookmarkStart w:id="807" w:name="Tc_AciTT9qTyka1SW7r6FFTLg_6_10"/>
      <w:bookmarkStart w:id="808" w:name="Tc_bML8wpqTTUWRj6bEsGcX4w_6_8"/>
      <w:bookmarkStart w:id="809" w:name="Tc_AAKrNaKoJ0KaQR3nI1_WnQ_6_4"/>
      <w:bookmarkStart w:id="810" w:name="Tc_evllKbvCPke3bAYm2l2d4A_6_2"/>
      <w:bookmarkStart w:id="811" w:name="Tc_wq71gnOgOkywyMz0hAJNAg_5_18"/>
      <w:bookmarkStart w:id="812" w:name="Tc_o8klMr6WNU2Mu1_v0jCZ_g_5_16"/>
      <w:bookmarkStart w:id="813" w:name="Tc_IcG5BnwJYkCEepoq-Q6sig_5_14"/>
      <w:bookmarkStart w:id="814" w:name="Tc_icDfrKolfEGN_nhUH4uhig_5_12"/>
      <w:bookmarkStart w:id="815" w:name="Tc_35copS02Uk698AQpZweyYQ_5_10"/>
      <w:bookmarkStart w:id="816" w:name="Tc_AIftNr3CCUyIDs3sZ_0Bbg_5_8"/>
      <w:bookmarkStart w:id="817" w:name="Tc_A-sqcqNopUKac4GRWUWWSQ_4_18"/>
      <w:bookmarkStart w:id="818" w:name="Tc_wrjQChdYBEySo70Ueq_ZAg_4_14"/>
      <w:bookmarkStart w:id="819" w:name="Tc_0VS9jKdayUi4IDIBVzuyTA_4_10"/>
      <w:bookmarkStart w:id="820" w:name="Tc_Mxvp9Vnv-02JOsXUmXE7sA_4_8"/>
      <w:bookmarkStart w:id="821" w:name="Tc_iOLsIOtDqk-VGBDZDRd3qQ_3_14"/>
      <w:bookmarkStart w:id="822" w:name="Tc_i36lb9dcFEmiyxmB9aHASw_3_10"/>
      <w:bookmarkStart w:id="823" w:name="Tc_I2zxjk426UW7PciFmNfZKA_2_14"/>
      <w:bookmarkStart w:id="824" w:name="Tc_9W21bFxeNEqiAqt38e-sIQ_1_14"/>
      <w:bookmarkStart w:id="825" w:name="_b3422657_da95_4e39_a058_a2855dda3a7d"/>
      <w:bookmarkStart w:id="826" w:name="Tc_lp2bhteWwkuHHQC2sfw6OA_28_0"/>
      <w:bookmarkStart w:id="827" w:name="Tc_jf1f22MQx0WhjndGZscsaQ_26_16"/>
      <w:bookmarkStart w:id="828" w:name="Tc_0VagzoDTKkSQX3oJi3qCeA_26_12"/>
      <w:bookmarkStart w:id="829" w:name="Tc_pRtE0gW9L0SP1pIODQyRGA_26_10"/>
      <w:bookmarkStart w:id="830" w:name="Tc_d7ZFB296Hke4y86LdR2c1Q_26_6"/>
      <w:bookmarkStart w:id="831" w:name="Tc_EaSpV3MND0KF7NVIsDNDvQ_26_4"/>
      <w:bookmarkStart w:id="832" w:name="Tc_8cPcvgnfbUKRfrYLscWXEw_26_2"/>
      <w:bookmarkStart w:id="833" w:name="Tc_Gnghm4ZKLk2QDU8CX-9-zg_26_0"/>
      <w:bookmarkStart w:id="834" w:name="Tc_bUsiqeVuIke_susCvHyo0g_25_16"/>
      <w:bookmarkStart w:id="835" w:name="Tc_K8h3chlXVUWi4RGSXuR88A_25_12"/>
      <w:bookmarkStart w:id="836" w:name="Tc_HXZOGaF1tEmdTLPBmsyR1Q_25_10"/>
      <w:bookmarkStart w:id="837" w:name="Tc_lxyuJOYpwkGemHiC9hpyDA_25_6"/>
      <w:bookmarkStart w:id="838" w:name="Tc_yikdIH5jiEKT59FWW5t0pQ_25_4"/>
      <w:bookmarkStart w:id="839" w:name="Tc_tEdJiG96LEK_CX10JUx4fg_25_2"/>
      <w:bookmarkStart w:id="840" w:name="Tc_qdGZAUq9EEm_FeX4Ywe3JQ_25_0"/>
      <w:bookmarkStart w:id="841" w:name="Tc_jkmFZfUegU-9ML7Bkn4aIA_24_16"/>
      <w:bookmarkStart w:id="842" w:name="Tc_-7jXXhuovEaxaAMgtsNEXw_24_12"/>
      <w:bookmarkStart w:id="843" w:name="Tc_mv89Ey5Qe0W8S8mkLBYxmQ_24_10"/>
      <w:bookmarkStart w:id="844" w:name="Tc_w5Bpv0D40UCCe-uBHAWdeg_24_7"/>
      <w:bookmarkStart w:id="845" w:name="Tc_rcPRMi9zc0yEGo9DgB-baA_24_6"/>
      <w:bookmarkStart w:id="846" w:name="Tc_S0x3AjUG8keKXeXWW5BP0g_24_2"/>
      <w:bookmarkStart w:id="847" w:name="Tc_mfKOqf6gJE6HE4KNKekseA_24_0"/>
      <w:bookmarkStart w:id="848" w:name="Tc_ftyAuz_XxkKXcH0BNJyMRw_23_16"/>
      <w:bookmarkStart w:id="849" w:name="Tc_YsFq3MZD5UaZk5nfVRpMcA_23_12"/>
      <w:bookmarkStart w:id="850" w:name="Tc_-SFQnizpZ0ew8mNrlhdkgg_23_10"/>
      <w:bookmarkStart w:id="851" w:name="Tc_ihqaNMT5wUmyhCsIuqVIpA_23_0"/>
      <w:bookmarkStart w:id="852" w:name="Tc__2TIgcZhXUWfmd3iks8vNw_22_16"/>
      <w:bookmarkStart w:id="853" w:name="Tc_OeSPk04xIUeOHDJu6I2TqA_22_12"/>
      <w:bookmarkStart w:id="854" w:name="Tc_1CN8vXk3nUm1XTy984EGrA_22_10"/>
      <w:bookmarkStart w:id="855" w:name="Tc_WODIBDExKUOmSakYGjb9fQ_22_2"/>
      <w:bookmarkStart w:id="856" w:name="Tc_XmHBS5zrOkipdoGqpNHphg_22_0"/>
      <w:bookmarkStart w:id="857" w:name="Tc_KcZOuROmwUiLQq3UDoOwoQ_21_16"/>
      <w:bookmarkStart w:id="858" w:name="Tc_CeqIgXbNpUKz12SqExO_PA_21_12"/>
      <w:bookmarkStart w:id="859" w:name="Tc_uyw0q2vyck-rrdeQP37NkA_21_10"/>
      <w:bookmarkStart w:id="860" w:name="Tc_AICT4yMyO0uKJ4jY5TV_KA_21_7"/>
      <w:bookmarkStart w:id="861" w:name="Tc_ut6eXWtz502WW17FMU3Jew_21_6"/>
      <w:bookmarkStart w:id="862" w:name="Tc_fA9VgCU4LkKy-MAapk6dYQ_21_2"/>
      <w:bookmarkStart w:id="863" w:name="Tc_kQzeID_By0OBkdOrsY1mUQ_21_0"/>
      <w:bookmarkStart w:id="864" w:name="Tc_BaNfLWi_-EuNI2dqdZudpg_20_16"/>
      <w:bookmarkStart w:id="865" w:name="Tc_MsThje6E3kCDPBn8LZrzQQ_20_12"/>
      <w:bookmarkStart w:id="866" w:name="Tc_1nQSQwY3V0q47cfZxHZtww_20_10"/>
      <w:bookmarkStart w:id="867" w:name="Tc_X2TZijQkqEK4jJczciF-6w_20_7"/>
      <w:bookmarkStart w:id="868" w:name="Tc_tyfOlwF3cUy4WeQ-rN4-AA_20_6"/>
      <w:bookmarkStart w:id="869" w:name="Tc_NF9e1R-S0UuYkYQykzLwDA_20_2"/>
      <w:bookmarkStart w:id="870" w:name="Tc_pCKJdiviREKEjSSow1wtTw_20_0"/>
      <w:bookmarkStart w:id="871" w:name="Tc_7SfNNUlGN0eTTy7h_BCQRg_19_16"/>
      <w:bookmarkStart w:id="872" w:name="Tc_NuIDlwcygkqzCPriUrWyTg_19_12"/>
      <w:bookmarkStart w:id="873" w:name="Tc_pBjpF4HHqk2y3IvrYWCJOg_19_10"/>
      <w:bookmarkStart w:id="874" w:name="Tc_67VT3Tl9d0KRC_8VAuy7qw_19_7"/>
      <w:bookmarkStart w:id="875" w:name="Tc_U_wEQrvxKEyBn1OW1YGShA_19_6"/>
      <w:bookmarkStart w:id="876" w:name="Tc_F_xI7ZZY00WXIAZeMsXPQA_19_2"/>
      <w:bookmarkStart w:id="877" w:name="Tc_njfY0yOojUOdOSP4QnGG5g_19_0"/>
      <w:bookmarkStart w:id="878" w:name="Tc_frj0NYdDD0CKqG66auYW2w_18_16"/>
      <w:bookmarkStart w:id="879" w:name="Tc_KwyaYqkP-0au4na9YZrGLA_18_12"/>
      <w:bookmarkStart w:id="880" w:name="Tc_48uYoxfVfEaUm3QSxlFgEw_18_10"/>
      <w:bookmarkStart w:id="881" w:name="Tc_fPB_WKVHY02nRVL9dDuCag_18_7"/>
      <w:bookmarkStart w:id="882" w:name="Tc_0u4BlYAJ10uVBvLREgyVSQ_18_6"/>
      <w:bookmarkStart w:id="883" w:name="Tc_5EuuM5Gc9U6q04UE6Rk5yw_18_0"/>
      <w:bookmarkStart w:id="884" w:name="Tc_797pEc0kz0GHul6SqzV6VA_17_16"/>
      <w:bookmarkStart w:id="885" w:name="Tc_lCAJGafqU0aVBut6svBm1w_17_12"/>
      <w:bookmarkStart w:id="886" w:name="Tc_BIczXNHdFk-xf4-kPYL-SA_17_10"/>
      <w:bookmarkStart w:id="887" w:name="Tc_GX8KcCGrUUKjBdy3swYiyA_17_6"/>
      <w:bookmarkStart w:id="888" w:name="Tc_U41NcAu6Xkyy2IxWvacJRQ_17_4"/>
      <w:bookmarkStart w:id="889" w:name="Tc_vtU_rA8DtEy_EPHg6DgLrQ_17_2"/>
      <w:bookmarkStart w:id="890" w:name="Tc_6k2uMbErPk6uYwvYgvuTeg_17_0"/>
      <w:bookmarkStart w:id="891" w:name="Tc_hAN9pVn_WEayMblkHGq_cA_16_18"/>
      <w:bookmarkStart w:id="892" w:name="Tc_SYhC-1c2s0SIDiMdjVWCMQ_16_16"/>
      <w:bookmarkStart w:id="893" w:name="Tc_bHffJr0LKUC6YOQkybNUag_16_14"/>
      <w:bookmarkStart w:id="894" w:name="Tc_DNMtnprSnkGFzRCfEBwrzQ_16_12"/>
      <w:bookmarkStart w:id="895" w:name="Tc_N5FRscl4-UOuxu8hiwCpkA_16_10"/>
      <w:bookmarkStart w:id="896" w:name="Tc_OHBb97ueeE2Aqay1DskuAA_16_4"/>
      <w:bookmarkStart w:id="897" w:name="Tc_Pa_ZUAp880m_ZG0NtyFR_g_16_2"/>
      <w:bookmarkStart w:id="898" w:name="Tc_9e9DTtBrc0uaXjmwEnTD0Q_16_0"/>
      <w:bookmarkStart w:id="899" w:name="Tc_I2vlXLOkR0akFewGE4cp2w_15_16"/>
      <w:bookmarkStart w:id="900" w:name="Tc_73x2d8HNpkGkefvDsVxPOg_15_12"/>
      <w:bookmarkStart w:id="901" w:name="Tc_F5zXmeLolEWC3WOHR5J8IA_15_10"/>
      <w:bookmarkStart w:id="902" w:name="Tc_F7TZqqwSskW2UoZZmBMjRw_15_6"/>
      <w:bookmarkStart w:id="903" w:name="Tc_xVDFODn620amVo87v7ennA_15_4"/>
      <w:bookmarkStart w:id="904" w:name="Tc_9yAojTFYbES953l3NGOopQ_15_2"/>
      <w:bookmarkStart w:id="905" w:name="Tc_3a5YSTN8N0aUlvDfRjG6tQ_15_0"/>
      <w:bookmarkStart w:id="906" w:name="Tc_rJonuTdOiEOc4xNkIqOc8Q_14_14"/>
      <w:bookmarkStart w:id="907" w:name="Tc_ZtoiUvhYZ0m3AUDrQdIJ9w_14_12"/>
      <w:bookmarkStart w:id="908" w:name="Tc_QoUbeMxnT0SmGvkqYxKBaA_14_10"/>
      <w:bookmarkStart w:id="909" w:name="Tc_vaHq3s_43Ue_zKet531ULQ_14_8"/>
      <w:bookmarkStart w:id="910" w:name="Tc_BNEmjRYSIU2V9G9LRCTpMA_14_6"/>
      <w:bookmarkStart w:id="911" w:name="Tc_EEsmyYb4mUy1a2jbik6h4A_14_4"/>
      <w:bookmarkStart w:id="912" w:name="Tc_i6wDbPaIrkCmRNHd_AODLA_14_0"/>
      <w:bookmarkStart w:id="913" w:name="Tc_inxMdQLpvE6rH_8YbJEnjg_12_8"/>
      <w:bookmarkStart w:id="914" w:name="Tc_rYine_WZD0C3v-BlyLQInQ_12_6"/>
      <w:bookmarkStart w:id="915" w:name="Tc_yDHbC7buTkyOWXZR66UY-w_12_4"/>
      <w:bookmarkStart w:id="916" w:name="Tc_VSv-OGs1VkCan3JcuMY1VQ_12_0"/>
      <w:bookmarkStart w:id="917" w:name="Tc_Y7z2sVpu1UeQ-Gff8xUWlQ_11_16"/>
      <w:bookmarkStart w:id="918" w:name="Tc_B5g3A8jFcU2tQmY2O7YmZQ_11_12"/>
      <w:bookmarkStart w:id="919" w:name="Tc_YhL-I9RoRkK2Zcb2TkeYUA_11_8"/>
      <w:bookmarkStart w:id="920" w:name="Tc_biiGzCYW50eXfGK2oK6sfQ_11_6"/>
      <w:bookmarkStart w:id="921" w:name="Tc_M-sYWpN5akyGWzN_JnMqXw_11_4"/>
      <w:bookmarkStart w:id="922" w:name="Tc_1GYGRHCGqUiubjk8D9UVzA_11_0"/>
      <w:bookmarkStart w:id="923" w:name="Tc_ynuO_IzG90Ki_LWWpeP-_g_10_16"/>
      <w:bookmarkStart w:id="924" w:name="Tc_w8kIRIkBa0--Vj5gFA5HRA_10_12"/>
      <w:bookmarkStart w:id="925" w:name="Tc_jLEHz4n1yUqGAd1ux1KoUw_10_8"/>
      <w:bookmarkStart w:id="926" w:name="Tc_2WOQtbco8Eai92tLyC3ZPg_10_6"/>
      <w:bookmarkStart w:id="927" w:name="Tc_hT_2hSuPSUmoj6jMjWpBwA_10_4"/>
      <w:bookmarkStart w:id="928" w:name="Tc_SKaoJlMZoECDwhuAvQ-bZA_10_0"/>
      <w:bookmarkStart w:id="929" w:name="Tc_w6SV0maleEuiyjN1JA6IAA_9_10"/>
      <w:bookmarkStart w:id="930" w:name="Tc_htPPIJYJ7UeCyZ9J596orw_9_8"/>
      <w:bookmarkStart w:id="931" w:name="Tc_FAK6hg2kT0O5xJQ4E8YAkg_9_6"/>
      <w:bookmarkStart w:id="932" w:name="Tc_Usxwcfaf9Uy27x8EOoFbLg_9_4"/>
      <w:bookmarkStart w:id="933" w:name="Tc_ugfZ2tglUE6C-MyV1fIweg_9_0"/>
      <w:bookmarkStart w:id="934" w:name="Tc_LbuBefN0cE6pS5ehGb_HKA_8_0"/>
      <w:bookmarkStart w:id="935" w:name="Tc_XPEzKJhwfkm4X84EYcMTEg_7_18"/>
      <w:bookmarkStart w:id="936" w:name="Tc_aIpBGCJWRkO1xuyi1LP6Kg_7_16"/>
      <w:bookmarkStart w:id="937" w:name="Tc_NMomL--wD0y7wpV7A89pew_7_14"/>
      <w:bookmarkStart w:id="938" w:name="Tc_IBDsn3w4WEGp5sqLITftyg_7_12"/>
      <w:bookmarkStart w:id="939" w:name="Tc_q8-pTiP-ME2qa87AJTDvnQ_7_10"/>
      <w:bookmarkStart w:id="940" w:name="Tc_TFM7Yo-DiEOz1CFkqkzzwA_7_8"/>
      <w:bookmarkStart w:id="941" w:name="Tc_kT5FhPrykk-uyucJlVmAxg_7_6"/>
      <w:bookmarkStart w:id="942" w:name="Tc_1yCXJi6FmEijYV_XSYmICw_7_4"/>
      <w:bookmarkStart w:id="943" w:name="Tc_KqsokTRsykCvZE8eV6504g_6_18"/>
      <w:bookmarkStart w:id="944" w:name="Tc_fTHFh_Fv_kex4R3IiLTayA_6_16"/>
      <w:bookmarkStart w:id="945" w:name="Tc_wjH_OvCTs0upE31RuA73vQ_6_14"/>
      <w:bookmarkStart w:id="946" w:name="Tc_cFR_Xud6O0e7wIAitul2NQ_6_12"/>
      <w:bookmarkStart w:id="947" w:name="Tc_AciTT9qTyka1SW7r6FFTLg_6_10"/>
      <w:bookmarkStart w:id="948" w:name="Tc_bML8wpqTTUWRj6bEsGcX4w_6_8"/>
      <w:bookmarkStart w:id="949" w:name="Tc_AAKrNaKoJ0KaQR3nI1_WnQ_6_4"/>
      <w:bookmarkStart w:id="950" w:name="Tc_evllKbvCPke3bAYm2l2d4A_6_2"/>
      <w:bookmarkStart w:id="951" w:name="Tc_wq71gnOgOkywyMz0hAJNAg_5_18"/>
      <w:bookmarkStart w:id="952" w:name="Tc_o8klMr6WNU2Mu1_v0jCZ_g_5_16"/>
      <w:bookmarkStart w:id="953" w:name="Tc_IcG5BnwJYkCEepoq-Q6sig_5_14"/>
      <w:bookmarkStart w:id="954" w:name="Tc_icDfrKolfEGN_nhUH4uhig_5_12"/>
      <w:bookmarkStart w:id="955" w:name="Tc_35copS02Uk698AQpZweyYQ_5_10"/>
      <w:bookmarkStart w:id="956" w:name="Tc_AIftNr3CCUyIDs3sZ_0Bbg_5_8"/>
      <w:bookmarkStart w:id="957" w:name="Tc_A-sqcqNopUKac4GRWUWWSQ_4_18"/>
      <w:bookmarkStart w:id="958" w:name="Tc_wrjQChdYBEySo70Ueq_ZAg_4_14"/>
      <w:bookmarkStart w:id="959" w:name="Tc_0VS9jKdayUi4IDIBVzuyTA_4_10"/>
      <w:bookmarkStart w:id="960" w:name="Tc_Mxvp9Vnv-02JOsXUmXE7sA_4_8"/>
      <w:bookmarkStart w:id="961" w:name="Tc_iOLsIOtDqk-VGBDZDRd3qQ_3_14"/>
      <w:bookmarkStart w:id="962" w:name="Tc_i36lb9dcFEmiyxmB9aHASw_3_10"/>
      <w:bookmarkStart w:id="963" w:name="Tc_I2zxjk426UW7PciFmNfZKA_2_14"/>
      <w:bookmarkStart w:id="964" w:name="Tc_9W21bFxeNEqiAqt38e-sIQ_1_14"/>
      <w:bookmarkStart w:id="965" w:name="_b3422657_da95_4e39_a058_a2855dda3a7d"/>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p>
    <w:tbl>
      <w:tblPr>
        <w:tblW w:w="10564" w:type="dxa"/>
        <w:jc w:val="left"/>
        <w:tblInd w:w="0" w:type="dxa"/>
        <w:tblLayout w:type="fixed"/>
        <w:tblCellMar>
          <w:top w:w="0" w:type="dxa"/>
          <w:left w:w="0" w:type="dxa"/>
          <w:bottom w:w="0" w:type="dxa"/>
          <w:right w:w="0" w:type="dxa"/>
        </w:tblCellMar>
      </w:tblPr>
      <w:tblGrid>
        <w:gridCol w:w="1126"/>
        <w:gridCol w:w="346"/>
        <w:gridCol w:w="361"/>
        <w:gridCol w:w="346"/>
        <w:gridCol w:w="706"/>
        <w:gridCol w:w="346"/>
        <w:gridCol w:w="346"/>
        <w:gridCol w:w="346"/>
        <w:gridCol w:w="631"/>
        <w:gridCol w:w="346"/>
        <w:gridCol w:w="916"/>
        <w:gridCol w:w="346"/>
        <w:gridCol w:w="826"/>
        <w:gridCol w:w="346"/>
        <w:gridCol w:w="856"/>
        <w:gridCol w:w="346"/>
        <w:gridCol w:w="871"/>
        <w:gridCol w:w="346"/>
        <w:gridCol w:w="811"/>
      </w:tblGrid>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left"/>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Total</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pPr>
            <w:r>
              <w:rPr/>
              <w:t> </w:t>
            </w:r>
            <w:r>
              <w:rPr>
                <w:rFonts w:ascii="Times New Roman;Times;serif" w:hAnsi="Times New Roman;Times;serif"/>
                <w:b/>
                <w:sz w:val="12"/>
              </w:rPr>
              <w:t>shareholders’</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attributable to</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Total </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comprehensive </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Accumulated </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ordinary</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Noncontrolling</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shareholders’</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36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Note</w:t>
            </w:r>
          </w:p>
        </w:tc>
        <w:tc>
          <w:tcPr>
            <w:tcW w:w="346" w:type="dxa"/>
            <w:tcBorders/>
            <w:vAlign w:val="center"/>
          </w:tcPr>
          <w:p>
            <w:pPr>
              <w:pStyle w:val="TableContents"/>
              <w:bidi w:val="0"/>
              <w:spacing w:lineRule="auto" w:line="307" w:before="0" w:after="1"/>
              <w:ind w:left="0" w:right="0" w:hanging="0"/>
              <w:jc w:val="left"/>
              <w:rPr/>
            </w:pPr>
            <w:r>
              <w:rPr/>
              <w:t>  ​ ​ ​</w:t>
            </w:r>
          </w:p>
        </w:tc>
        <w:tc>
          <w:tcPr>
            <w:tcW w:w="13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46" w:type="dxa"/>
            <w:tcBorders/>
            <w:vAlign w:val="center"/>
          </w:tcPr>
          <w:p>
            <w:pPr>
              <w:pStyle w:val="TableContents"/>
              <w:bidi w:val="0"/>
              <w:spacing w:lineRule="auto" w:line="307" w:before="0" w:after="1"/>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r>
              <w:rPr>
                <w:rFonts w:ascii="Times New Roman;Times;serif" w:hAnsi="Times New Roman;Times;serif"/>
                <w:b/>
                <w:sz w:val="12"/>
              </w:rPr>
              <w:t>capital</w:t>
            </w:r>
          </w:p>
        </w:tc>
        <w:tc>
          <w:tcPr>
            <w:tcW w:w="346" w:type="dxa"/>
            <w:tcBorders/>
            <w:vAlign w:val="center"/>
          </w:tcPr>
          <w:p>
            <w:pPr>
              <w:pStyle w:val="TableContents"/>
              <w:bidi w:val="0"/>
              <w:spacing w:lineRule="auto" w:line="307"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lineRule="auto" w:line="307"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lineRule="auto" w:line="307"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shareholders</w:t>
            </w:r>
          </w:p>
        </w:tc>
        <w:tc>
          <w:tcPr>
            <w:tcW w:w="346" w:type="dxa"/>
            <w:tcBorders/>
            <w:vAlign w:val="center"/>
          </w:tcPr>
          <w:p>
            <w:pPr>
              <w:pStyle w:val="TableContents"/>
              <w:bidi w:val="0"/>
              <w:spacing w:lineRule="auto" w:line="307"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r>
              <w:rPr>
                <w:rFonts w:ascii="Times New Roman;Times;serif" w:hAnsi="Times New Roman;Times;serif"/>
                <w:b/>
                <w:sz w:val="12"/>
              </w:rPr>
              <w:t>interests</w:t>
            </w:r>
          </w:p>
        </w:tc>
        <w:tc>
          <w:tcPr>
            <w:tcW w:w="346" w:type="dxa"/>
            <w:tcBorders/>
            <w:vAlign w:val="center"/>
          </w:tcPr>
          <w:p>
            <w:pPr>
              <w:pStyle w:val="TableContents"/>
              <w:bidi w:val="0"/>
              <w:spacing w:lineRule="auto" w:line="307"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240" w:before="0" w:after="1"/>
              <w:ind w:left="0" w:right="0" w:hanging="0"/>
              <w:jc w:val="right"/>
              <w:rPr>
                <w:rFonts w:ascii="Times New Roman;Times;serif" w:hAnsi="Times New Roman;Times;serif"/>
                <w:sz w:val="12"/>
              </w:rPr>
            </w:pPr>
            <w:r>
              <w:rPr>
                <w:rFonts w:ascii="Times New Roman;Times;serif" w:hAnsi="Times New Roman;Times;serif"/>
                <w:b/>
                <w:i/>
                <w:sz w:val="12"/>
              </w:rPr>
              <w:t>Number of shares</w:t>
            </w:r>
            <w:r>
              <w:rPr>
                <w:rFonts w:ascii="Times New Roman;Times;serif" w:hAnsi="Times New Roman;Times;serif"/>
                <w:b/>
                <w:i/>
                <w:sz w:val="9"/>
              </w:rPr>
              <w:t>1</w:t>
            </w:r>
          </w:p>
        </w:tc>
        <w:tc>
          <w:tcPr>
            <w:tcW w:w="346" w:type="dxa"/>
            <w:tcBorders/>
            <w:vAlign w:val="center"/>
          </w:tcPr>
          <w:p>
            <w:pPr>
              <w:pStyle w:val="TableContents"/>
              <w:bidi w:val="0"/>
              <w:spacing w:lineRule="auto" w:line="307" w:before="0" w:after="1"/>
              <w:ind w:left="0" w:right="0" w:hanging="0"/>
              <w:jc w:val="left"/>
              <w:rPr/>
            </w:pPr>
            <w:r>
              <w:rPr/>
              <w:t>  ​ ​ ​</w:t>
            </w:r>
          </w:p>
        </w:tc>
        <w:tc>
          <w:tcPr>
            <w:tcW w:w="34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January 1, 2024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474,621,603</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21</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358,187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9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25,267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(1,588,773)</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(1,205,298)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(5,404)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(1,210,702)</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(1,104,925)</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(1,104,925)</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(2,364)</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(1,107,289)</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Fair value changes of liabilities due to instrument-specific credit risk, net of nil income taxes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13,547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13,547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13,547</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Foreign currency translation adjustment, net of nil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16,351</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16,351</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16,351</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Total comprehensive loss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29,898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(1,104,925)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(1,075,027)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(2,364)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(1,077,391)</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right"/>
              <w:rPr/>
            </w:pPr>
            <w:r>
              <w:rPr/>
              <w:t>​</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Contributions from noncontrolling shareholders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404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404</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Accretion of redeemable convertible preferred shares</w:t>
            </w:r>
          </w:p>
        </w:tc>
        <w:tc>
          <w:tcPr>
            <w:tcW w:w="346" w:type="dxa"/>
            <w:tcBorders/>
            <w:vAlign w:val="center"/>
          </w:tcPr>
          <w:p>
            <w:pPr>
              <w:pStyle w:val="TableContents"/>
              <w:bidi w:val="0"/>
              <w:spacing w:lineRule="auto" w:line="307" w:before="0" w:after="1"/>
              <w:ind w:left="0" w:right="0" w:hanging="0"/>
              <w:jc w:val="left"/>
              <w:rPr/>
            </w:pPr>
            <w:r>
              <w:rPr/>
              <w:t> </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17</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(2,979)</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(2,979)</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(2,979)</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Recapitalization of ordinary shares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19</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24</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31,930</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31,930</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31,930</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Exercise of share options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110,300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318</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Conversion of convertible notes to ordinary shares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15</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3,011,368</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30,114</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30,114</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30,114</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 xml:space="preserve">Issuance of ordinary shares to Westwood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19</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902,500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4,307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4,307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4,307</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Exchange of exchangeable notes to ordinary shares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14</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36,597,038</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365,970</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365,970</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365,970</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Conversion of redeemable convertible preferred shares to ordinary shares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17</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68,228,526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386,508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386,509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386,509</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Issuance of ordinary shares and warrants to L Catterton Asia Acquisition Corp (“LCAA”), the Private Investment in Public Equity (“PIPE”) investors and warrant holders in connection with the consummation of business combination, net of transaction costs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92,859,735</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675,378</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675,379</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675,379</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Exercise of public warrants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12</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495,724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5,975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5,975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5,975</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Disposal of a subsidiary under common control</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1(f)</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990</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990</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990</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Meritz share buyback</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6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13</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(71,050)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(71,050)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(71,050)</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left"/>
              <w:rPr/>
            </w:pPr>
            <w:r>
              <w:rPr/>
              <w:t>​</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676,826,794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1,785,664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55,165</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(2,693,698)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5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(852,862)</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7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(7,364)</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(860,226)</w:t>
            </w:r>
          </w:p>
        </w:tc>
      </w:tr>
    </w:tbl>
    <w:p>
      <w:pPr>
        <w:pStyle w:val="TextBody"/>
        <w:bidi w:val="0"/>
        <w:spacing w:lineRule="auto" w:line="240" w:before="0" w:after="240"/>
        <w:ind w:left="0" w:right="0" w:hanging="0"/>
        <w:jc w:val="both"/>
        <w:rPr>
          <w:rFonts w:ascii="Times New Roman;Times;serif" w:hAnsi="Times New Roman;Times;serif"/>
          <w:sz w:val="20"/>
        </w:rPr>
      </w:pPr>
      <w:bookmarkStart w:id="966" w:name="_d37a32f9_fd97_4cc8_a9f0_021be5c8f45e"/>
      <w:bookmarkEnd w:id="966"/>
      <w:r>
        <w:rPr>
          <w:rFonts w:ascii="Times New Roman;Times;serif" w:hAnsi="Times New Roman;Times;serif"/>
          <w:sz w:val="15"/>
        </w:rPr>
        <w:t>1</w:t>
      </w:r>
      <w:r>
        <w:rPr>
          <w:rFonts w:ascii="Times New Roman;Times;serif" w:hAnsi="Times New Roman;Times;serif"/>
          <w:sz w:val="20"/>
        </w:rPr>
        <w:t xml:space="preserve"> Shares outstanding for all periods reflect the adjustment for Recapitalization.</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*Amounts less than US$0.5.</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spacing w:val="-10"/>
        </w:rPr>
      </w:pPr>
      <w:r>
        <w:rPr>
          <w:spacing w:val="-10"/>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967" w:name="_fe6c23ce_168b_4e28_8110_f40d9f926b59"/>
      <w:bookmarkEnd w:id="967"/>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CONSOLIDATED STATEMENTS OF CHANGES IN SHAREHOLDERS’ DEFICIT</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FOR THE YEARS ENDED DECEMBER 31, 2025, 2024 AND 2023 (Continued)</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(All amounts in thousands, except for share and per share data)</w:t>
      </w:r>
    </w:p>
    <w:p>
      <w:pPr>
        <w:pStyle w:val="TextBody"/>
        <w:bidi w:val="0"/>
        <w:spacing w:lineRule="auto" w:line="307" w:before="0" w:after="160"/>
        <w:ind w:left="0" w:right="0" w:hanging="0"/>
        <w:jc w:val="center"/>
        <w:rPr/>
      </w:pPr>
      <w:r>
        <w:rPr/>
        <w:t>​</w:t>
      </w:r>
    </w:p>
    <w:p>
      <w:pPr>
        <w:pStyle w:val="Normal"/>
        <w:bidi w:val="0"/>
        <w:spacing w:before="0" w:after="0"/>
        <w:jc w:val="left"/>
        <w:rPr>
          <w:sz w:val="4"/>
          <w:szCs w:val="4"/>
        </w:rPr>
      </w:pPr>
      <w:r>
        <w:rPr>
          <w:sz w:val="4"/>
          <w:szCs w:val="4"/>
        </w:rPr>
      </w:r>
      <w:bookmarkStart w:id="968" w:name="Tc_c0sC9e3PnkuQNfhi1XrBTA_22_10"/>
      <w:bookmarkStart w:id="969" w:name="Tc_k31PP011YkSCc9pMB8hm7g_22_0"/>
      <w:bookmarkStart w:id="970" w:name="Tc_n3MS-JEBgUKxgYW2Po2Iyg_20_14"/>
      <w:bookmarkStart w:id="971" w:name="Tc_X-u7LRubDkOZ6hZWhCSLzQ_20_12"/>
      <w:bookmarkStart w:id="972" w:name="Tc_vzeHyHIapU2mBLMEE3JYfA_20_10"/>
      <w:bookmarkStart w:id="973" w:name="Tc_YBF42fcjHU-QoNyKJJ-D4A_20_6"/>
      <w:bookmarkStart w:id="974" w:name="Tc_EJ1xujP6nEaks-d42WL7gg_20_4"/>
      <w:bookmarkStart w:id="975" w:name="Tc_Mho_SQ0iBUyMSsabJbYSQA_20_0"/>
      <w:bookmarkStart w:id="976" w:name="Tc_Rfr9I05IO06iwF3iepsn_g_19_18"/>
      <w:bookmarkStart w:id="977" w:name="Tc_dl9z4sCXO06UtMnmh63n0A_19_14"/>
      <w:bookmarkStart w:id="978" w:name="Tc__LZztyMCFU21zKKfomSTLw_19_12"/>
      <w:bookmarkStart w:id="979" w:name="Tc_mO2jYDgp0UCOoZ9kvOQSIg_19_10"/>
      <w:bookmarkStart w:id="980" w:name="Tc_i1OYY5nGbEaA8ONzvEv-Tw_19_6"/>
      <w:bookmarkStart w:id="981" w:name="Tc_wzNpBeeFp064YBOM5zo2Gg_19_4"/>
      <w:bookmarkStart w:id="982" w:name="Tc_TKhyLFI7FECvJdM3q_hgvQ_19_2"/>
      <w:bookmarkStart w:id="983" w:name="Tc_lueF1aTVAUSpiPDtBwzlnQ_19_0"/>
      <w:bookmarkStart w:id="984" w:name="Tc_X-RfS37j4UmrmOFYt3i1sA_18_18"/>
      <w:bookmarkStart w:id="985" w:name="Tc_LjDk7APK1UKqxInhjlcyLA_18_14"/>
      <w:bookmarkStart w:id="986" w:name="Tc_qWcENPENe0eLVKPAx-T8WQ_18_12"/>
      <w:bookmarkStart w:id="987" w:name="Tc_BxzTqbBcKU20AXsDO3uyyA_18_10"/>
      <w:bookmarkStart w:id="988" w:name="Tc_oHOfB5eVXk-AOsgOP5-UTg_18_6"/>
      <w:bookmarkStart w:id="989" w:name="Tc_Di3Ki4zXP0KZXuAVOCnyNw_18_4"/>
      <w:bookmarkStart w:id="990" w:name="Tc_PJSORb2JBkWg4Y4QXazj0Q_18_0"/>
      <w:bookmarkStart w:id="991" w:name="Tc_xiPQRI8R8EezA3J66AIflw_17_18"/>
      <w:bookmarkStart w:id="992" w:name="Tc_j9ZinCcSxEKL_WIadXBS2Q_17_14"/>
      <w:bookmarkStart w:id="993" w:name="Tc_BTeuk2OiQ02bomb3LWFMRQ_17_12"/>
      <w:bookmarkStart w:id="994" w:name="Tc_ZAJy-uWLMEqTQVIffX1NWg_17_10"/>
      <w:bookmarkStart w:id="995" w:name="Tc_Ks8yMNYmkEqY4L0dZ-MvDg_17_6"/>
      <w:bookmarkStart w:id="996" w:name="Tc_qOlhSYxQJEyYH-9Fjor6yw_17_4"/>
      <w:bookmarkStart w:id="997" w:name="Tc_9IuzbSdYQ0ehIq7cxocqFw_17_2"/>
      <w:bookmarkStart w:id="998" w:name="Tc_SoTtfRUvEEe6Mxq7hXPWIA_17_0"/>
      <w:bookmarkStart w:id="999" w:name="Tc_FWG9LcmLb06yPSaxuqvYVA_16_18"/>
      <w:bookmarkStart w:id="1000" w:name="Tc_HZ-AdUOS30yU8d_dKpe3iQ_16_14"/>
      <w:bookmarkStart w:id="1001" w:name="Tc_mduzeiLjwkKeakV3PLOkUQ_16_12"/>
      <w:bookmarkStart w:id="1002" w:name="Tc_t0_0hl26rEWI41hselKgKQ_16_8"/>
      <w:bookmarkStart w:id="1003" w:name="Tc_7kCzDYBzmU-k4OJr8V69Pg_16_6"/>
      <w:bookmarkStart w:id="1004" w:name="Tc_4u-reuAJkU-RZYvzegTZgg_16_4"/>
      <w:bookmarkStart w:id="1005" w:name="Tc_Gwn2i7fVw06F7FNJwKByvw_16_0"/>
      <w:bookmarkStart w:id="1006" w:name="Tc_fRrAFIB7p0GO3WYS-ageww_14_10"/>
      <w:bookmarkStart w:id="1007" w:name="Tc_RwrBLBKFbEumMsg--Xn1oQ_14_8"/>
      <w:bookmarkStart w:id="1008" w:name="Tc_QoRTGPvp60amF5yK-P3BwA_14_6"/>
      <w:bookmarkStart w:id="1009" w:name="Tc_D47ZsVFBBkWA0PrW_YJDoQ_14_4"/>
      <w:bookmarkStart w:id="1010" w:name="Tc_xsmDUqXlqUiq2Yk4qCdbDA_14_0"/>
      <w:bookmarkStart w:id="1011" w:name="Tc_WlXQyh1lckewb7ebdv7E1g_13_18"/>
      <w:bookmarkStart w:id="1012" w:name="Tc_TJ6Dj2V3UUaaaHVU-EdiOg_13_14"/>
      <w:bookmarkStart w:id="1013" w:name="Tc_ZkN0tFh4uE6m0GqdzTsj3Q_13_10"/>
      <w:bookmarkStart w:id="1014" w:name="Tc_sDdNmhAawke67SFNZxGkAg_13_8"/>
      <w:bookmarkStart w:id="1015" w:name="Tc__NKCFAUaaU6q5UTclv1MuA_13_6"/>
      <w:bookmarkStart w:id="1016" w:name="Tc_rAPCBGZ7CU27QQMW14_BXQ_13_4"/>
      <w:bookmarkStart w:id="1017" w:name="Tc_uCmrLcEoDUazvm5VvS1nYQ_13_0"/>
      <w:bookmarkStart w:id="1018" w:name="Tc_PQXtN8L94Um4FbhL6eUlgw_12_18"/>
      <w:bookmarkStart w:id="1019" w:name="Tc_i7qur-D8HU2TWsiNcAnUxQ_12_14"/>
      <w:bookmarkStart w:id="1020" w:name="Tc_AQ2y5LubOEeqTynUV11zWA_12_10"/>
      <w:bookmarkStart w:id="1021" w:name="Tc__P4Dk-9AkkGeadU7JpwumQ_12_8"/>
      <w:bookmarkStart w:id="1022" w:name="Tc_d9ERgakz2UW8xNDtrOOrCQ_12_6"/>
      <w:bookmarkStart w:id="1023" w:name="Tc_X4fF90tgcEihIqtTeTlDvw_12_4"/>
      <w:bookmarkStart w:id="1024" w:name="Tc_iHEythyDe0Gfv30EhS-NtQ_12_0"/>
      <w:bookmarkStart w:id="1025" w:name="Tc_2yvkD12aX0iFbAa6J9jdYA_11_12"/>
      <w:bookmarkStart w:id="1026" w:name="Tc_YNVwMGD3v0S6NhgiogrBaQ_11_10"/>
      <w:bookmarkStart w:id="1027" w:name="Tc_1Z7v3_n33UGKXaLADZlWGg_11_8"/>
      <w:bookmarkStart w:id="1028" w:name="Tc_ESjhXT37FUiT6ewr8lG4Vg_11_6"/>
      <w:bookmarkStart w:id="1029" w:name="Tc_yCvyvkxm_kKMTFABt40Ykg_11_4"/>
      <w:bookmarkStart w:id="1030" w:name="Tc_TnWpvpVf1U6I9IeN9CXkXQ_11_0"/>
      <w:bookmarkStart w:id="1031" w:name="Tc_CKraSsUl6EOUMSYNpcmDSg_10_0"/>
      <w:bookmarkStart w:id="1032" w:name="Tc_RUmg_JJ4ZUq35PyRF_k4eQ_9_18"/>
      <w:bookmarkStart w:id="1033" w:name="Tc_LUHAvrPCoECcX5U49awMfw_9_12"/>
      <w:bookmarkStart w:id="1034" w:name="Tc_twbvNbIickq28m4LfGmOmg_9_10"/>
      <w:bookmarkStart w:id="1035" w:name="Tc_-R81MhRDOU-gTF0Fl0832Q_9_8"/>
      <w:bookmarkStart w:id="1036" w:name="Tc_C6g6ddHCb0KPOVLjNVuiMA_9_6"/>
      <w:bookmarkStart w:id="1037" w:name="Tc_IGkWGYMmVEujRaAsY98iRQ_9_4"/>
      <w:bookmarkStart w:id="1038" w:name="Tc_yaK-0nhe1EKn3kMx8LJhow_9_2"/>
      <w:bookmarkStart w:id="1039" w:name="Tc_wj9UNz90KUmrGkjZzJms5Q_9_0"/>
      <w:bookmarkStart w:id="1040" w:name="Tc_KVH344bcqUCWL-i2_8rObg_8_0"/>
      <w:bookmarkStart w:id="1041" w:name="Tc_2_NFcLAJkUeaFgflo6gvPA_7_20"/>
      <w:bookmarkStart w:id="1042" w:name="Tc_5rrzfNplvUKtUJvCK09uAg_7_18"/>
      <w:bookmarkStart w:id="1043" w:name="Tc_CIOafWRmL0-nrwjfK0LlEA_7_16"/>
      <w:bookmarkStart w:id="1044" w:name="Tc_V2TNmM9350GIzYc8fs2Wag_7_14"/>
      <w:bookmarkStart w:id="1045" w:name="Tc_5lDptgD-QkqwbcvgnKZUQA_7_12"/>
      <w:bookmarkStart w:id="1046" w:name="Tc_JdHVgyucsk-OQPf7YLtqVw_7_10"/>
      <w:bookmarkStart w:id="1047" w:name="Tc_gUxcDm49r0ypLD3_c2Gdew_7_8"/>
      <w:bookmarkStart w:id="1048" w:name="Tc_1Bg3JIF1306nip1ik4ktdg_7_6"/>
      <w:bookmarkStart w:id="1049" w:name="Tc_o2vlitM1cUin-LKDHdSqfA_7_4"/>
      <w:bookmarkStart w:id="1050" w:name="Tc_ObooGAxeT06NxVNtY-399Q_6_20"/>
      <w:bookmarkStart w:id="1051" w:name="Tc_VLAD8ee9wk-PglMqEtj5xA_6_18"/>
      <w:bookmarkStart w:id="1052" w:name="Tc_VnqiI58evk2JQ42AexgA3Q_6_16"/>
      <w:bookmarkStart w:id="1053" w:name="Tc_MjObVXf1s0OjCF6iKD4vzQ_6_14"/>
      <w:bookmarkStart w:id="1054" w:name="Tc_CZ_KPJp4qUCNns91xeqYLg_6_12"/>
      <w:bookmarkStart w:id="1055" w:name="Tc_eF7tPsPbPkuF0TedJERaBg_6_10"/>
      <w:bookmarkStart w:id="1056" w:name="Tc_hBr1O7y9D0eyz1Q51gclkg_6_8"/>
      <w:bookmarkStart w:id="1057" w:name="Tc_k-lerUpdS06MAx_yNziqlA_6_4"/>
      <w:bookmarkStart w:id="1058" w:name="Tc_AhLHrT9LOkSUrOxBeAX6zQ_6_2"/>
      <w:bookmarkStart w:id="1059" w:name="Tc_IjjoIB14MUevXrc9id-86g_5_20"/>
      <w:bookmarkStart w:id="1060" w:name="Tc_po4YjKMZwkKFdvI5HCt1vA_5_18"/>
      <w:bookmarkStart w:id="1061" w:name="Tc_1eLX-sy3JUu7lJXkp3OCQQ_5_16"/>
      <w:bookmarkStart w:id="1062" w:name="Tc_Cmagj-KKCEGS96D9KBTznA_5_14"/>
      <w:bookmarkStart w:id="1063" w:name="Tc_KAic_L8B90qfhSdyYY2Sow_5_12"/>
      <w:bookmarkStart w:id="1064" w:name="Tc_YaPdrSToAkyEL6XMA1TfwQ_5_10"/>
      <w:bookmarkStart w:id="1065" w:name="Tc_WSLN400A8U-OKKnnqNKv6A_5_8"/>
      <w:bookmarkStart w:id="1066" w:name="Tc_LBNqHKMmBUa1AabytVUI7A_4_20"/>
      <w:bookmarkStart w:id="1067" w:name="Tc_o2Tgvw6zg0SCMzttWMcqvQ_4_16"/>
      <w:bookmarkStart w:id="1068" w:name="Tc_jRNRj9HHoUimgv0xh2U-ng_4_12"/>
      <w:bookmarkStart w:id="1069" w:name="Tc_9EPC3oM3Vk6cEF-N9WMiaA_4_10"/>
      <w:bookmarkStart w:id="1070" w:name="Tc_ax61wVecmkytnX_tNYmZ1Q_4_8"/>
      <w:bookmarkStart w:id="1071" w:name="Tc_aVEnui55WkqwzzIR9m-NgQ_3_16"/>
      <w:bookmarkStart w:id="1072" w:name="Tc_dnsYCfHy4Eafy3xYj0Damg_3_12"/>
      <w:bookmarkStart w:id="1073" w:name="Tc_WAggsMWyC0C-tjMQhfUw6w_2_16"/>
      <w:bookmarkStart w:id="1074" w:name="Tc_JTs8KwynS0O0nqFgTKm4nA_1_16"/>
      <w:bookmarkStart w:id="1075" w:name="_ff233f0e_77eb_4ebe_abd8_6abd384083bb"/>
      <w:bookmarkStart w:id="1076" w:name="Tc_c0sC9e3PnkuQNfhi1XrBTA_22_10"/>
      <w:bookmarkStart w:id="1077" w:name="Tc_k31PP011YkSCc9pMB8hm7g_22_0"/>
      <w:bookmarkStart w:id="1078" w:name="Tc_n3MS-JEBgUKxgYW2Po2Iyg_20_14"/>
      <w:bookmarkStart w:id="1079" w:name="Tc_X-u7LRubDkOZ6hZWhCSLzQ_20_12"/>
      <w:bookmarkStart w:id="1080" w:name="Tc_vzeHyHIapU2mBLMEE3JYfA_20_10"/>
      <w:bookmarkStart w:id="1081" w:name="Tc_YBF42fcjHU-QoNyKJJ-D4A_20_6"/>
      <w:bookmarkStart w:id="1082" w:name="Tc_EJ1xujP6nEaks-d42WL7gg_20_4"/>
      <w:bookmarkStart w:id="1083" w:name="Tc_Mho_SQ0iBUyMSsabJbYSQA_20_0"/>
      <w:bookmarkStart w:id="1084" w:name="Tc_Rfr9I05IO06iwF3iepsn_g_19_18"/>
      <w:bookmarkStart w:id="1085" w:name="Tc_dl9z4sCXO06UtMnmh63n0A_19_14"/>
      <w:bookmarkStart w:id="1086" w:name="Tc__LZztyMCFU21zKKfomSTLw_19_12"/>
      <w:bookmarkStart w:id="1087" w:name="Tc_mO2jYDgp0UCOoZ9kvOQSIg_19_10"/>
      <w:bookmarkStart w:id="1088" w:name="Tc_i1OYY5nGbEaA8ONzvEv-Tw_19_6"/>
      <w:bookmarkStart w:id="1089" w:name="Tc_wzNpBeeFp064YBOM5zo2Gg_19_4"/>
      <w:bookmarkStart w:id="1090" w:name="Tc_TKhyLFI7FECvJdM3q_hgvQ_19_2"/>
      <w:bookmarkStart w:id="1091" w:name="Tc_lueF1aTVAUSpiPDtBwzlnQ_19_0"/>
      <w:bookmarkStart w:id="1092" w:name="Tc_X-RfS37j4UmrmOFYt3i1sA_18_18"/>
      <w:bookmarkStart w:id="1093" w:name="Tc_LjDk7APK1UKqxInhjlcyLA_18_14"/>
      <w:bookmarkStart w:id="1094" w:name="Tc_qWcENPENe0eLVKPAx-T8WQ_18_12"/>
      <w:bookmarkStart w:id="1095" w:name="Tc_BxzTqbBcKU20AXsDO3uyyA_18_10"/>
      <w:bookmarkStart w:id="1096" w:name="Tc_oHOfB5eVXk-AOsgOP5-UTg_18_6"/>
      <w:bookmarkStart w:id="1097" w:name="Tc_Di3Ki4zXP0KZXuAVOCnyNw_18_4"/>
      <w:bookmarkStart w:id="1098" w:name="Tc_PJSORb2JBkWg4Y4QXazj0Q_18_0"/>
      <w:bookmarkStart w:id="1099" w:name="Tc_xiPQRI8R8EezA3J66AIflw_17_18"/>
      <w:bookmarkStart w:id="1100" w:name="Tc_j9ZinCcSxEKL_WIadXBS2Q_17_14"/>
      <w:bookmarkStart w:id="1101" w:name="Tc_BTeuk2OiQ02bomb3LWFMRQ_17_12"/>
      <w:bookmarkStart w:id="1102" w:name="Tc_ZAJy-uWLMEqTQVIffX1NWg_17_10"/>
      <w:bookmarkStart w:id="1103" w:name="Tc_Ks8yMNYmkEqY4L0dZ-MvDg_17_6"/>
      <w:bookmarkStart w:id="1104" w:name="Tc_qOlhSYxQJEyYH-9Fjor6yw_17_4"/>
      <w:bookmarkStart w:id="1105" w:name="Tc_9IuzbSdYQ0ehIq7cxocqFw_17_2"/>
      <w:bookmarkStart w:id="1106" w:name="Tc_SoTtfRUvEEe6Mxq7hXPWIA_17_0"/>
      <w:bookmarkStart w:id="1107" w:name="Tc_FWG9LcmLb06yPSaxuqvYVA_16_18"/>
      <w:bookmarkStart w:id="1108" w:name="Tc_HZ-AdUOS30yU8d_dKpe3iQ_16_14"/>
      <w:bookmarkStart w:id="1109" w:name="Tc_mduzeiLjwkKeakV3PLOkUQ_16_12"/>
      <w:bookmarkStart w:id="1110" w:name="Tc_t0_0hl26rEWI41hselKgKQ_16_8"/>
      <w:bookmarkStart w:id="1111" w:name="Tc_7kCzDYBzmU-k4OJr8V69Pg_16_6"/>
      <w:bookmarkStart w:id="1112" w:name="Tc_4u-reuAJkU-RZYvzegTZgg_16_4"/>
      <w:bookmarkStart w:id="1113" w:name="Tc_Gwn2i7fVw06F7FNJwKByvw_16_0"/>
      <w:bookmarkStart w:id="1114" w:name="Tc_fRrAFIB7p0GO3WYS-ageww_14_10"/>
      <w:bookmarkStart w:id="1115" w:name="Tc_RwrBLBKFbEumMsg--Xn1oQ_14_8"/>
      <w:bookmarkStart w:id="1116" w:name="Tc_QoRTGPvp60amF5yK-P3BwA_14_6"/>
      <w:bookmarkStart w:id="1117" w:name="Tc_D47ZsVFBBkWA0PrW_YJDoQ_14_4"/>
      <w:bookmarkStart w:id="1118" w:name="Tc_xsmDUqXlqUiq2Yk4qCdbDA_14_0"/>
      <w:bookmarkStart w:id="1119" w:name="Tc_WlXQyh1lckewb7ebdv7E1g_13_18"/>
      <w:bookmarkStart w:id="1120" w:name="Tc_TJ6Dj2V3UUaaaHVU-EdiOg_13_14"/>
      <w:bookmarkStart w:id="1121" w:name="Tc_ZkN0tFh4uE6m0GqdzTsj3Q_13_10"/>
      <w:bookmarkStart w:id="1122" w:name="Tc_sDdNmhAawke67SFNZxGkAg_13_8"/>
      <w:bookmarkStart w:id="1123" w:name="Tc__NKCFAUaaU6q5UTclv1MuA_13_6"/>
      <w:bookmarkStart w:id="1124" w:name="Tc_rAPCBGZ7CU27QQMW14_BXQ_13_4"/>
      <w:bookmarkStart w:id="1125" w:name="Tc_uCmrLcEoDUazvm5VvS1nYQ_13_0"/>
      <w:bookmarkStart w:id="1126" w:name="Tc_PQXtN8L94Um4FbhL6eUlgw_12_18"/>
      <w:bookmarkStart w:id="1127" w:name="Tc_i7qur-D8HU2TWsiNcAnUxQ_12_14"/>
      <w:bookmarkStart w:id="1128" w:name="Tc_AQ2y5LubOEeqTynUV11zWA_12_10"/>
      <w:bookmarkStart w:id="1129" w:name="Tc__P4Dk-9AkkGeadU7JpwumQ_12_8"/>
      <w:bookmarkStart w:id="1130" w:name="Tc_d9ERgakz2UW8xNDtrOOrCQ_12_6"/>
      <w:bookmarkStart w:id="1131" w:name="Tc_X4fF90tgcEihIqtTeTlDvw_12_4"/>
      <w:bookmarkStart w:id="1132" w:name="Tc_iHEythyDe0Gfv30EhS-NtQ_12_0"/>
      <w:bookmarkStart w:id="1133" w:name="Tc_2yvkD12aX0iFbAa6J9jdYA_11_12"/>
      <w:bookmarkStart w:id="1134" w:name="Tc_YNVwMGD3v0S6NhgiogrBaQ_11_10"/>
      <w:bookmarkStart w:id="1135" w:name="Tc_1Z7v3_n33UGKXaLADZlWGg_11_8"/>
      <w:bookmarkStart w:id="1136" w:name="Tc_ESjhXT37FUiT6ewr8lG4Vg_11_6"/>
      <w:bookmarkStart w:id="1137" w:name="Tc_yCvyvkxm_kKMTFABt40Ykg_11_4"/>
      <w:bookmarkStart w:id="1138" w:name="Tc_TnWpvpVf1U6I9IeN9CXkXQ_11_0"/>
      <w:bookmarkStart w:id="1139" w:name="Tc_CKraSsUl6EOUMSYNpcmDSg_10_0"/>
      <w:bookmarkStart w:id="1140" w:name="Tc_RUmg_JJ4ZUq35PyRF_k4eQ_9_18"/>
      <w:bookmarkStart w:id="1141" w:name="Tc_LUHAvrPCoECcX5U49awMfw_9_12"/>
      <w:bookmarkStart w:id="1142" w:name="Tc_twbvNbIickq28m4LfGmOmg_9_10"/>
      <w:bookmarkStart w:id="1143" w:name="Tc_-R81MhRDOU-gTF0Fl0832Q_9_8"/>
      <w:bookmarkStart w:id="1144" w:name="Tc_C6g6ddHCb0KPOVLjNVuiMA_9_6"/>
      <w:bookmarkStart w:id="1145" w:name="Tc_IGkWGYMmVEujRaAsY98iRQ_9_4"/>
      <w:bookmarkStart w:id="1146" w:name="Tc_yaK-0nhe1EKn3kMx8LJhow_9_2"/>
      <w:bookmarkStart w:id="1147" w:name="Tc_wj9UNz90KUmrGkjZzJms5Q_9_0"/>
      <w:bookmarkStart w:id="1148" w:name="Tc_KVH344bcqUCWL-i2_8rObg_8_0"/>
      <w:bookmarkStart w:id="1149" w:name="Tc_2_NFcLAJkUeaFgflo6gvPA_7_20"/>
      <w:bookmarkStart w:id="1150" w:name="Tc_5rrzfNplvUKtUJvCK09uAg_7_18"/>
      <w:bookmarkStart w:id="1151" w:name="Tc_CIOafWRmL0-nrwjfK0LlEA_7_16"/>
      <w:bookmarkStart w:id="1152" w:name="Tc_V2TNmM9350GIzYc8fs2Wag_7_14"/>
      <w:bookmarkStart w:id="1153" w:name="Tc_5lDptgD-QkqwbcvgnKZUQA_7_12"/>
      <w:bookmarkStart w:id="1154" w:name="Tc_JdHVgyucsk-OQPf7YLtqVw_7_10"/>
      <w:bookmarkStart w:id="1155" w:name="Tc_gUxcDm49r0ypLD3_c2Gdew_7_8"/>
      <w:bookmarkStart w:id="1156" w:name="Tc_1Bg3JIF1306nip1ik4ktdg_7_6"/>
      <w:bookmarkStart w:id="1157" w:name="Tc_o2vlitM1cUin-LKDHdSqfA_7_4"/>
      <w:bookmarkStart w:id="1158" w:name="Tc_ObooGAxeT06NxVNtY-399Q_6_20"/>
      <w:bookmarkStart w:id="1159" w:name="Tc_VLAD8ee9wk-PglMqEtj5xA_6_18"/>
      <w:bookmarkStart w:id="1160" w:name="Tc_VnqiI58evk2JQ42AexgA3Q_6_16"/>
      <w:bookmarkStart w:id="1161" w:name="Tc_MjObVXf1s0OjCF6iKD4vzQ_6_14"/>
      <w:bookmarkStart w:id="1162" w:name="Tc_CZ_KPJp4qUCNns91xeqYLg_6_12"/>
      <w:bookmarkStart w:id="1163" w:name="Tc_eF7tPsPbPkuF0TedJERaBg_6_10"/>
      <w:bookmarkStart w:id="1164" w:name="Tc_hBr1O7y9D0eyz1Q51gclkg_6_8"/>
      <w:bookmarkStart w:id="1165" w:name="Tc_k-lerUpdS06MAx_yNziqlA_6_4"/>
      <w:bookmarkStart w:id="1166" w:name="Tc_AhLHrT9LOkSUrOxBeAX6zQ_6_2"/>
      <w:bookmarkStart w:id="1167" w:name="Tc_IjjoIB14MUevXrc9id-86g_5_20"/>
      <w:bookmarkStart w:id="1168" w:name="Tc_po4YjKMZwkKFdvI5HCt1vA_5_18"/>
      <w:bookmarkStart w:id="1169" w:name="Tc_1eLX-sy3JUu7lJXkp3OCQQ_5_16"/>
      <w:bookmarkStart w:id="1170" w:name="Tc_Cmagj-KKCEGS96D9KBTznA_5_14"/>
      <w:bookmarkStart w:id="1171" w:name="Tc_KAic_L8B90qfhSdyYY2Sow_5_12"/>
      <w:bookmarkStart w:id="1172" w:name="Tc_YaPdrSToAkyEL6XMA1TfwQ_5_10"/>
      <w:bookmarkStart w:id="1173" w:name="Tc_WSLN400A8U-OKKnnqNKv6A_5_8"/>
      <w:bookmarkStart w:id="1174" w:name="Tc_LBNqHKMmBUa1AabytVUI7A_4_20"/>
      <w:bookmarkStart w:id="1175" w:name="Tc_o2Tgvw6zg0SCMzttWMcqvQ_4_16"/>
      <w:bookmarkStart w:id="1176" w:name="Tc_jRNRj9HHoUimgv0xh2U-ng_4_12"/>
      <w:bookmarkStart w:id="1177" w:name="Tc_9EPC3oM3Vk6cEF-N9WMiaA_4_10"/>
      <w:bookmarkStart w:id="1178" w:name="Tc_ax61wVecmkytnX_tNYmZ1Q_4_8"/>
      <w:bookmarkStart w:id="1179" w:name="Tc_aVEnui55WkqwzzIR9m-NgQ_3_16"/>
      <w:bookmarkStart w:id="1180" w:name="Tc_dnsYCfHy4Eafy3xYj0Damg_3_12"/>
      <w:bookmarkStart w:id="1181" w:name="Tc_WAggsMWyC0C-tjMQhfUw6w_2_16"/>
      <w:bookmarkStart w:id="1182" w:name="Tc_JTs8KwynS0O0nqFgTKm4nA_1_16"/>
      <w:bookmarkStart w:id="1183" w:name="_ff233f0e_77eb_4ebe_abd8_6abd384083bb"/>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p>
    <w:tbl>
      <w:tblPr>
        <w:tblW w:w="11526" w:type="dxa"/>
        <w:jc w:val="left"/>
        <w:tblInd w:w="0" w:type="dxa"/>
        <w:tblLayout w:type="fixed"/>
        <w:tblCellMar>
          <w:top w:w="0" w:type="dxa"/>
          <w:left w:w="0" w:type="dxa"/>
          <w:bottom w:w="0" w:type="dxa"/>
          <w:right w:w="0" w:type="dxa"/>
        </w:tblCellMar>
      </w:tblPr>
      <w:tblGrid>
        <w:gridCol w:w="1126"/>
        <w:gridCol w:w="346"/>
        <w:gridCol w:w="361"/>
        <w:gridCol w:w="346"/>
        <w:gridCol w:w="706"/>
        <w:gridCol w:w="346"/>
        <w:gridCol w:w="346"/>
        <w:gridCol w:w="346"/>
        <w:gridCol w:w="631"/>
        <w:gridCol w:w="346"/>
        <w:gridCol w:w="766"/>
        <w:gridCol w:w="346"/>
        <w:gridCol w:w="886"/>
        <w:gridCol w:w="346"/>
        <w:gridCol w:w="796"/>
        <w:gridCol w:w="346"/>
        <w:gridCol w:w="766"/>
        <w:gridCol w:w="346"/>
        <w:gridCol w:w="871"/>
        <w:gridCol w:w="346"/>
        <w:gridCol w:w="811"/>
      </w:tblGrid>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left"/>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Total</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shareholders’</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Accumulated</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 xml:space="preserve">deficit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60"/>
              <w:ind w:left="0" w:right="0" w:hanging="0"/>
              <w:jc w:val="center"/>
              <w:rPr/>
            </w:pPr>
            <w:r>
              <w:rPr/>
              <w:t>​</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Additional</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Receivable</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attributable to</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Total</w:t>
            </w:r>
            <w:r>
              <w:rPr>
                <w:rFonts w:ascii="Times New Roman;Times;serif" w:hAnsi="Times New Roman;Times;serif"/>
                <w:sz w:val="12"/>
              </w:rPr>
              <w:t xml:space="preserve"> </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from</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comprehensive</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Accumulated</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ordinary</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Noncontrolling</w:t>
            </w:r>
            <w:r>
              <w:rPr>
                <w:rFonts w:ascii="Times New Roman;Times;serif" w:hAnsi="Times New Roman;Times;serif"/>
                <w:sz w:val="12"/>
              </w:rPr>
              <w:t xml:space="preserve"> </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b/>
                <w:sz w:val="12"/>
              </w:rPr>
              <w:t>shareholders’</w:t>
            </w:r>
            <w:r>
              <w:rPr>
                <w:rFonts w:ascii="Times New Roman;Times;serif" w:hAnsi="Times New Roman;Times;serif"/>
                <w:sz w:val="12"/>
              </w:rPr>
              <w:t xml:space="preserve"> </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6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Note</w:t>
            </w:r>
          </w:p>
        </w:tc>
        <w:tc>
          <w:tcPr>
            <w:tcW w:w="346" w:type="dxa"/>
            <w:tcBorders/>
            <w:vAlign w:val="center"/>
          </w:tcPr>
          <w:p>
            <w:pPr>
              <w:pStyle w:val="TableContents"/>
              <w:bidi w:val="0"/>
              <w:spacing w:lineRule="auto" w:line="307" w:before="0" w:after="160"/>
              <w:ind w:left="0" w:right="0" w:hanging="0"/>
              <w:jc w:val="center"/>
              <w:rPr/>
            </w:pPr>
            <w:r>
              <w:rPr/>
              <w:t>​</w:t>
            </w:r>
          </w:p>
        </w:tc>
        <w:tc>
          <w:tcPr>
            <w:tcW w:w="13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46" w:type="dxa"/>
            <w:tcBorders/>
            <w:vAlign w:val="center"/>
          </w:tcPr>
          <w:p>
            <w:pPr>
              <w:pStyle w:val="TableContents"/>
              <w:bidi w:val="0"/>
              <w:spacing w:lineRule="auto" w:line="307" w:before="0" w:after="16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shareholders</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 xml:space="preserve">income </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lineRule="auto" w:line="307" w:before="0" w:after="16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shareholders</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interests</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 xml:space="preserve">deficit </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06" w:type="dxa"/>
            <w:tcBorders/>
            <w:vAlign w:val="center"/>
          </w:tcPr>
          <w:p>
            <w:pPr>
              <w:pStyle w:val="TableContents"/>
              <w:bidi w:val="0"/>
              <w:spacing w:lineRule="auto" w:line="240" w:before="0" w:after="1"/>
              <w:ind w:left="0" w:right="0" w:hanging="0"/>
              <w:jc w:val="right"/>
              <w:rPr>
                <w:rFonts w:ascii="Times New Roman;Times;serif" w:hAnsi="Times New Roman;Times;serif"/>
                <w:sz w:val="12"/>
              </w:rPr>
            </w:pPr>
            <w:r>
              <w:rPr>
                <w:rFonts w:ascii="Times New Roman;Times;serif" w:hAnsi="Times New Roman;Times;serif"/>
                <w:b/>
                <w:i/>
                <w:sz w:val="12"/>
              </w:rPr>
              <w:t>Number of shares</w:t>
            </w:r>
            <w:r>
              <w:rPr>
                <w:rFonts w:ascii="Times New Roman;Times;serif" w:hAnsi="Times New Roman;Times;serif"/>
                <w:b/>
                <w:i/>
                <w:sz w:val="9"/>
              </w:rPr>
              <w:t>1</w:t>
            </w:r>
          </w:p>
        </w:tc>
        <w:tc>
          <w:tcPr>
            <w:tcW w:w="346" w:type="dxa"/>
            <w:tcBorders/>
            <w:vAlign w:val="center"/>
          </w:tcPr>
          <w:p>
            <w:pPr>
              <w:pStyle w:val="TableContents"/>
              <w:bidi w:val="0"/>
              <w:spacing w:lineRule="auto" w:line="307" w:before="0" w:after="1"/>
              <w:ind w:left="0" w:right="0" w:hanging="0"/>
              <w:jc w:val="center"/>
              <w:rPr/>
            </w:pPr>
            <w:r>
              <w:rPr/>
              <w:t>  ​ ​ ​</w:t>
            </w:r>
          </w:p>
        </w:tc>
        <w:tc>
          <w:tcPr>
            <w:tcW w:w="34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i/>
                <w:sz w:val="12"/>
              </w:rPr>
            </w:pPr>
            <w:r>
              <w:rPr>
                <w:rFonts w:ascii="Times New Roman;Times;serif" w:hAnsi="Times New Roman;Times;serif"/>
                <w:b/>
                <w:i/>
                <w:sz w:val="12"/>
              </w:rPr>
              <w:t>US$</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474,621,603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403,103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(26,447)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17,707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(846,757)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(452,373)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(453,015)</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Cumulative effect of adoption of new accounting standard</w:t>
            </w:r>
          </w:p>
        </w:tc>
        <w:tc>
          <w:tcPr>
            <w:tcW w:w="346" w:type="dxa"/>
            <w:tcBorders/>
            <w:vAlign w:val="center"/>
          </w:tcPr>
          <w:p>
            <w:pPr>
              <w:pStyle w:val="TableContents"/>
              <w:bidi w:val="0"/>
              <w:spacing w:lineRule="auto" w:line="307" w:before="0" w:after="1"/>
              <w:ind w:left="0" w:right="0" w:hanging="0"/>
              <w:jc w:val="left"/>
              <w:rPr/>
            </w:pPr>
            <w:r>
              <w:rPr/>
              <w:t>  ​ ​ ​</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2(f)</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3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(15)</w:t>
            </w:r>
          </w:p>
        </w:tc>
        <w:tc>
          <w:tcPr>
            <w:tcW w:w="346" w:type="dxa"/>
            <w:tcBorders/>
            <w:vAlign w:val="center"/>
          </w:tcPr>
          <w:p>
            <w:pPr>
              <w:pStyle w:val="TableContents"/>
              <w:bidi w:val="0"/>
              <w:spacing w:lineRule="auto" w:line="307"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(15)</w:t>
            </w:r>
          </w:p>
        </w:tc>
        <w:tc>
          <w:tcPr>
            <w:tcW w:w="346" w:type="dxa"/>
            <w:tcBorders/>
            <w:vAlign w:val="center"/>
          </w:tcPr>
          <w:p>
            <w:pPr>
              <w:pStyle w:val="TableContents"/>
              <w:bidi w:val="0"/>
              <w:spacing w:lineRule="auto" w:line="307"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(15)</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January 1, 2023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474,621,603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403,103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(26,447)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17,707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(846,772)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(452,388)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(642)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(453,030)</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(742,001)</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(742,001)</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(8,254)</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(750,255)</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Fair value changes of liabilities due to instrument-specific credit risk, net of nil income taxes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(8,650)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(8,650)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(8,650)</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Foreign currency translation adjustment, net of nil income taxes</w:t>
            </w:r>
          </w:p>
        </w:tc>
        <w:tc>
          <w:tcPr>
            <w:tcW w:w="346" w:type="dxa"/>
            <w:tcBorders/>
            <w:vAlign w:val="center"/>
          </w:tcPr>
          <w:p>
            <w:pPr>
              <w:pStyle w:val="TableContents"/>
              <w:bidi w:val="0"/>
              <w:spacing w:lineRule="auto" w:line="307" w:before="0" w:after="1"/>
              <w:ind w:left="0" w:right="0" w:hanging="0"/>
              <w:jc w:val="left"/>
              <w:rPr/>
            </w:pPr>
            <w:r>
              <w:rPr/>
              <w:t> </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16,210</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16,210</w:t>
            </w:r>
          </w:p>
        </w:tc>
        <w:tc>
          <w:tcPr>
            <w:tcW w:w="346" w:type="dxa"/>
            <w:tcBorders/>
            <w:vAlign w:val="center"/>
          </w:tcPr>
          <w:p>
            <w:pPr>
              <w:pStyle w:val="TableContents"/>
              <w:bidi w:val="0"/>
              <w:spacing w:lineRule="auto" w:line="307"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16,210</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Total comprehensive loss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7,560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(742,001)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(734,441)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(8,254)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(742,695)</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7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60"/>
              <w:ind w:left="0" w:right="0" w:hanging="0"/>
              <w:jc w:val="right"/>
              <w:rPr/>
            </w:pPr>
            <w:r>
              <w:rPr/>
              <w:t>​</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Settlement of receivable from shareholders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26,447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26,447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26,447</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Shareholder contribution related to the issuance of exchangeable notes</w:t>
            </w:r>
          </w:p>
        </w:tc>
        <w:tc>
          <w:tcPr>
            <w:tcW w:w="34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14</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909</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909</w:t>
            </w:r>
          </w:p>
        </w:tc>
        <w:tc>
          <w:tcPr>
            <w:tcW w:w="346" w:type="dxa"/>
            <w:tcBorders/>
            <w:vAlign w:val="center"/>
          </w:tcPr>
          <w:p>
            <w:pPr>
              <w:pStyle w:val="TableContents"/>
              <w:bidi w:val="0"/>
              <w:spacing w:lineRule="auto" w:line="307" w:before="0" w:after="160"/>
              <w:ind w:left="0" w:right="0" w:hanging="0"/>
              <w:jc w:val="left"/>
              <w:rPr/>
            </w:pPr>
            <w:r>
              <w:rPr/>
              <w:t>​</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909</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Deemed distribution to shareholders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(31,672)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(31,672)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(31,672)</w:t>
            </w:r>
          </w:p>
        </w:tc>
      </w:tr>
      <w:tr>
        <w:trPr/>
        <w:tc>
          <w:tcPr>
            <w:tcW w:w="1126" w:type="dxa"/>
            <w:tcBorders/>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Accretion of redeemable convertible preferred shares</w:t>
            </w:r>
          </w:p>
        </w:tc>
        <w:tc>
          <w:tcPr>
            <w:tcW w:w="346" w:type="dxa"/>
            <w:tcBorders/>
            <w:vAlign w:val="center"/>
          </w:tcPr>
          <w:p>
            <w:pPr>
              <w:pStyle w:val="TableContents"/>
              <w:bidi w:val="0"/>
              <w:spacing w:lineRule="auto" w:line="307" w:before="0" w:after="1"/>
              <w:ind w:left="0" w:right="0" w:hanging="0"/>
              <w:jc w:val="left"/>
              <w:rPr/>
            </w:pPr>
            <w:r>
              <w:rPr/>
              <w:t> </w:t>
            </w:r>
          </w:p>
        </w:tc>
        <w:tc>
          <w:tcPr>
            <w:tcW w:w="361" w:type="dxa"/>
            <w:tcBorders/>
            <w:vAlign w:val="center"/>
          </w:tcPr>
          <w:p>
            <w:pPr>
              <w:pStyle w:val="TableContents"/>
              <w:bidi w:val="0"/>
              <w:spacing w:lineRule="auto" w:line="307" w:before="0" w:after="1"/>
              <w:ind w:left="0" w:right="0" w:hanging="0"/>
              <w:jc w:val="center"/>
              <w:rPr>
                <w:rFonts w:ascii="Times New Roman;Times;serif" w:hAnsi="Times New Roman;Times;serif"/>
                <w:sz w:val="12"/>
              </w:rPr>
            </w:pPr>
            <w:r>
              <w:rPr>
                <w:rFonts w:ascii="Times New Roman;Times;serif" w:hAnsi="Times New Roman;Times;serif"/>
                <w:sz w:val="12"/>
              </w:rPr>
              <w:t>17</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(15,121)</w:t>
            </w:r>
          </w:p>
        </w:tc>
        <w:tc>
          <w:tcPr>
            <w:tcW w:w="346" w:type="dxa"/>
            <w:tcBorders/>
            <w:vAlign w:val="center"/>
          </w:tcPr>
          <w:p>
            <w:pPr>
              <w:pStyle w:val="TableContents"/>
              <w:bidi w:val="0"/>
              <w:spacing w:lineRule="auto" w:line="307" w:before="0" w:after="1"/>
              <w:ind w:left="0" w:right="0" w:hanging="0"/>
              <w:jc w:val="left"/>
              <w:rPr/>
            </w:pPr>
            <w:r>
              <w:rPr/>
              <w:t> </w:t>
            </w:r>
          </w:p>
        </w:tc>
        <w:tc>
          <w:tcPr>
            <w:tcW w:w="76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6"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(15,121)</w:t>
            </w:r>
          </w:p>
        </w:tc>
        <w:tc>
          <w:tcPr>
            <w:tcW w:w="346" w:type="dxa"/>
            <w:tcBorders/>
            <w:vAlign w:val="center"/>
          </w:tcPr>
          <w:p>
            <w:pPr>
              <w:pStyle w:val="TableContents"/>
              <w:bidi w:val="0"/>
              <w:spacing w:lineRule="auto" w:line="307" w:before="0" w:after="1"/>
              <w:ind w:left="0" w:right="0" w:hanging="0"/>
              <w:jc w:val="left"/>
              <w:rPr/>
            </w:pPr>
            <w:r>
              <w:rPr/>
              <w:t> </w:t>
            </w:r>
          </w:p>
        </w:tc>
        <w:tc>
          <w:tcPr>
            <w:tcW w:w="87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(15,121)</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2"/>
              </w:rPr>
            </w:pPr>
            <w:r>
              <w:rPr>
                <w:rFonts w:ascii="Times New Roman;Times;serif" w:hAnsi="Times New Roman;Times;serif"/>
                <w:sz w:val="12"/>
              </w:rPr>
              <w:t>Contribution from noncontrolling shareholders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968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968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3,492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2"/>
              </w:rPr>
            </w:pPr>
            <w:r>
              <w:rPr>
                <w:rFonts w:ascii="Times New Roman;Times;serif" w:hAnsi="Times New Roman;Times;serif"/>
                <w:sz w:val="12"/>
              </w:rPr>
              <w:t>4,460</w:t>
            </w:r>
          </w:p>
        </w:tc>
      </w:tr>
      <w:tr>
        <w:trPr/>
        <w:tc>
          <w:tcPr>
            <w:tcW w:w="11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6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0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6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7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11" w:type="dxa"/>
            <w:tcBorders/>
            <w:vAlign w:val="center"/>
          </w:tcPr>
          <w:p>
            <w:pPr>
              <w:pStyle w:val="TableContents"/>
              <w:bidi w:val="0"/>
              <w:spacing w:lineRule="auto" w:line="307" w:before="0" w:after="160"/>
              <w:ind w:left="0" w:right="0" w:hanging="0"/>
              <w:jc w:val="right"/>
              <w:rPr/>
            </w:pPr>
            <w:r>
              <w:rPr/>
              <w:t>​</w:t>
            </w:r>
          </w:p>
        </w:tc>
      </w:tr>
      <w:tr>
        <w:trPr/>
        <w:tc>
          <w:tcPr>
            <w:tcW w:w="112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2"/>
              </w:rPr>
            </w:pPr>
            <w:r>
              <w:rPr>
                <w:rFonts w:ascii="Times New Roman;Times;serif" w:hAnsi="Times New Roman;Times;serif"/>
                <w:b/>
                <w:sz w:val="12"/>
              </w:rPr>
              <w:t>Balance as of December 31, 2023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6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474,621,603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358,187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25,267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(1,588,773)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(1,205,298)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(5,404)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2"/>
              </w:rPr>
            </w:pPr>
            <w:r>
              <w:rPr>
                <w:rFonts w:ascii="Times New Roman;Times;serif" w:hAnsi="Times New Roman;Times;serif"/>
                <w:b/>
                <w:sz w:val="12"/>
              </w:rPr>
              <w:t>(1,210,702)</w:t>
            </w:r>
          </w:p>
        </w:tc>
      </w:tr>
    </w:tbl>
    <w:p>
      <w:pPr>
        <w:pStyle w:val="TextBody"/>
        <w:bidi w:val="0"/>
        <w:spacing w:lineRule="auto" w:line="240" w:before="0" w:after="16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Shares outstanding for all periods reflect the adjustment for Recapitalization.</w:t>
      </w:r>
    </w:p>
    <w:p>
      <w:pPr>
        <w:pStyle w:val="TextBody"/>
        <w:bidi w:val="0"/>
        <w:spacing w:lineRule="auto" w:line="285" w:before="0" w:after="20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1184" w:name="_43cc69f3_fdda_4c61_8f48_9858ca571050"/>
      <w:bookmarkEnd w:id="1184"/>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z w:val="20"/>
        </w:rPr>
      </w:pPr>
      <w:bookmarkStart w:id="1185" w:name="CashFlow"/>
      <w:bookmarkEnd w:id="1185"/>
      <w:r>
        <w:rPr>
          <w:rFonts w:ascii="Times New Roman;Times;serif" w:hAnsi="Times New Roman;Times;serif"/>
          <w:b/>
          <w:sz w:val="20"/>
        </w:rPr>
        <w:t>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bidi w:val="0"/>
        <w:spacing w:lineRule="auto" w:line="285" w:before="0" w:after="12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Normal"/>
        <w:bidi w:val="0"/>
        <w:spacing w:before="0" w:after="0"/>
        <w:jc w:val="left"/>
        <w:rPr>
          <w:sz w:val="4"/>
          <w:szCs w:val="4"/>
        </w:rPr>
      </w:pPr>
      <w:r>
        <w:rPr>
          <w:sz w:val="4"/>
          <w:szCs w:val="4"/>
        </w:rPr>
      </w:r>
      <w:bookmarkStart w:id="1186" w:name="Tc_qsiqUmp3S0SalWnZgzujtg_57_0"/>
      <w:bookmarkStart w:id="1187" w:name="Tc_TCj1I-j1dU-XF_i3coqmBQ_55_8"/>
      <w:bookmarkStart w:id="1188" w:name="Tc_Iz3_GvMl5ECDBYqQ8anBBA_55_6"/>
      <w:bookmarkStart w:id="1189" w:name="Tc_EZtUi7U0dEaLh34av_1YtQ_55_2"/>
      <w:bookmarkStart w:id="1190" w:name="Tc_WiO5k6UdD0S9imVIPJO_lg_55_0"/>
      <w:bookmarkStart w:id="1191" w:name="Tc_iR_f4cO4MUS3fHPl9_cBnQ_54_8"/>
      <w:bookmarkStart w:id="1192" w:name="Tc_R5PD3ozTN0CCrdDdWssl3w_54_4"/>
      <w:bookmarkStart w:id="1193" w:name="Tc_FDysRhLLp0uCr9U5wYT7GA_54_0"/>
      <w:bookmarkStart w:id="1194" w:name="Tc_Rmz2Zi3ZrEiLwkvhWRdH6A_53_2"/>
      <w:bookmarkStart w:id="1195" w:name="Tc_FAYyDxV1zUG69w663NWY5A_53_0"/>
      <w:bookmarkStart w:id="1196" w:name="Tc_T28nJn2OmEmn7cCIhmmaOg_52_8"/>
      <w:bookmarkStart w:id="1197" w:name="Tc_hNdprivrXkuUKzmp-cO9Lw_52_4"/>
      <w:bookmarkStart w:id="1198" w:name="Tc_7-0XYe_HuE2pp5Z1mUe38Q_52_0"/>
      <w:bookmarkStart w:id="1199" w:name="Tc_2A9mPUVpAEOOGP89c_LzIg_51_8"/>
      <w:bookmarkStart w:id="1200" w:name="Tc_u0I80GYKikCi1SjsCkJMyg_51_2"/>
      <w:bookmarkStart w:id="1201" w:name="Tc_b-d7x-nfi063rDxSrJMrlQ_51_0"/>
      <w:bookmarkStart w:id="1202" w:name="Tc_k6LWL4NbG0iPGOMGkExfCA_50_8"/>
      <w:bookmarkStart w:id="1203" w:name="Tc_QlvxaJrpcUCjvcmSWQRCVw_50_4"/>
      <w:bookmarkStart w:id="1204" w:name="Tc_v18_IEX9FEegM2yOqTiLGg_50_2"/>
      <w:bookmarkStart w:id="1205" w:name="Tc_xK2XTuEoDEGMqIQltHtjIA_50_0"/>
      <w:bookmarkStart w:id="1206" w:name="Tc_d6I6iQ6WXk-ZlJp_0xqVTg_49_0"/>
      <w:bookmarkStart w:id="1207" w:name="Tc_wZHHh7uM6EGN45mO3pGseA_48_4"/>
      <w:bookmarkStart w:id="1208" w:name="Tc_9NHJ2fAHIE6BnEJ9XoFnBg_48_0"/>
      <w:bookmarkStart w:id="1209" w:name="Tc_vT2DLzKECE-K9UKTWGOZNw_47_2"/>
      <w:bookmarkStart w:id="1210" w:name="Tc_X1pEuYkLn0qSGl9WlBshNA_47_0"/>
      <w:bookmarkStart w:id="1211" w:name="Tc_CeUDd1kEP0mNYa0A6620PQ_46_8"/>
      <w:bookmarkStart w:id="1212" w:name="Tc_-tRcm5_QeU-U8xWZHgV6KQ_46_0"/>
      <w:bookmarkStart w:id="1213" w:name="Tc_Yw-CL_8NAEq7NHKBl6f0fw_45_4"/>
      <w:bookmarkStart w:id="1214" w:name="Tc_BHUkRhUf80Sz0l8El4TEcg_45_0"/>
      <w:bookmarkStart w:id="1215" w:name="Tc_x4kxrPItBUKUV6EV5rKlVg_44_4"/>
      <w:bookmarkStart w:id="1216" w:name="Tc_Ejoe3rl00kCP9AIpijVygw_44_0"/>
      <w:bookmarkStart w:id="1217" w:name="Tc_qAPhWGFOykaN5ZWa0uSCMA_43_2"/>
      <w:bookmarkStart w:id="1218" w:name="Tc_dq1th0VqlUuxHhYjPNHh0A_43_0"/>
      <w:bookmarkStart w:id="1219" w:name="Tc_NC35q18-SUeFZhW3tJqYRg_42_0"/>
      <w:bookmarkStart w:id="1220" w:name="Tc_mRBI1LdzwESwmlZiGNTRgw_41_0"/>
      <w:bookmarkStart w:id="1221" w:name="Tc_t9N6HozhR0GqXnLv1-Z2rw_40_0"/>
      <w:bookmarkStart w:id="1222" w:name="Tc_lTxx_uCJrECfi4SirNB2fA_38_0"/>
      <w:bookmarkStart w:id="1223" w:name="Tc_5eiM2Yt6j0Kt1cYhBfOUEg_37_0"/>
      <w:bookmarkStart w:id="1224" w:name="Tc_xpajXB0ZC0utpSpOa-eZWQ_36_0"/>
      <w:bookmarkStart w:id="1225" w:name="Tc_pZ3cGkbYc0Sh30ib1z13zQ_35_0"/>
      <w:bookmarkStart w:id="1226" w:name="Tc_U_BBmMQrGkev0mdbCIPfmw_34_0"/>
      <w:bookmarkStart w:id="1227" w:name="Tc_ILAWhPr6WEOv2E50Fnz_BQ_33_0"/>
      <w:bookmarkStart w:id="1228" w:name="Tc_KGtUtqcmEkeec1-HmEYU8g_32_0"/>
      <w:bookmarkStart w:id="1229" w:name="Tc_d_4vkX17CEq_liD1PdUm_w_31_0"/>
      <w:bookmarkStart w:id="1230" w:name="Tc_1tRvGg7x6UWvgij8M50rJg_30_0"/>
      <w:bookmarkStart w:id="1231" w:name="Tc_MoSbm5tehk6r0WLTySQrKQ_29_0"/>
      <w:bookmarkStart w:id="1232" w:name="Tc_Kp7tqlIuoUixVxjphdcNtA_28_0"/>
      <w:bookmarkStart w:id="1233" w:name="Tc_s_BPLYIIG0e8VSPnJaOqjA_27_0"/>
      <w:bookmarkStart w:id="1234" w:name="Tc_GS0JC9O0XUShg5bei8mmRg_26_0"/>
      <w:bookmarkStart w:id="1235" w:name="Tc_Z2gAOjb80kebeqYgy34eVg_25_0"/>
      <w:bookmarkStart w:id="1236" w:name="Tc_RBqaJhkMqkmRIyX6y-HsWw_24_0"/>
      <w:bookmarkStart w:id="1237" w:name="Tc_uKCpDPrj6UW5FBPF3DETyA_23_0"/>
      <w:bookmarkStart w:id="1238" w:name="Tc_H4VyTs5KhEe88N8fProjBg_22_0"/>
      <w:bookmarkStart w:id="1239" w:name="Tc_C-iLf-YiVk6Vwy2kgaSbew_21_8"/>
      <w:bookmarkStart w:id="1240" w:name="Tc_ENCcwcgNS0KiJEYVgwfCBw_21_6"/>
      <w:bookmarkStart w:id="1241" w:name="Tc_o_gmD5K8kEecGo6eGqmUNQ_21_0"/>
      <w:bookmarkStart w:id="1242" w:name="Tc_9iTB_OX4Ykq3kBl-K1he-g_20_8"/>
      <w:bookmarkStart w:id="1243" w:name="Tc_50EwGybrx0--_a9ZmhWIEQ_20_6"/>
      <w:bookmarkStart w:id="1244" w:name="Tc_Zu8PE49FKEGsQm0xgnZlvQ_20_0"/>
      <w:bookmarkStart w:id="1245" w:name="Tc_PXmyi5qzikGB9XMOzfMM1A_19_8"/>
      <w:bookmarkStart w:id="1246" w:name="Tc_IPce1NOnA0avmb--SCotkA_19_4"/>
      <w:bookmarkStart w:id="1247" w:name="Tc_heNZcFn-MESQuUTkaQNT9A_19_0"/>
      <w:bookmarkStart w:id="1248" w:name="Tc_Rs9HqDrWi0yIvrJk1v9Jhg_18_0"/>
      <w:bookmarkStart w:id="1249" w:name="Tc_W944CH3AD0-wSn0iStbNZA_17_0"/>
      <w:bookmarkStart w:id="1250" w:name="Tc_3PKQX-lw3US0Anl9Mghx2w_16_8"/>
      <w:bookmarkStart w:id="1251" w:name="Tc_Ptbh-yprBUWNXiAX5XJTOA_16_0"/>
      <w:bookmarkStart w:id="1252" w:name="Tc_lKPF3uamQUaVn3foxi1C1g_15_8"/>
      <w:bookmarkStart w:id="1253" w:name="Tc_5i0X13Iaa0WDxIvpZWt6ZQ_15_0"/>
      <w:bookmarkStart w:id="1254" w:name="Tc_a42GMbrpGE6mtbykrDnTfA_14_0"/>
      <w:bookmarkStart w:id="1255" w:name="Tc_55OMz1xllEG3d7oGXwFuww_13_6"/>
      <w:bookmarkStart w:id="1256" w:name="Tc_-jSB4dKAnUqazqo-A6ml_Q_13_0"/>
      <w:bookmarkStart w:id="1257" w:name="Tc_YjuynCFWCkqYAOO6D9QAdQ_12_8"/>
      <w:bookmarkStart w:id="1258" w:name="Tc_UCRjqq-4JkiiZAYKCUzqcg_12_0"/>
      <w:bookmarkStart w:id="1259" w:name="Tc_L045eq7FokCs7R-k1poLEw_11_0"/>
      <w:bookmarkStart w:id="1260" w:name="Tc_QL2UhGDxn0u8_5sup2inHg_10_0"/>
      <w:bookmarkStart w:id="1261" w:name="Tc_4TBULj-fyE2JB3u6V18fYA_9_0"/>
      <w:bookmarkStart w:id="1262" w:name="Tc_FW1UbTjMfUak6-6kabdPyw_8_0"/>
      <w:bookmarkStart w:id="1263" w:name="Tc_s5zW4yPNu0e-8CLUIjwfPw_7_0"/>
      <w:bookmarkStart w:id="1264" w:name="Tc_VAL82QM4kUO_GUE7UdaIXw_6_0"/>
      <w:bookmarkStart w:id="1265" w:name="Tc_dpmEstJb7kG4lyhGlDC-Rw_5_0"/>
      <w:bookmarkStart w:id="1266" w:name="Tc_i1wmWyBjRUCxqMlSKkCG0Q_4_0"/>
      <w:bookmarkStart w:id="1267" w:name="Tc_3TYjzNH5eEGt74BFzZd9ow_3_8"/>
      <w:bookmarkStart w:id="1268" w:name="Tc_DoO1s-5-JU-okjCNsTLwHA_3_6"/>
      <w:bookmarkStart w:id="1269" w:name="Tc_PUpXjjGow0GM8WDwODWVrg_3_4"/>
      <w:bookmarkStart w:id="1270" w:name="Tc_S--_sDST-kmmdWrxrrTKZQ_2_8"/>
      <w:bookmarkStart w:id="1271" w:name="Tc_R8IQtkxvbEORyAp5IQTOcw_2_6"/>
      <w:bookmarkStart w:id="1272" w:name="Tc_-bVh-W_jCEu-j6McGybm7w_2_4"/>
      <w:bookmarkStart w:id="1273" w:name="Tc_CI4pgO5PHUaU10Lzp4-_rg_2_2"/>
      <w:bookmarkStart w:id="1274" w:name="Tc_CmEVvQCToESiOR7xgd8FCg_1_4"/>
      <w:bookmarkStart w:id="1275" w:name="_662ee700_bb50_4232_aedb_d64ae101e6a5"/>
      <w:bookmarkStart w:id="1276" w:name="Tc_qsiqUmp3S0SalWnZgzujtg_57_0"/>
      <w:bookmarkStart w:id="1277" w:name="Tc_TCj1I-j1dU-XF_i3coqmBQ_55_8"/>
      <w:bookmarkStart w:id="1278" w:name="Tc_Iz3_GvMl5ECDBYqQ8anBBA_55_6"/>
      <w:bookmarkStart w:id="1279" w:name="Tc_EZtUi7U0dEaLh34av_1YtQ_55_2"/>
      <w:bookmarkStart w:id="1280" w:name="Tc_WiO5k6UdD0S9imVIPJO_lg_55_0"/>
      <w:bookmarkStart w:id="1281" w:name="Tc_iR_f4cO4MUS3fHPl9_cBnQ_54_8"/>
      <w:bookmarkStart w:id="1282" w:name="Tc_R5PD3ozTN0CCrdDdWssl3w_54_4"/>
      <w:bookmarkStart w:id="1283" w:name="Tc_FDysRhLLp0uCr9U5wYT7GA_54_0"/>
      <w:bookmarkStart w:id="1284" w:name="Tc_Rmz2Zi3ZrEiLwkvhWRdH6A_53_2"/>
      <w:bookmarkStart w:id="1285" w:name="Tc_FAYyDxV1zUG69w663NWY5A_53_0"/>
      <w:bookmarkStart w:id="1286" w:name="Tc_T28nJn2OmEmn7cCIhmmaOg_52_8"/>
      <w:bookmarkStart w:id="1287" w:name="Tc_hNdprivrXkuUKzmp-cO9Lw_52_4"/>
      <w:bookmarkStart w:id="1288" w:name="Tc_7-0XYe_HuE2pp5Z1mUe38Q_52_0"/>
      <w:bookmarkStart w:id="1289" w:name="Tc_2A9mPUVpAEOOGP89c_LzIg_51_8"/>
      <w:bookmarkStart w:id="1290" w:name="Tc_u0I80GYKikCi1SjsCkJMyg_51_2"/>
      <w:bookmarkStart w:id="1291" w:name="Tc_b-d7x-nfi063rDxSrJMrlQ_51_0"/>
      <w:bookmarkStart w:id="1292" w:name="Tc_k6LWL4NbG0iPGOMGkExfCA_50_8"/>
      <w:bookmarkStart w:id="1293" w:name="Tc_QlvxaJrpcUCjvcmSWQRCVw_50_4"/>
      <w:bookmarkStart w:id="1294" w:name="Tc_v18_IEX9FEegM2yOqTiLGg_50_2"/>
      <w:bookmarkStart w:id="1295" w:name="Tc_xK2XTuEoDEGMqIQltHtjIA_50_0"/>
      <w:bookmarkStart w:id="1296" w:name="Tc_d6I6iQ6WXk-ZlJp_0xqVTg_49_0"/>
      <w:bookmarkStart w:id="1297" w:name="Tc_wZHHh7uM6EGN45mO3pGseA_48_4"/>
      <w:bookmarkStart w:id="1298" w:name="Tc_9NHJ2fAHIE6BnEJ9XoFnBg_48_0"/>
      <w:bookmarkStart w:id="1299" w:name="Tc_vT2DLzKECE-K9UKTWGOZNw_47_2"/>
      <w:bookmarkStart w:id="1300" w:name="Tc_X1pEuYkLn0qSGl9WlBshNA_47_0"/>
      <w:bookmarkStart w:id="1301" w:name="Tc_CeUDd1kEP0mNYa0A6620PQ_46_8"/>
      <w:bookmarkStart w:id="1302" w:name="Tc_-tRcm5_QeU-U8xWZHgV6KQ_46_0"/>
      <w:bookmarkStart w:id="1303" w:name="Tc_Yw-CL_8NAEq7NHKBl6f0fw_45_4"/>
      <w:bookmarkStart w:id="1304" w:name="Tc_BHUkRhUf80Sz0l8El4TEcg_45_0"/>
      <w:bookmarkStart w:id="1305" w:name="Tc_x4kxrPItBUKUV6EV5rKlVg_44_4"/>
      <w:bookmarkStart w:id="1306" w:name="Tc_Ejoe3rl00kCP9AIpijVygw_44_0"/>
      <w:bookmarkStart w:id="1307" w:name="Tc_qAPhWGFOykaN5ZWa0uSCMA_43_2"/>
      <w:bookmarkStart w:id="1308" w:name="Tc_dq1th0VqlUuxHhYjPNHh0A_43_0"/>
      <w:bookmarkStart w:id="1309" w:name="Tc_NC35q18-SUeFZhW3tJqYRg_42_0"/>
      <w:bookmarkStart w:id="1310" w:name="Tc_mRBI1LdzwESwmlZiGNTRgw_41_0"/>
      <w:bookmarkStart w:id="1311" w:name="Tc_t9N6HozhR0GqXnLv1-Z2rw_40_0"/>
      <w:bookmarkStart w:id="1312" w:name="Tc_lTxx_uCJrECfi4SirNB2fA_38_0"/>
      <w:bookmarkStart w:id="1313" w:name="Tc_5eiM2Yt6j0Kt1cYhBfOUEg_37_0"/>
      <w:bookmarkStart w:id="1314" w:name="Tc_xpajXB0ZC0utpSpOa-eZWQ_36_0"/>
      <w:bookmarkStart w:id="1315" w:name="Tc_pZ3cGkbYc0Sh30ib1z13zQ_35_0"/>
      <w:bookmarkStart w:id="1316" w:name="Tc_U_BBmMQrGkev0mdbCIPfmw_34_0"/>
      <w:bookmarkStart w:id="1317" w:name="Tc_ILAWhPr6WEOv2E50Fnz_BQ_33_0"/>
      <w:bookmarkStart w:id="1318" w:name="Tc_KGtUtqcmEkeec1-HmEYU8g_32_0"/>
      <w:bookmarkStart w:id="1319" w:name="Tc_d_4vkX17CEq_liD1PdUm_w_31_0"/>
      <w:bookmarkStart w:id="1320" w:name="Tc_1tRvGg7x6UWvgij8M50rJg_30_0"/>
      <w:bookmarkStart w:id="1321" w:name="Tc_MoSbm5tehk6r0WLTySQrKQ_29_0"/>
      <w:bookmarkStart w:id="1322" w:name="Tc_Kp7tqlIuoUixVxjphdcNtA_28_0"/>
      <w:bookmarkStart w:id="1323" w:name="Tc_s_BPLYIIG0e8VSPnJaOqjA_27_0"/>
      <w:bookmarkStart w:id="1324" w:name="Tc_GS0JC9O0XUShg5bei8mmRg_26_0"/>
      <w:bookmarkStart w:id="1325" w:name="Tc_Z2gAOjb80kebeqYgy34eVg_25_0"/>
      <w:bookmarkStart w:id="1326" w:name="Tc_RBqaJhkMqkmRIyX6y-HsWw_24_0"/>
      <w:bookmarkStart w:id="1327" w:name="Tc_uKCpDPrj6UW5FBPF3DETyA_23_0"/>
      <w:bookmarkStart w:id="1328" w:name="Tc_H4VyTs5KhEe88N8fProjBg_22_0"/>
      <w:bookmarkStart w:id="1329" w:name="Tc_C-iLf-YiVk6Vwy2kgaSbew_21_8"/>
      <w:bookmarkStart w:id="1330" w:name="Tc_ENCcwcgNS0KiJEYVgwfCBw_21_6"/>
      <w:bookmarkStart w:id="1331" w:name="Tc_o_gmD5K8kEecGo6eGqmUNQ_21_0"/>
      <w:bookmarkStart w:id="1332" w:name="Tc_9iTB_OX4Ykq3kBl-K1he-g_20_8"/>
      <w:bookmarkStart w:id="1333" w:name="Tc_50EwGybrx0--_a9ZmhWIEQ_20_6"/>
      <w:bookmarkStart w:id="1334" w:name="Tc_Zu8PE49FKEGsQm0xgnZlvQ_20_0"/>
      <w:bookmarkStart w:id="1335" w:name="Tc_PXmyi5qzikGB9XMOzfMM1A_19_8"/>
      <w:bookmarkStart w:id="1336" w:name="Tc_IPce1NOnA0avmb--SCotkA_19_4"/>
      <w:bookmarkStart w:id="1337" w:name="Tc_heNZcFn-MESQuUTkaQNT9A_19_0"/>
      <w:bookmarkStart w:id="1338" w:name="Tc_Rs9HqDrWi0yIvrJk1v9Jhg_18_0"/>
      <w:bookmarkStart w:id="1339" w:name="Tc_W944CH3AD0-wSn0iStbNZA_17_0"/>
      <w:bookmarkStart w:id="1340" w:name="Tc_3PKQX-lw3US0Anl9Mghx2w_16_8"/>
      <w:bookmarkStart w:id="1341" w:name="Tc_Ptbh-yprBUWNXiAX5XJTOA_16_0"/>
      <w:bookmarkStart w:id="1342" w:name="Tc_lKPF3uamQUaVn3foxi1C1g_15_8"/>
      <w:bookmarkStart w:id="1343" w:name="Tc_5i0X13Iaa0WDxIvpZWt6ZQ_15_0"/>
      <w:bookmarkStart w:id="1344" w:name="Tc_a42GMbrpGE6mtbykrDnTfA_14_0"/>
      <w:bookmarkStart w:id="1345" w:name="Tc_55OMz1xllEG3d7oGXwFuww_13_6"/>
      <w:bookmarkStart w:id="1346" w:name="Tc_-jSB4dKAnUqazqo-A6ml_Q_13_0"/>
      <w:bookmarkStart w:id="1347" w:name="Tc_YjuynCFWCkqYAOO6D9QAdQ_12_8"/>
      <w:bookmarkStart w:id="1348" w:name="Tc_UCRjqq-4JkiiZAYKCUzqcg_12_0"/>
      <w:bookmarkStart w:id="1349" w:name="Tc_L045eq7FokCs7R-k1poLEw_11_0"/>
      <w:bookmarkStart w:id="1350" w:name="Tc_QL2UhGDxn0u8_5sup2inHg_10_0"/>
      <w:bookmarkStart w:id="1351" w:name="Tc_4TBULj-fyE2JB3u6V18fYA_9_0"/>
      <w:bookmarkStart w:id="1352" w:name="Tc_FW1UbTjMfUak6-6kabdPyw_8_0"/>
      <w:bookmarkStart w:id="1353" w:name="Tc_s5zW4yPNu0e-8CLUIjwfPw_7_0"/>
      <w:bookmarkStart w:id="1354" w:name="Tc_VAL82QM4kUO_GUE7UdaIXw_6_0"/>
      <w:bookmarkStart w:id="1355" w:name="Tc_dpmEstJb7kG4lyhGlDC-Rw_5_0"/>
      <w:bookmarkStart w:id="1356" w:name="Tc_i1wmWyBjRUCxqMlSKkCG0Q_4_0"/>
      <w:bookmarkStart w:id="1357" w:name="Tc_3TYjzNH5eEGt74BFzZd9ow_3_8"/>
      <w:bookmarkStart w:id="1358" w:name="Tc_DoO1s-5-JU-okjCNsTLwHA_3_6"/>
      <w:bookmarkStart w:id="1359" w:name="Tc_PUpXjjGow0GM8WDwODWVrg_3_4"/>
      <w:bookmarkStart w:id="1360" w:name="Tc_S--_sDST-kmmdWrxrrTKZQ_2_8"/>
      <w:bookmarkStart w:id="1361" w:name="Tc_R8IQtkxvbEORyAp5IQTOcw_2_6"/>
      <w:bookmarkStart w:id="1362" w:name="Tc_-bVh-W_jCEu-j6McGybm7w_2_4"/>
      <w:bookmarkStart w:id="1363" w:name="Tc_CI4pgO5PHUaU10Lzp4-_rg_2_2"/>
      <w:bookmarkStart w:id="1364" w:name="Tc_CmEVvQCToESiOR7xgd8FCg_1_4"/>
      <w:bookmarkStart w:id="1365" w:name="_662ee700_bb50_4232_aedb_d64ae101e6a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p>
    <w:tbl>
      <w:tblPr>
        <w:tblW w:w="9369" w:type="dxa"/>
        <w:jc w:val="left"/>
        <w:tblInd w:w="0" w:type="dxa"/>
        <w:tblLayout w:type="fixed"/>
        <w:tblCellMar>
          <w:top w:w="0" w:type="dxa"/>
          <w:left w:w="0" w:type="dxa"/>
          <w:bottom w:w="0" w:type="dxa"/>
          <w:right w:w="0" w:type="dxa"/>
        </w:tblCellMar>
      </w:tblPr>
      <w:tblGrid>
        <w:gridCol w:w="5356"/>
        <w:gridCol w:w="346"/>
        <w:gridCol w:w="391"/>
        <w:gridCol w:w="346"/>
        <w:gridCol w:w="691"/>
        <w:gridCol w:w="346"/>
        <w:gridCol w:w="811"/>
        <w:gridCol w:w="346"/>
        <w:gridCol w:w="736"/>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401060" cy="175260"/>
                      <wp:effectExtent l="0" t="0" r="0" b="0"/>
                      <wp:wrapNone/>
                      <wp:docPr id="263" name="Frame258"/>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64"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48285" cy="175260"/>
                      <wp:effectExtent l="0" t="0" r="0" b="0"/>
                      <wp:wrapNone/>
                      <wp:docPr id="265" name="Frame26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66"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38785" cy="175260"/>
                      <wp:effectExtent l="0" t="0" r="0" b="0"/>
                      <wp:wrapNone/>
                      <wp:docPr id="267" name="Frame2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68"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14985" cy="175260"/>
                      <wp:effectExtent l="0" t="0" r="0" b="0"/>
                      <wp:wrapNone/>
                      <wp:docPr id="269" name="Frame26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0"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67360" cy="175260"/>
                      <wp:effectExtent l="0" t="0" r="0" b="0"/>
                      <wp:wrapNone/>
                      <wp:docPr id="271" name="Frame26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93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5"/>
              </w:rPr>
            </w:pPr>
            <w:r>
              <w:rPr>
                <w:rFonts w:ascii="Times New Roman;Times;serif" w:hAnsi="Times New Roman;Times;serif"/>
                <w:b/>
                <w:sz w:val="15"/>
              </w:rPr>
              <w:t>Year ended December 31, </w:t>
            </w:r>
          </w:p>
        </w:tc>
      </w:tr>
      <w:tr>
        <w:trPr/>
        <w:tc>
          <w:tcPr>
            <w:tcW w:w="53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5"/>
              </w:rPr>
            </w:pPr>
            <w:r>
              <w:rPr>
                <w:rFonts w:ascii="Times New Roman;Times;serif" w:hAnsi="Times New Roman;Times;serif"/>
                <w:b/>
                <w:sz w:val="15"/>
              </w:rPr>
              <w:t>Note</w:t>
            </w:r>
          </w:p>
        </w:tc>
        <w:tc>
          <w:tcPr>
            <w:tcW w:w="346" w:type="dxa"/>
            <w:tcBorders/>
            <w:vAlign w:val="center"/>
          </w:tcPr>
          <w:p>
            <w:pPr>
              <w:pStyle w:val="TableContents"/>
              <w:bidi w:val="0"/>
              <w:spacing w:lineRule="auto" w:line="307"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2023</w:t>
            </w:r>
          </w:p>
        </w:tc>
      </w:tr>
      <w:tr>
        <w:trPr/>
        <w:tc>
          <w:tcPr>
            <w:tcW w:w="53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9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i/>
                <w:sz w:val="15"/>
              </w:rPr>
            </w:pPr>
            <w:r>
              <w:rPr>
                <w:rFonts w:ascii="Times New Roman;Times;serif" w:hAnsi="Times New Roman;Times;serif"/>
                <w:b/>
                <w:i/>
                <w:sz w:val="15"/>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i/>
                <w:sz w:val="15"/>
              </w:rPr>
            </w:pPr>
            <w:r>
              <w:rPr>
                <w:rFonts w:ascii="Times New Roman;Times;serif" w:hAnsi="Times New Roman;Times;serif"/>
                <w:b/>
                <w:i/>
                <w:sz w:val="15"/>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b/>
                <w:i/>
                <w:sz w:val="15"/>
              </w:rPr>
            </w:pPr>
            <w:r>
              <w:rPr>
                <w:rFonts w:ascii="Times New Roman;Times;serif" w:hAnsi="Times New Roman;Times;serif"/>
                <w:b/>
                <w:i/>
                <w:sz w:val="15"/>
              </w:rPr>
              <w:t>US$</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5"/>
              </w:rPr>
            </w:pPr>
            <w:r>
              <w:rPr>
                <w:rFonts w:ascii="Times New Roman;Times;serif" w:hAnsi="Times New Roman;Times;serif"/>
                <w:b/>
                <w:sz w:val="15"/>
              </w:rPr>
              <w:t>Operating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pPr>
            <w:r>
              <w:rPr/>
              <w:t>  ​</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b/>
                <w:sz w:val="15"/>
              </w:rPr>
            </w:pPr>
            <w:r>
              <w:rPr>
                <w:rFonts w:ascii="Times New Roman;Times;serif" w:hAnsi="Times New Roman;Times;serif"/>
                <w:b/>
                <w:sz w:val="15"/>
              </w:rPr>
              <w:t>Net loss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(464,222)</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(1,107,289)</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(750,255)</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i/>
                <w:sz w:val="15"/>
              </w:rPr>
            </w:pPr>
            <w:r>
              <w:rPr>
                <w:rFonts w:ascii="Times New Roman;Times;serif" w:hAnsi="Times New Roman;Times;serif"/>
                <w:i/>
                <w:sz w:val="15"/>
              </w:rPr>
              <w:t>Adjustments to reconcile net loss to net cash used in operating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60"/>
              <w:ind w:left="0" w:right="0" w:hanging="0"/>
              <w:jc w:val="right"/>
              <w:rPr/>
            </w:pPr>
            <w:r>
              <w:rPr/>
              <w:t>​</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Depreciation</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54,740</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76,488</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54,957</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Reduction in the carrying amount of operating lease right-of-use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14,061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18,253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20,056</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Investment (income) loss, net</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(10,740)</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(14,232)</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1,162</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Share of results of equity method investments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(1,987)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171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1,048</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Changes in fair values of liabilities, excluding impact of instrument-specific credit risk</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28,319</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285,423</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10,039</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 xml:space="preserve">Share-based compensation expense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2,274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31,930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Deferred income tax expense</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687</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(126)</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Non-cash interest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12,907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14,784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1,620</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Non-cash interest income</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(21,225)</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(13,415)</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pPr>
            <w:r>
              <w:rPr/>
              <w:t>—</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Amortization of deferred income relating to government grants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(60)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Expected credit loss (reversal) accrual</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(4,818)</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5,815</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389</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Warranty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21,003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21,852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8,492</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Commission fee for Westwood subscription commitment</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3,500</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pPr>
            <w:r>
              <w:rPr/>
              <w:t>—</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Impairment of long-lived assets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51,800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Non-cash other operating income</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(33,019)</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pPr>
            <w:r>
              <w:rPr/>
              <w:t>—</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Net unrealized foreign currency exchange losses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1,640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496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1,466</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i/>
                <w:sz w:val="15"/>
              </w:rPr>
            </w:pPr>
            <w:r>
              <w:rPr>
                <w:rFonts w:ascii="Times New Roman;Times;serif" w:hAnsi="Times New Roman;Times;serif"/>
                <w:i/>
                <w:sz w:val="15"/>
              </w:rPr>
              <w:t>Changes in operating assets and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60"/>
              <w:ind w:left="0" w:right="0" w:hanging="0"/>
              <w:jc w:val="right"/>
              <w:rPr/>
            </w:pPr>
            <w:r>
              <w:rPr/>
              <w:t>​</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Accounts receivable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89,354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(67,262)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(75,265)</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Accounts receivable – related parties</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6,102</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(88,808)</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(14,356)</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81,235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69,675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(235,074)</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Prepayments and other current assets – third parties</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415</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(21,655)</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(20,268)</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 xml:space="preserve">Prepayments and other current assets – related parties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(32,765)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(46,564)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(18,880)</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Other non-current assets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(7,970)</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(20,893)</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(34,248)</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Other non-current assets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544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1,583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(2,706)</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Accounts payable – third parties</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(9,378)</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43,685</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21,067</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Accounts payable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51,420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76,329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335,307</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Contract liabilities–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(18,939)</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(7,150)</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42,393</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(99,444)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(30,062)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124,094</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 –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(13,983)</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(55,875)</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89,876</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 xml:space="preserve">Operating lease liabilities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(17,138)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(16,351)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(29,357)</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Other non-current liabilities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(14,082)</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(8,783)</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81,728</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Other non-current liabilities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(638)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(140)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(91)</w:t>
            </w:r>
          </w:p>
        </w:tc>
      </w:tr>
      <w:tr>
        <w:trPr/>
        <w:tc>
          <w:tcPr>
            <w:tcW w:w="53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60"/>
              <w:ind w:left="0" w:right="0" w:hanging="0"/>
              <w:jc w:val="right"/>
              <w:rPr/>
            </w:pPr>
            <w:r>
              <w:rPr/>
              <w:t>​</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5"/>
              </w:rPr>
            </w:pPr>
            <w:r>
              <w:rPr>
                <w:rFonts w:ascii="Times New Roman;Times;serif" w:hAnsi="Times New Roman;Times;serif"/>
                <w:b/>
                <w:sz w:val="15"/>
              </w:rPr>
              <w:t>Net cash used in operating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(333,907)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(848,520)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(386,932)</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b/>
                <w:sz w:val="15"/>
              </w:rPr>
            </w:pPr>
            <w:r>
              <w:rPr>
                <w:rFonts w:ascii="Times New Roman;Times;serif" w:hAnsi="Times New Roman;Times;serif"/>
                <w:b/>
                <w:sz w:val="15"/>
              </w:rPr>
              <w:t>Investing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pPr>
            <w:r>
              <w:rPr/>
              <w:t>  ​</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Payments for purchases of property, equipment and software and intangible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(79,432)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(57,337)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(213,714)</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Proceeds from disposal of property, equipment and software</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
              <w:ind w:left="0" w:right="0" w:hanging="0"/>
              <w:jc w:val="center"/>
              <w:rPr>
                <w:rFonts w:ascii="Times New Roman;Times;serif" w:hAnsi="Times New Roman;Times;serif"/>
                <w:sz w:val="15"/>
              </w:rPr>
            </w:pPr>
            <w:r>
              <w:rPr>
                <w:rFonts w:ascii="Times New Roman;Times;serif" w:hAnsi="Times New Roman;Times;serif"/>
                <w:sz w:val="15"/>
              </w:rPr>
              <w:t>26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20,237</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6,539</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5,117</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Payments for purchases of short-term investments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(48,150)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(38,254)</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Proceeds from sales of short-term investments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48,257</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37,428</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Proceeds from settlement of derivative instruments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740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239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Receipts of government grants related to assets</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
              <w:ind w:left="0" w:right="0" w:hanging="0"/>
              <w:jc w:val="center"/>
              <w:rPr>
                <w:rFonts w:ascii="Times New Roman;Times;serif" w:hAnsi="Times New Roman;Times;serif"/>
                <w:sz w:val="15"/>
              </w:rPr>
            </w:pPr>
            <w:r>
              <w:rPr>
                <w:rFonts w:ascii="Times New Roman;Times;serif" w:hAnsi="Times New Roman;Times;serif"/>
                <w:sz w:val="15"/>
              </w:rPr>
              <w:t>16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11,331</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28,135</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16,345</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Payments for investments in equity investees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(414)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(5,059)</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Disposal of a subsidiary, net of cash disposed</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(371)</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6,788</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1,379</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Payments for purchases of securities pledged to an investor</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5"/>
              </w:rPr>
            </w:pPr>
            <w:r>
              <w:rPr>
                <w:rFonts w:ascii="Times New Roman;Times;serif" w:hAnsi="Times New Roman;Times;serif"/>
                <w:sz w:val="15"/>
              </w:rPr>
              <w:t>13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(500,000)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Proceeds from sales of securities pledged to an investor</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
              <w:ind w:left="0" w:right="0" w:hanging="0"/>
              <w:jc w:val="center"/>
              <w:rPr>
                <w:rFonts w:ascii="Times New Roman;Times;serif" w:hAnsi="Times New Roman;Times;serif"/>
                <w:sz w:val="15"/>
              </w:rPr>
            </w:pPr>
            <w:r>
              <w:rPr>
                <w:rFonts w:ascii="Times New Roman;Times;serif" w:hAnsi="Times New Roman;Times;serif"/>
                <w:sz w:val="15"/>
              </w:rPr>
              <w:t>13</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326,891</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189,630</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pPr>
            <w:r>
              <w:rPr/>
              <w:t>—</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Proceeds from investment income arising from securities pledged to an investor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8,936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Loans to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
              <w:ind w:left="0" w:right="0" w:hanging="0"/>
              <w:jc w:val="center"/>
              <w:rPr>
                <w:rFonts w:ascii="Times New Roman;Times;serif" w:hAnsi="Times New Roman;Times;serif"/>
                <w:sz w:val="15"/>
              </w:rPr>
            </w:pPr>
            <w:r>
              <w:rPr>
                <w:rFonts w:ascii="Times New Roman;Times;serif" w:hAnsi="Times New Roman;Times;serif"/>
                <w:sz w:val="15"/>
              </w:rPr>
              <w:t>26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(60,722)</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(262,203)</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(1,227)</w:t>
            </w:r>
          </w:p>
        </w:tc>
      </w:tr>
      <w:tr>
        <w:trPr/>
        <w:tc>
          <w:tcPr>
            <w:tcW w:w="53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Proceed from settlement of related party loans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9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140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sz w:val="15"/>
              </w:rPr>
            </w:pPr>
            <w:r>
              <w:rPr>
                <w:rFonts w:ascii="Times New Roman;Times;serif" w:hAnsi="Times New Roman;Times;serif"/>
                <w:sz w:val="15"/>
              </w:rPr>
              <w:t>Disposal of equity investment under common control</w:t>
            </w:r>
          </w:p>
        </w:tc>
        <w:tc>
          <w:tcPr>
            <w:tcW w:w="346" w:type="dxa"/>
            <w:tcBorders/>
            <w:vAlign w:val="center"/>
          </w:tcPr>
          <w:p>
            <w:pPr>
              <w:pStyle w:val="TableContents"/>
              <w:bidi w:val="0"/>
              <w:spacing w:lineRule="auto" w:line="307" w:before="0" w:after="160"/>
              <w:ind w:left="0" w:right="0" w:hanging="0"/>
              <w:jc w:val="left"/>
              <w:rPr/>
            </w:pPr>
            <w:r>
              <w:rPr/>
              <w:t>​</w:t>
            </w:r>
          </w:p>
        </w:tc>
        <w:tc>
          <w:tcPr>
            <w:tcW w:w="391" w:type="dxa"/>
            <w:tcBorders/>
            <w:vAlign w:val="center"/>
          </w:tcPr>
          <w:p>
            <w:pPr>
              <w:pStyle w:val="TableContents"/>
              <w:bidi w:val="0"/>
              <w:spacing w:lineRule="auto" w:line="307" w:before="0" w:after="1"/>
              <w:ind w:left="0" w:right="0" w:hanging="0"/>
              <w:jc w:val="center"/>
              <w:rPr>
                <w:rFonts w:ascii="Times New Roman;Times;serif" w:hAnsi="Times New Roman;Times;serif"/>
                <w:sz w:val="15"/>
              </w:rPr>
            </w:pPr>
            <w:r>
              <w:rPr>
                <w:rFonts w:ascii="Times New Roman;Times;serif" w:hAnsi="Times New Roman;Times;serif"/>
                <w:sz w:val="15"/>
              </w:rPr>
              <w:t>2(h)</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5"/>
              </w:rPr>
            </w:pPr>
            <w:r>
              <w:rPr>
                <w:rFonts w:ascii="Times New Roman;Times;serif" w:hAnsi="Times New Roman;Times;serif"/>
                <w:sz w:val="15"/>
              </w:rPr>
              <w:t>58,885</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5356" w:type="dxa"/>
            <w:tcBorders/>
            <w:shd w:fill="CCEEFF" w:val="clear"/>
            <w:vAlign w:val="center"/>
          </w:tcPr>
          <w:p>
            <w:pPr>
              <w:pStyle w:val="TableContents"/>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9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1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60"/>
              <w:ind w:left="0" w:right="0" w:hanging="0"/>
              <w:jc w:val="right"/>
              <w:rPr/>
            </w:pPr>
            <w:r>
              <w:rPr/>
              <w:t>​</w:t>
            </w:r>
          </w:p>
        </w:tc>
      </w:tr>
      <w:tr>
        <w:trPr/>
        <w:tc>
          <w:tcPr>
            <w:tcW w:w="5356" w:type="dxa"/>
            <w:tcBorders/>
            <w:vAlign w:val="center"/>
          </w:tcPr>
          <w:p>
            <w:pPr>
              <w:pStyle w:val="TableContents"/>
              <w:bidi w:val="0"/>
              <w:spacing w:lineRule="auto" w:line="307" w:before="0" w:after="1"/>
              <w:ind w:left="0" w:right="0" w:hanging="0"/>
              <w:jc w:val="left"/>
              <w:rPr>
                <w:rFonts w:ascii="Times New Roman;Times;serif" w:hAnsi="Times New Roman;Times;serif"/>
                <w:b/>
                <w:sz w:val="15"/>
              </w:rPr>
            </w:pPr>
            <w:r>
              <w:rPr>
                <w:rFonts w:ascii="Times New Roman;Times;serif" w:hAnsi="Times New Roman;Times;serif"/>
                <w:b/>
                <w:sz w:val="15"/>
              </w:rPr>
              <w:t>Net cash provided by (used in) investing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3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277,559</w:t>
            </w:r>
          </w:p>
        </w:tc>
        <w:tc>
          <w:tcPr>
            <w:tcW w:w="346" w:type="dxa"/>
            <w:tcBorders/>
            <w:vAlign w:val="center"/>
          </w:tcPr>
          <w:p>
            <w:pPr>
              <w:pStyle w:val="TableContents"/>
              <w:bidi w:val="0"/>
              <w:spacing w:lineRule="auto" w:line="307" w:before="0" w:after="16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(579,440)</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5"/>
              </w:rPr>
            </w:pPr>
            <w:r>
              <w:rPr>
                <w:rFonts w:ascii="Times New Roman;Times;serif" w:hAnsi="Times New Roman;Times;serif"/>
                <w:b/>
                <w:sz w:val="15"/>
              </w:rPr>
              <w:t>(197,985)</w:t>
            </w:r>
          </w:p>
        </w:tc>
      </w:tr>
    </w:tbl>
    <w:p>
      <w:pPr>
        <w:pStyle w:val="TextBody"/>
        <w:bidi w:val="0"/>
        <w:spacing w:lineRule="auto" w:line="307" w:before="0" w:after="200"/>
        <w:ind w:left="0" w:right="0" w:hanging="0"/>
        <w:jc w:val="left"/>
        <w:rPr/>
      </w:pPr>
      <w:r>
        <w:rPr/>
        <w:t>​</w:t>
      </w:r>
    </w:p>
    <w:p>
      <w:pPr>
        <w:pStyle w:val="TextBody"/>
        <w:bidi w:val="0"/>
        <w:spacing w:lineRule="auto" w:line="307" w:before="0" w:after="20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bookmarkStart w:id="1366" w:name="_70ef2ad3_77bd_4018_a1e8_5dcf540699fd"/>
      <w:bookmarkEnd w:id="1366"/>
      <w:r>
        <w:rPr>
          <w:rFonts w:ascii="Times New Roman;Times;serif" w:hAnsi="Times New Roman;Times;serif"/>
          <w:b/>
          <w:spacing w:val="-10"/>
          <w:sz w:val="20"/>
        </w:rPr>
        <w:t>LOTUS TECHNOLOGY INC.</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CONSOLIDATED STATEMENTS OF CASH FLOWS</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FOR THE YEARS ENDED DECEMBER 31, 2025, 2024 AND 2023 (Continued)</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(All amounts in thousands, except for share and per share data)</w:t>
      </w:r>
    </w:p>
    <w:p>
      <w:pPr>
        <w:pStyle w:val="TextBody"/>
        <w:bidi w:val="0"/>
        <w:spacing w:lineRule="auto" w:line="307" w:before="0" w:after="160"/>
        <w:ind w:left="0" w:right="0" w:hanging="0"/>
        <w:jc w:val="center"/>
        <w:rPr/>
      </w:pPr>
      <w:r>
        <w:rPr/>
        <w:t>​</w:t>
      </w:r>
    </w:p>
    <w:p>
      <w:pPr>
        <w:pStyle w:val="Normal"/>
        <w:bidi w:val="0"/>
        <w:spacing w:before="0" w:after="0"/>
        <w:jc w:val="left"/>
        <w:rPr>
          <w:sz w:val="4"/>
          <w:szCs w:val="4"/>
        </w:rPr>
      </w:pPr>
      <w:r>
        <w:rPr>
          <w:sz w:val="4"/>
          <w:szCs w:val="4"/>
        </w:rPr>
      </w:r>
      <w:bookmarkStart w:id="1367" w:name="Tc_FjcgzXvQf0eSQBkLlcg-Eg_47_8"/>
      <w:bookmarkStart w:id="1368" w:name="Tc_BD7h_AFGJkmmcGEZBJ9Nmw_47_6"/>
      <w:bookmarkStart w:id="1369" w:name="Tc_LpDg8Z5bnUiL2CtEed3niQ_47_2"/>
      <w:bookmarkStart w:id="1370" w:name="Tc_UL2TLi4roUKKkUdu5vx2fw_47_0"/>
      <w:bookmarkStart w:id="1371" w:name="Tc_8E_bnsqqBkqscKS9UuMZcQ_46_8"/>
      <w:bookmarkStart w:id="1372" w:name="Tc_ugh9bt1HmUabJB5c6AalPg_46_2"/>
      <w:bookmarkStart w:id="1373" w:name="Tc_PGo9xSE1ykeof5qCn0w0Jg_46_0"/>
      <w:bookmarkStart w:id="1374" w:name="Tc_HKe8PkK30EmKxNiL2AjfYA_45_8"/>
      <w:bookmarkStart w:id="1375" w:name="Tc_MO661tnxiEOOzcNSLDkb3Q_45_0"/>
      <w:bookmarkStart w:id="1376" w:name="Tc_h2tzkVxIbkCUjgIy2xjFZg_44_6"/>
      <w:bookmarkStart w:id="1377" w:name="Tc_GFB3wIKVWk2-NI7PjxHd2w_44_4"/>
      <w:bookmarkStart w:id="1378" w:name="Tc_acpGU2arBUu41H8fMm99Kg_44_0"/>
      <w:bookmarkStart w:id="1379" w:name="Tc_5CnxIF49n02VpqULIl8gvg_43_6"/>
      <w:bookmarkStart w:id="1380" w:name="Tc_OXJJxtYkYUeyM6f26OtwLg_43_4"/>
      <w:bookmarkStart w:id="1381" w:name="Tc_91Yv9cX4l0eSoSyGZFN7VA_43_2"/>
      <w:bookmarkStart w:id="1382" w:name="Tc_nxtagzxP4UGdBn6NNNNo-Q_43_0"/>
      <w:bookmarkStart w:id="1383" w:name="Tc_UvjiF2Mtd0uR056BEqjdjw_42_6"/>
      <w:bookmarkStart w:id="1384" w:name="Tc_NMy5gaUCckqXvHdZLNSDPQ_42_4"/>
      <w:bookmarkStart w:id="1385" w:name="Tc_89b6si2PG0ykpMrfa0M-vA_42_0"/>
      <w:bookmarkStart w:id="1386" w:name="Tc_Bif0h4Gg0U6V-fXex4QVTQ_41_8"/>
      <w:bookmarkStart w:id="1387" w:name="Tc_O5LltiXlz0Cx2Q18cLxxaA_41_4"/>
      <w:bookmarkStart w:id="1388" w:name="Tc_wJxnaM6F7k-GrZ8jlKt-bw_41_2"/>
      <w:bookmarkStart w:id="1389" w:name="Tc_tBExAFqLF0GuKsj8wXtncQ_41_0"/>
      <w:bookmarkStart w:id="1390" w:name="Tc_7emSI0iTCUChw8f3rkc06w_40_4"/>
      <w:bookmarkStart w:id="1391" w:name="Tc_kWIQkhzbQkGa_4Ay7038Sg_40_2"/>
      <w:bookmarkStart w:id="1392" w:name="Tc_7EIEFvk2lEWemTC_SXe7Zw_40_0"/>
      <w:bookmarkStart w:id="1393" w:name="Tc_7WdZjEc7N0mklSBFCVbDnA_39_0"/>
      <w:bookmarkStart w:id="1394" w:name="Tc_faIC0I5wI0yK3s7aZ3So4A_38_0"/>
      <w:bookmarkStart w:id="1395" w:name="Tc_ZUELfI6KKUCuAfXW9DaVOA_37_0"/>
      <w:bookmarkStart w:id="1396" w:name="Tc_ZNuuZ8deDE6WQdz091qaiQ_36_0"/>
      <w:bookmarkStart w:id="1397" w:name="Tc_NGr-sX0NPkmKTKbNBsic7A_35_0"/>
      <w:bookmarkStart w:id="1398" w:name="Tc_OWr_UfA59U-zRH_nE-0WfQ_34_0"/>
      <w:bookmarkStart w:id="1399" w:name="Tc_aAGLEHi3P0Sg-zOMdtCqPA_33_0"/>
      <w:bookmarkStart w:id="1400" w:name="Tc_xL_-wX8OKU6O5585BjwYBg_32_0"/>
      <w:bookmarkStart w:id="1401" w:name="Tc_mmzM4RXDn06Q-FETDI0DWA_31_0"/>
      <w:bookmarkStart w:id="1402" w:name="Tc_cuKvy16P_k6AaePQybWqSw_30_0"/>
      <w:bookmarkStart w:id="1403" w:name="Tc_8R21KpTSIE2iU1q94SxS_Q_29_0"/>
      <w:bookmarkStart w:id="1404" w:name="Tc_oMB4QZaDq0eRPKZ6JGt3tA_28_0"/>
      <w:bookmarkStart w:id="1405" w:name="Tc_vv3t3sq4lkS508YVL2sw5w_27_0"/>
      <w:bookmarkStart w:id="1406" w:name="Tc_4B5VMCeZ00yZE_QUXkFsvg_26_0"/>
      <w:bookmarkStart w:id="1407" w:name="Tc_sWiyWi7RGESLbCVdzL4L4A_25_0"/>
      <w:bookmarkStart w:id="1408" w:name="Tc_PggG3V4gSUi0HQlkacXlKw_24_0"/>
      <w:bookmarkStart w:id="1409" w:name="Tc_Wk7X_y2ljUGC5PnXNVZeBg_23_6"/>
      <w:bookmarkStart w:id="1410" w:name="Tc_2PYDgEpD8Ua7zmrJB5XKLA_23_4"/>
      <w:bookmarkStart w:id="1411" w:name="Tc_TERExZeRfUe97bm6NPwy0Q_23_0"/>
      <w:bookmarkStart w:id="1412" w:name="Tc_yoklr7IsEka9cSfhIfgWOg_22_2"/>
      <w:bookmarkStart w:id="1413" w:name="Tc_wGAz0_pT8ECG77VRDMmGfA_22_0"/>
      <w:bookmarkStart w:id="1414" w:name="Tc_Pv69hycCvU6nX7agmt1y3Q_21_2"/>
      <w:bookmarkStart w:id="1415" w:name="Tc_TekWB1iUFkeTpenLzwef9A_21_0"/>
      <w:bookmarkStart w:id="1416" w:name="Tc_MxdFb7TVWEq87o4sUVuVnw_20_4"/>
      <w:bookmarkStart w:id="1417" w:name="Tc_K_jkQREyMkKVtN20T0CEzA_20_0"/>
      <w:bookmarkStart w:id="1418" w:name="Tc_4OBxz2f9hUuqdky-U5Ny8w_19_6"/>
      <w:bookmarkStart w:id="1419" w:name="Tc_kcAGomrGEEm--FRotMQDJg_19_4"/>
      <w:bookmarkStart w:id="1420" w:name="Tc_T0qvSiBVGkyvwOhqd5J8Ug_19_0"/>
      <w:bookmarkStart w:id="1421" w:name="Tc_S8DA1_3U60CrHMYWodjaZw_18_6"/>
      <w:bookmarkStart w:id="1422" w:name="Tc_a8zOtfwCz0SebJFNvb1RWg_18_2"/>
      <w:bookmarkStart w:id="1423" w:name="Tc_HAtWer1zB0655DNXMohaIQ_18_0"/>
      <w:bookmarkStart w:id="1424" w:name="Tc_qvFIj_49BEmQFaWIEDG31w_17_8"/>
      <w:bookmarkStart w:id="1425" w:name="Tc_Jj5nPzIduUuI08pAOv5K9A_17_4"/>
      <w:bookmarkStart w:id="1426" w:name="Tc_k0iFIFUCPkSiYysELA9Jsw_17_0"/>
      <w:bookmarkStart w:id="1427" w:name="Tc_Jj6ZSQXxKkamcfAGfHE27g_16_6"/>
      <w:bookmarkStart w:id="1428" w:name="Tc_Ivm6giqNDEaaDgfkZX90Uw_16_4"/>
      <w:bookmarkStart w:id="1429" w:name="Tc_uwe41d5i1E-Sbq66gSRnig_16_0"/>
      <w:bookmarkStart w:id="1430" w:name="Tc_JPgVc2b1Vk292tgFmHougA_15_2"/>
      <w:bookmarkStart w:id="1431" w:name="Tc_Ffbw4yMUqUuWACiREbABlg_15_0"/>
      <w:bookmarkStart w:id="1432" w:name="Tc_DQINGgVOnUW8Krm0mLozgw_14_6"/>
      <w:bookmarkStart w:id="1433" w:name="Tc_fBmE5T5RAE6ncZa24dHxNw_14_4"/>
      <w:bookmarkStart w:id="1434" w:name="Tc_CjmfqrAoWUeBqKYd7b2fgQ_14_0"/>
      <w:bookmarkStart w:id="1435" w:name="Tc_r2R5IR9ct0O7j9b4Xkvvyw_13_8"/>
      <w:bookmarkStart w:id="1436" w:name="Tc_eqd1j_AZ8kChLoH0-0zQ7A_13_4"/>
      <w:bookmarkStart w:id="1437" w:name="Tc_Vgl-a8PPYkWQGyplugh91g_13_2"/>
      <w:bookmarkStart w:id="1438" w:name="Tc_nmxD-xlm-0aDQbM5psUKAw_13_0"/>
      <w:bookmarkStart w:id="1439" w:name="Tc_-22G3IltxEy3vSbXl7UjkQ_12_2"/>
      <w:bookmarkStart w:id="1440" w:name="Tc_j4N_h8f6DkOvO1VPALFwDQ_12_0"/>
      <w:bookmarkStart w:id="1441" w:name="Tc_0ckKK1OpKk2FhMhN_VdbEw_11_8"/>
      <w:bookmarkStart w:id="1442" w:name="Tc_l164F1AWd0GuugQOgcyK3w_11_4"/>
      <w:bookmarkStart w:id="1443" w:name="Tc_lgKFalzHOEGmiRDL74Dt-A_11_2"/>
      <w:bookmarkStart w:id="1444" w:name="Tc_kVnQ0akrGkmPNOZhRMDdGw_11_0"/>
      <w:bookmarkStart w:id="1445" w:name="Tc_ZfZ1-lt59kyCT3I_2BZW_Q_10_8"/>
      <w:bookmarkStart w:id="1446" w:name="Tc_XOSEdEB5UUS84hdBsRgm-A_10_4"/>
      <w:bookmarkStart w:id="1447" w:name="Tc_yQ-rqbOA4kGVLuH7UOiP4g_10_2"/>
      <w:bookmarkStart w:id="1448" w:name="Tc_j-Kc6mQkLkiJPPU3jMkxNA_10_0"/>
      <w:bookmarkStart w:id="1449" w:name="Tc_jd7spR4NpUu0ooLVhW3oNw_9_8"/>
      <w:bookmarkStart w:id="1450" w:name="Tc_vUhDrl0gy068ht54exU0ig_9_6"/>
      <w:bookmarkStart w:id="1451" w:name="Tc_pnptLpYaGUyoc_HlfgZx4Q_9_2"/>
      <w:bookmarkStart w:id="1452" w:name="Tc_rUBdOc_zy0OkVkD82OcDSg_9_0"/>
      <w:bookmarkStart w:id="1453" w:name="Tc_talHK3ACgEimkNht85IrzA_8_8"/>
      <w:bookmarkStart w:id="1454" w:name="Tc_M6YaXEHU4kOWtY0EsE2WVg_8_4"/>
      <w:bookmarkStart w:id="1455" w:name="Tc_vosrGmf810O_40jT1sj3YQ_8_2"/>
      <w:bookmarkStart w:id="1456" w:name="Tc_MurIDlcNsEGbHWOLNTzZuQ_8_0"/>
      <w:bookmarkStart w:id="1457" w:name="Tc_RcmcNlWlwkmHRQ4Ypgf2NQ_7_8"/>
      <w:bookmarkStart w:id="1458" w:name="Tc_zhi4UHgzr0WSRYWh0rdz9w_7_6"/>
      <w:bookmarkStart w:id="1459" w:name="Tc_xjiC9Iw4SUqN_j_22-NnRQ_7_2"/>
      <w:bookmarkStart w:id="1460" w:name="Tc_FzWftKq8uUGlBj-JudRFTA_7_0"/>
      <w:bookmarkStart w:id="1461" w:name="Tc_KdWo6HTAckS-5D8FzutVfA_6_8"/>
      <w:bookmarkStart w:id="1462" w:name="Tc_Kb1TrTlzjUWsxI3dfgL9Ug_6_2"/>
      <w:bookmarkStart w:id="1463" w:name="Tc_5UfdBh8EVkq62yLw32fJow_6_0"/>
      <w:bookmarkStart w:id="1464" w:name="Tc_5n0kPf9KBUGiTi-qv8TlGg_5_8"/>
      <w:bookmarkStart w:id="1465" w:name="Tc_Oe_Y1b_bYUCTEHa3SJyH6w_5_4"/>
      <w:bookmarkStart w:id="1466" w:name="Tc_7BpMAA4PkkuaSXOBMKbH3A_5_0"/>
      <w:bookmarkStart w:id="1467" w:name="Tc_qi8YFjzfSU6A1WtKPeOU7Q_4_0"/>
      <w:bookmarkStart w:id="1468" w:name="Tc_Jq_e6tom70GKraCIDd13pQ_3_8"/>
      <w:bookmarkStart w:id="1469" w:name="Tc_Z9oCfHUt1UyzgDlpGwrkwA_3_6"/>
      <w:bookmarkStart w:id="1470" w:name="Tc_9ORlY1HmBkKYM1rJZJQabw_3_4"/>
      <w:bookmarkStart w:id="1471" w:name="Tc_qxd-zzERFEmNphgc6IxqjA_2_8"/>
      <w:bookmarkStart w:id="1472" w:name="Tc_79jAwELIRUipu-lj5MnZ3A_2_6"/>
      <w:bookmarkStart w:id="1473" w:name="Tc_XtHY7jXiHEaoLejbKFhvow_2_4"/>
      <w:bookmarkStart w:id="1474" w:name="Tc_HFREOwfgRE6-Hs5_B1QPdw_2_2"/>
      <w:bookmarkStart w:id="1475" w:name="Tc_7OcHMP4nDU2j4eq6JlXZdQ_1_4"/>
      <w:bookmarkStart w:id="1476" w:name="_4f5b7b72_2713_493f_928a_254ee3115cf8"/>
      <w:bookmarkStart w:id="1477" w:name="Tc_FjcgzXvQf0eSQBkLlcg-Eg_47_8"/>
      <w:bookmarkStart w:id="1478" w:name="Tc_BD7h_AFGJkmmcGEZBJ9Nmw_47_6"/>
      <w:bookmarkStart w:id="1479" w:name="Tc_LpDg8Z5bnUiL2CtEed3niQ_47_2"/>
      <w:bookmarkStart w:id="1480" w:name="Tc_UL2TLi4roUKKkUdu5vx2fw_47_0"/>
      <w:bookmarkStart w:id="1481" w:name="Tc_8E_bnsqqBkqscKS9UuMZcQ_46_8"/>
      <w:bookmarkStart w:id="1482" w:name="Tc_ugh9bt1HmUabJB5c6AalPg_46_2"/>
      <w:bookmarkStart w:id="1483" w:name="Tc_PGo9xSE1ykeof5qCn0w0Jg_46_0"/>
      <w:bookmarkStart w:id="1484" w:name="Tc_HKe8PkK30EmKxNiL2AjfYA_45_8"/>
      <w:bookmarkStart w:id="1485" w:name="Tc_MO661tnxiEOOzcNSLDkb3Q_45_0"/>
      <w:bookmarkStart w:id="1486" w:name="Tc_h2tzkVxIbkCUjgIy2xjFZg_44_6"/>
      <w:bookmarkStart w:id="1487" w:name="Tc_GFB3wIKVWk2-NI7PjxHd2w_44_4"/>
      <w:bookmarkStart w:id="1488" w:name="Tc_acpGU2arBUu41H8fMm99Kg_44_0"/>
      <w:bookmarkStart w:id="1489" w:name="Tc_5CnxIF49n02VpqULIl8gvg_43_6"/>
      <w:bookmarkStart w:id="1490" w:name="Tc_OXJJxtYkYUeyM6f26OtwLg_43_4"/>
      <w:bookmarkStart w:id="1491" w:name="Tc_91Yv9cX4l0eSoSyGZFN7VA_43_2"/>
      <w:bookmarkStart w:id="1492" w:name="Tc_nxtagzxP4UGdBn6NNNNo-Q_43_0"/>
      <w:bookmarkStart w:id="1493" w:name="Tc_UvjiF2Mtd0uR056BEqjdjw_42_6"/>
      <w:bookmarkStart w:id="1494" w:name="Tc_NMy5gaUCckqXvHdZLNSDPQ_42_4"/>
      <w:bookmarkStart w:id="1495" w:name="Tc_89b6si2PG0ykpMrfa0M-vA_42_0"/>
      <w:bookmarkStart w:id="1496" w:name="Tc_Bif0h4Gg0U6V-fXex4QVTQ_41_8"/>
      <w:bookmarkStart w:id="1497" w:name="Tc_O5LltiXlz0Cx2Q18cLxxaA_41_4"/>
      <w:bookmarkStart w:id="1498" w:name="Tc_wJxnaM6F7k-GrZ8jlKt-bw_41_2"/>
      <w:bookmarkStart w:id="1499" w:name="Tc_tBExAFqLF0GuKsj8wXtncQ_41_0"/>
      <w:bookmarkStart w:id="1500" w:name="Tc_7emSI0iTCUChw8f3rkc06w_40_4"/>
      <w:bookmarkStart w:id="1501" w:name="Tc_kWIQkhzbQkGa_4Ay7038Sg_40_2"/>
      <w:bookmarkStart w:id="1502" w:name="Tc_7EIEFvk2lEWemTC_SXe7Zw_40_0"/>
      <w:bookmarkStart w:id="1503" w:name="Tc_7WdZjEc7N0mklSBFCVbDnA_39_0"/>
      <w:bookmarkStart w:id="1504" w:name="Tc_faIC0I5wI0yK3s7aZ3So4A_38_0"/>
      <w:bookmarkStart w:id="1505" w:name="Tc_ZUELfI6KKUCuAfXW9DaVOA_37_0"/>
      <w:bookmarkStart w:id="1506" w:name="Tc_ZNuuZ8deDE6WQdz091qaiQ_36_0"/>
      <w:bookmarkStart w:id="1507" w:name="Tc_NGr-sX0NPkmKTKbNBsic7A_35_0"/>
      <w:bookmarkStart w:id="1508" w:name="Tc_OWr_UfA59U-zRH_nE-0WfQ_34_0"/>
      <w:bookmarkStart w:id="1509" w:name="Tc_aAGLEHi3P0Sg-zOMdtCqPA_33_0"/>
      <w:bookmarkStart w:id="1510" w:name="Tc_xL_-wX8OKU6O5585BjwYBg_32_0"/>
      <w:bookmarkStart w:id="1511" w:name="Tc_mmzM4RXDn06Q-FETDI0DWA_31_0"/>
      <w:bookmarkStart w:id="1512" w:name="Tc_cuKvy16P_k6AaePQybWqSw_30_0"/>
      <w:bookmarkStart w:id="1513" w:name="Tc_8R21KpTSIE2iU1q94SxS_Q_29_0"/>
      <w:bookmarkStart w:id="1514" w:name="Tc_oMB4QZaDq0eRPKZ6JGt3tA_28_0"/>
      <w:bookmarkStart w:id="1515" w:name="Tc_vv3t3sq4lkS508YVL2sw5w_27_0"/>
      <w:bookmarkStart w:id="1516" w:name="Tc_4B5VMCeZ00yZE_QUXkFsvg_26_0"/>
      <w:bookmarkStart w:id="1517" w:name="Tc_sWiyWi7RGESLbCVdzL4L4A_25_0"/>
      <w:bookmarkStart w:id="1518" w:name="Tc_PggG3V4gSUi0HQlkacXlKw_24_0"/>
      <w:bookmarkStart w:id="1519" w:name="Tc_Wk7X_y2ljUGC5PnXNVZeBg_23_6"/>
      <w:bookmarkStart w:id="1520" w:name="Tc_2PYDgEpD8Ua7zmrJB5XKLA_23_4"/>
      <w:bookmarkStart w:id="1521" w:name="Tc_TERExZeRfUe97bm6NPwy0Q_23_0"/>
      <w:bookmarkStart w:id="1522" w:name="Tc_yoklr7IsEka9cSfhIfgWOg_22_2"/>
      <w:bookmarkStart w:id="1523" w:name="Tc_wGAz0_pT8ECG77VRDMmGfA_22_0"/>
      <w:bookmarkStart w:id="1524" w:name="Tc_Pv69hycCvU6nX7agmt1y3Q_21_2"/>
      <w:bookmarkStart w:id="1525" w:name="Tc_TekWB1iUFkeTpenLzwef9A_21_0"/>
      <w:bookmarkStart w:id="1526" w:name="Tc_MxdFb7TVWEq87o4sUVuVnw_20_4"/>
      <w:bookmarkStart w:id="1527" w:name="Tc_K_jkQREyMkKVtN20T0CEzA_20_0"/>
      <w:bookmarkStart w:id="1528" w:name="Tc_4OBxz2f9hUuqdky-U5Ny8w_19_6"/>
      <w:bookmarkStart w:id="1529" w:name="Tc_kcAGomrGEEm--FRotMQDJg_19_4"/>
      <w:bookmarkStart w:id="1530" w:name="Tc_T0qvSiBVGkyvwOhqd5J8Ug_19_0"/>
      <w:bookmarkStart w:id="1531" w:name="Tc_S8DA1_3U60CrHMYWodjaZw_18_6"/>
      <w:bookmarkStart w:id="1532" w:name="Tc_a8zOtfwCz0SebJFNvb1RWg_18_2"/>
      <w:bookmarkStart w:id="1533" w:name="Tc_HAtWer1zB0655DNXMohaIQ_18_0"/>
      <w:bookmarkStart w:id="1534" w:name="Tc_qvFIj_49BEmQFaWIEDG31w_17_8"/>
      <w:bookmarkStart w:id="1535" w:name="Tc_Jj5nPzIduUuI08pAOv5K9A_17_4"/>
      <w:bookmarkStart w:id="1536" w:name="Tc_k0iFIFUCPkSiYysELA9Jsw_17_0"/>
      <w:bookmarkStart w:id="1537" w:name="Tc_Jj6ZSQXxKkamcfAGfHE27g_16_6"/>
      <w:bookmarkStart w:id="1538" w:name="Tc_Ivm6giqNDEaaDgfkZX90Uw_16_4"/>
      <w:bookmarkStart w:id="1539" w:name="Tc_uwe41d5i1E-Sbq66gSRnig_16_0"/>
      <w:bookmarkStart w:id="1540" w:name="Tc_JPgVc2b1Vk292tgFmHougA_15_2"/>
      <w:bookmarkStart w:id="1541" w:name="Tc_Ffbw4yMUqUuWACiREbABlg_15_0"/>
      <w:bookmarkStart w:id="1542" w:name="Tc_DQINGgVOnUW8Krm0mLozgw_14_6"/>
      <w:bookmarkStart w:id="1543" w:name="Tc_fBmE5T5RAE6ncZa24dHxNw_14_4"/>
      <w:bookmarkStart w:id="1544" w:name="Tc_CjmfqrAoWUeBqKYd7b2fgQ_14_0"/>
      <w:bookmarkStart w:id="1545" w:name="Tc_r2R5IR9ct0O7j9b4Xkvvyw_13_8"/>
      <w:bookmarkStart w:id="1546" w:name="Tc_eqd1j_AZ8kChLoH0-0zQ7A_13_4"/>
      <w:bookmarkStart w:id="1547" w:name="Tc_Vgl-a8PPYkWQGyplugh91g_13_2"/>
      <w:bookmarkStart w:id="1548" w:name="Tc_nmxD-xlm-0aDQbM5psUKAw_13_0"/>
      <w:bookmarkStart w:id="1549" w:name="Tc_-22G3IltxEy3vSbXl7UjkQ_12_2"/>
      <w:bookmarkStart w:id="1550" w:name="Tc_j4N_h8f6DkOvO1VPALFwDQ_12_0"/>
      <w:bookmarkStart w:id="1551" w:name="Tc_0ckKK1OpKk2FhMhN_VdbEw_11_8"/>
      <w:bookmarkStart w:id="1552" w:name="Tc_l164F1AWd0GuugQOgcyK3w_11_4"/>
      <w:bookmarkStart w:id="1553" w:name="Tc_lgKFalzHOEGmiRDL74Dt-A_11_2"/>
      <w:bookmarkStart w:id="1554" w:name="Tc_kVnQ0akrGkmPNOZhRMDdGw_11_0"/>
      <w:bookmarkStart w:id="1555" w:name="Tc_ZfZ1-lt59kyCT3I_2BZW_Q_10_8"/>
      <w:bookmarkStart w:id="1556" w:name="Tc_XOSEdEB5UUS84hdBsRgm-A_10_4"/>
      <w:bookmarkStart w:id="1557" w:name="Tc_yQ-rqbOA4kGVLuH7UOiP4g_10_2"/>
      <w:bookmarkStart w:id="1558" w:name="Tc_j-Kc6mQkLkiJPPU3jMkxNA_10_0"/>
      <w:bookmarkStart w:id="1559" w:name="Tc_jd7spR4NpUu0ooLVhW3oNw_9_8"/>
      <w:bookmarkStart w:id="1560" w:name="Tc_vUhDrl0gy068ht54exU0ig_9_6"/>
      <w:bookmarkStart w:id="1561" w:name="Tc_pnptLpYaGUyoc_HlfgZx4Q_9_2"/>
      <w:bookmarkStart w:id="1562" w:name="Tc_rUBdOc_zy0OkVkD82OcDSg_9_0"/>
      <w:bookmarkStart w:id="1563" w:name="Tc_talHK3ACgEimkNht85IrzA_8_8"/>
      <w:bookmarkStart w:id="1564" w:name="Tc_M6YaXEHU4kOWtY0EsE2WVg_8_4"/>
      <w:bookmarkStart w:id="1565" w:name="Tc_vosrGmf810O_40jT1sj3YQ_8_2"/>
      <w:bookmarkStart w:id="1566" w:name="Tc_MurIDlcNsEGbHWOLNTzZuQ_8_0"/>
      <w:bookmarkStart w:id="1567" w:name="Tc_RcmcNlWlwkmHRQ4Ypgf2NQ_7_8"/>
      <w:bookmarkStart w:id="1568" w:name="Tc_zhi4UHgzr0WSRYWh0rdz9w_7_6"/>
      <w:bookmarkStart w:id="1569" w:name="Tc_xjiC9Iw4SUqN_j_22-NnRQ_7_2"/>
      <w:bookmarkStart w:id="1570" w:name="Tc_FzWftKq8uUGlBj-JudRFTA_7_0"/>
      <w:bookmarkStart w:id="1571" w:name="Tc_KdWo6HTAckS-5D8FzutVfA_6_8"/>
      <w:bookmarkStart w:id="1572" w:name="Tc_Kb1TrTlzjUWsxI3dfgL9Ug_6_2"/>
      <w:bookmarkStart w:id="1573" w:name="Tc_5UfdBh8EVkq62yLw32fJow_6_0"/>
      <w:bookmarkStart w:id="1574" w:name="Tc_5n0kPf9KBUGiTi-qv8TlGg_5_8"/>
      <w:bookmarkStart w:id="1575" w:name="Tc_Oe_Y1b_bYUCTEHa3SJyH6w_5_4"/>
      <w:bookmarkStart w:id="1576" w:name="Tc_7BpMAA4PkkuaSXOBMKbH3A_5_0"/>
      <w:bookmarkStart w:id="1577" w:name="Tc_qi8YFjzfSU6A1WtKPeOU7Q_4_0"/>
      <w:bookmarkStart w:id="1578" w:name="Tc_Jq_e6tom70GKraCIDd13pQ_3_8"/>
      <w:bookmarkStart w:id="1579" w:name="Tc_Z9oCfHUt1UyzgDlpGwrkwA_3_6"/>
      <w:bookmarkStart w:id="1580" w:name="Tc_9ORlY1HmBkKYM1rJZJQabw_3_4"/>
      <w:bookmarkStart w:id="1581" w:name="Tc_qxd-zzERFEmNphgc6IxqjA_2_8"/>
      <w:bookmarkStart w:id="1582" w:name="Tc_79jAwELIRUipu-lj5MnZ3A_2_6"/>
      <w:bookmarkStart w:id="1583" w:name="Tc_XtHY7jXiHEaoLejbKFhvow_2_4"/>
      <w:bookmarkStart w:id="1584" w:name="Tc_HFREOwfgRE6-Hs5_B1QPdw_2_2"/>
      <w:bookmarkStart w:id="1585" w:name="Tc_7OcHMP4nDU2j4eq6JlXZdQ_1_4"/>
      <w:bookmarkStart w:id="1586" w:name="_4f5b7b72_2713_493f_928a_254ee3115cf8"/>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p>
    <w:tbl>
      <w:tblPr>
        <w:tblW w:w="10205" w:type="dxa"/>
        <w:jc w:val="left"/>
        <w:tblInd w:w="0" w:type="dxa"/>
        <w:tblLayout w:type="fixed"/>
        <w:tblCellMar>
          <w:top w:w="0" w:type="dxa"/>
          <w:left w:w="0" w:type="dxa"/>
          <w:bottom w:w="0" w:type="dxa"/>
          <w:right w:w="0" w:type="dxa"/>
        </w:tblCellMar>
      </w:tblPr>
      <w:tblGrid>
        <w:gridCol w:w="6273"/>
        <w:gridCol w:w="346"/>
        <w:gridCol w:w="451"/>
        <w:gridCol w:w="346"/>
        <w:gridCol w:w="691"/>
        <w:gridCol w:w="346"/>
        <w:gridCol w:w="691"/>
        <w:gridCol w:w="346"/>
        <w:gridCol w:w="715"/>
      </w:tblGrid>
      <w:tr>
        <w:trPr/>
        <w:tc>
          <w:tcPr>
            <w:tcW w:w="6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983355" cy="175260"/>
                      <wp:effectExtent l="0" t="0" r="0" b="0"/>
                      <wp:wrapNone/>
                      <wp:docPr id="272" name="Frame267"/>
                      <a:graphic xmlns:a="http://schemas.openxmlformats.org/drawingml/2006/main">
                        <a:graphicData uri="http://schemas.microsoft.com/office/word/2010/wordprocessingShape">
                          <wps:wsp>
                            <wps:cNvSpPr txBox="1"/>
                            <wps:spPr>
                              <a:xfrm>
                                <a:off x="0" y="0"/>
                                <a:ext cx="39833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3"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86385" cy="175260"/>
                      <wp:effectExtent l="0" t="0" r="0" b="0"/>
                      <wp:wrapNone/>
                      <wp:docPr id="274" name="Frame26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5"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38785" cy="175260"/>
                      <wp:effectExtent l="0" t="0" r="0" b="0"/>
                      <wp:wrapNone/>
                      <wp:docPr id="276" name="Frame2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77"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38785" cy="175260"/>
                      <wp:effectExtent l="0" t="0" r="0" b="0"/>
                      <wp:wrapNone/>
                      <wp:docPr id="278" name="Frame2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79"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54025" cy="175260"/>
                      <wp:effectExtent l="0" t="0" r="0" b="0"/>
                      <wp:wrapNone/>
                      <wp:docPr id="280" name="Frame275"/>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27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789"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4"/>
              </w:rPr>
            </w:pPr>
            <w:r>
              <w:rPr>
                <w:rFonts w:ascii="Times New Roman;Times;serif" w:hAnsi="Times New Roman;Times;serif"/>
                <w:b/>
                <w:sz w:val="14"/>
              </w:rPr>
              <w:t>Year ended December 31, </w:t>
            </w:r>
          </w:p>
        </w:tc>
      </w:tr>
      <w:tr>
        <w:trPr/>
        <w:tc>
          <w:tcPr>
            <w:tcW w:w="627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4"/>
              </w:rPr>
            </w:pPr>
            <w:r>
              <w:rPr>
                <w:rFonts w:ascii="Times New Roman;Times;serif" w:hAnsi="Times New Roman;Times;serif"/>
                <w:b/>
                <w:sz w:val="14"/>
              </w:rPr>
              <w:t>Note</w:t>
            </w:r>
          </w:p>
        </w:tc>
        <w:tc>
          <w:tcPr>
            <w:tcW w:w="346" w:type="dxa"/>
            <w:tcBorders/>
            <w:vAlign w:val="center"/>
          </w:tcPr>
          <w:p>
            <w:pPr>
              <w:pStyle w:val="TableContents"/>
              <w:bidi w:val="0"/>
              <w:spacing w:lineRule="auto" w:line="307"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71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2023</w:t>
            </w:r>
          </w:p>
        </w:tc>
      </w:tr>
      <w:tr>
        <w:trPr/>
        <w:tc>
          <w:tcPr>
            <w:tcW w:w="6273"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i/>
                <w:sz w:val="14"/>
              </w:rPr>
            </w:pPr>
            <w:r>
              <w:rPr>
                <w:rFonts w:ascii="Times New Roman;Times;serif" w:hAnsi="Times New Roman;Times;serif"/>
                <w:b/>
                <w:i/>
                <w:sz w:val="14"/>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i/>
                <w:sz w:val="14"/>
              </w:rPr>
            </w:pPr>
            <w:r>
              <w:rPr>
                <w:rFonts w:ascii="Times New Roman;Times;serif" w:hAnsi="Times New Roman;Times;serif"/>
                <w:b/>
                <w:i/>
                <w:sz w:val="14"/>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15" w:type="dxa"/>
            <w:tcBorders/>
            <w:vAlign w:val="center"/>
          </w:tcPr>
          <w:p>
            <w:pPr>
              <w:pStyle w:val="TableContents"/>
              <w:bidi w:val="0"/>
              <w:spacing w:lineRule="auto" w:line="307" w:before="0" w:after="1"/>
              <w:ind w:left="0" w:right="0" w:hanging="0"/>
              <w:jc w:val="right"/>
              <w:rPr>
                <w:rFonts w:ascii="Times New Roman;Times;serif" w:hAnsi="Times New Roman;Times;serif"/>
                <w:b/>
                <w:i/>
                <w:sz w:val="14"/>
              </w:rPr>
            </w:pPr>
            <w:r>
              <w:rPr>
                <w:rFonts w:ascii="Times New Roman;Times;serif" w:hAnsi="Times New Roman;Times;serif"/>
                <w:b/>
                <w:i/>
                <w:sz w:val="14"/>
              </w:rPr>
              <w:t>US$</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Financing activities:</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69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69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15" w:type="dxa"/>
            <w:tcBorders/>
            <w:shd w:fill="CCEEFF" w:val="clear"/>
            <w:vAlign w:val="center"/>
          </w:tcPr>
          <w:p>
            <w:pPr>
              <w:pStyle w:val="TableContents"/>
              <w:bidi w:val="0"/>
              <w:spacing w:lineRule="auto" w:line="307" w:before="0" w:after="160"/>
              <w:ind w:left="0" w:right="0" w:hanging="0"/>
              <w:jc w:val="center"/>
              <w:rPr/>
            </w:pPr>
            <w:r>
              <w:rPr/>
              <w:t> ​</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Proceeds from issuance of ordinary shares to PIPE investors and LCAA, net of transaction costs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824,158</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pPr>
            <w:r>
              <w:rPr/>
              <w:t>—</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Proceeds from issuance of ordinary shares to Westwood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1,301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807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pPr>
            <w:r>
              <w:rPr/>
              <w:t>—</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Proceeds from issuance of ordinary shares to ECARX</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19</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17,000</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pPr>
            <w:r>
              <w:rPr/>
              <w:t>—</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Payments of cash collateral to Meritz</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(76,469)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pPr>
            <w:r>
              <w:rPr/>
              <w:t>—</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Payment for settlement of Meritz</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13</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(512,925)</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pPr>
            <w:r>
              <w:rPr/>
              <w:t>—</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Payment for redemption of exchangeable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(365,994)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pPr>
            <w:r>
              <w:rPr/>
              <w:t>—</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Proceeds from issuance of ordinary shares to exchangeable notes holders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361,262</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pPr>
            <w:r>
              <w:rPr/>
              <w:t>—</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Proceeds from issuance of exchangeable notes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27,842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28,541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27,883</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Proceeds from exercise of public warrant</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5,700</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pPr>
            <w:r>
              <w:rPr/>
              <w:t>—</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Proceeds from settlement of receivable from shareholders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26,139</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Proceeds from issuance of convertible notes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199,263</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119,284</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25,297</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Repayment of mandatorily redeemable noncontrolling interest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(11,554)</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Repayments of refundable deposits in connection with PIPE investments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(10,264)</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pPr>
            <w:r>
              <w:rPr/>
              <w:t>—</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Payment for redemption of convertible notes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(119,263)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(5,648)</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Receipts of refundable deposits in connection with PIPE investments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10,000</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Capital contributions by noncontrolling interests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404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4,460</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Proceeds from borrowings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10, 26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1,404,766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1,033,046</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481,176</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Repayments of borrowings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10, 26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(889,531)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(460,948)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(272,897)</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Payments to a noncontrolling interest in the liquidation of a subsidiary</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(148)</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Net cash provided by financing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128,453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1,459,527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284,708</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Effect of exchange rate changes on cash, cash equivalents and 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(6,765)</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26,235</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(12,189)</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Net increase (decrease) in cash, cash equivalents and restricted 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65,340</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57,802</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71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(312,398)</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Cash, cash equivalents and restricted cash at beginning of the year</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484,937</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427,135</w:t>
            </w:r>
          </w:p>
        </w:tc>
        <w:tc>
          <w:tcPr>
            <w:tcW w:w="346" w:type="dxa"/>
            <w:tcBorders/>
            <w:vAlign w:val="center"/>
          </w:tcPr>
          <w:p>
            <w:pPr>
              <w:pStyle w:val="TableContents"/>
              <w:bidi w:val="0"/>
              <w:spacing w:lineRule="auto" w:line="307" w:before="0" w:after="1"/>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739,533</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Cash, cash equivalents and restricted cash at end of the year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550,277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484,937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15"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427,135</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Reconciliation of cash, cash equivalents and 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15" w:type="dxa"/>
            <w:tcBorders/>
            <w:vAlign w:val="center"/>
          </w:tcPr>
          <w:p>
            <w:pPr>
              <w:pStyle w:val="TableContents"/>
              <w:bidi w:val="0"/>
              <w:spacing w:lineRule="auto" w:line="307" w:before="0" w:after="160"/>
              <w:ind w:left="0" w:right="0" w:hanging="0"/>
              <w:jc w:val="right"/>
              <w:rPr/>
            </w:pPr>
            <w:r>
              <w:rPr/>
              <w:t>​</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73,431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103,072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418,941</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Restricted cash, current</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375,865</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379,293</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7,873</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Restricted cash, non-current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100,981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2,572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321</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Total cash, cash equivalents and restricted cash</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550,277</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484,937</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4"/>
              </w:rPr>
            </w:pPr>
            <w:r>
              <w:rPr>
                <w:rFonts w:ascii="Times New Roman;Times;serif" w:hAnsi="Times New Roman;Times;serif"/>
                <w:b/>
                <w:sz w:val="14"/>
              </w:rPr>
              <w:t>427,135</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Supplemental information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60"/>
              <w:ind w:left="0" w:right="0" w:hanging="0"/>
              <w:jc w:val="right"/>
              <w:rPr/>
            </w:pPr>
            <w:r>
              <w:rPr/>
              <w:t>​</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Interest paid</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19,156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8,140</w:t>
            </w:r>
          </w:p>
        </w:tc>
        <w:tc>
          <w:tcPr>
            <w:tcW w:w="346" w:type="dxa"/>
            <w:tcBorders/>
            <w:vAlign w:val="center"/>
          </w:tcPr>
          <w:p>
            <w:pPr>
              <w:pStyle w:val="TableContents"/>
              <w:bidi w:val="0"/>
              <w:spacing w:lineRule="auto" w:line="307" w:before="0" w:after="1"/>
              <w:ind w:left="0" w:right="0" w:hanging="0"/>
              <w:jc w:val="left"/>
              <w:rPr/>
            </w:pPr>
            <w:r>
              <w:rPr/>
              <w:t> </w:t>
            </w:r>
          </w:p>
        </w:tc>
        <w:tc>
          <w:tcPr>
            <w:tcW w:w="715"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8,086</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Income taxes paid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16,460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678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1,152</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Income taxes refund</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(349)</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(127)</w:t>
            </w:r>
          </w:p>
        </w:tc>
        <w:tc>
          <w:tcPr>
            <w:tcW w:w="346" w:type="dxa"/>
            <w:tcBorders/>
            <w:vAlign w:val="center"/>
          </w:tcPr>
          <w:p>
            <w:pPr>
              <w:pStyle w:val="TableContents"/>
              <w:bidi w:val="0"/>
              <w:spacing w:lineRule="auto" w:line="307" w:before="0" w:after="1"/>
              <w:ind w:left="0" w:right="0" w:hanging="0"/>
              <w:jc w:val="left"/>
              <w:rPr/>
            </w:pPr>
            <w:r>
              <w:rPr/>
              <w:t> </w:t>
            </w:r>
          </w:p>
        </w:tc>
        <w:tc>
          <w:tcPr>
            <w:tcW w:w="715"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(45)</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14"/>
              </w:rPr>
            </w:pPr>
            <w:r>
              <w:rPr>
                <w:rFonts w:ascii="Times New Roman;Times;serif" w:hAnsi="Times New Roman;Times;serif"/>
                <w:b/>
                <w:sz w:val="14"/>
              </w:rPr>
              <w:t>Non-cash investing and financing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15" w:type="dxa"/>
            <w:tcBorders/>
            <w:shd w:fill="CCEEFF" w:val="clear"/>
            <w:vAlign w:val="center"/>
          </w:tcPr>
          <w:p>
            <w:pPr>
              <w:pStyle w:val="TableContents"/>
              <w:bidi w:val="0"/>
              <w:spacing w:lineRule="auto" w:line="307" w:before="0" w:after="160"/>
              <w:ind w:left="0" w:right="0" w:hanging="0"/>
              <w:jc w:val="right"/>
              <w:rPr/>
            </w:pPr>
            <w:r>
              <w:rPr/>
              <w:t> ​</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Purchase of property, equipment and software and intangible assets included in accrued expenses and other 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25,377</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70,887</w:t>
            </w:r>
          </w:p>
        </w:tc>
        <w:tc>
          <w:tcPr>
            <w:tcW w:w="346" w:type="dxa"/>
            <w:tcBorders/>
            <w:vAlign w:val="center"/>
          </w:tcPr>
          <w:p>
            <w:pPr>
              <w:pStyle w:val="TableContents"/>
              <w:bidi w:val="0"/>
              <w:spacing w:lineRule="auto" w:line="307" w:before="0" w:after="1"/>
              <w:ind w:left="0" w:right="0" w:hanging="0"/>
              <w:jc w:val="left"/>
              <w:rPr/>
            </w:pPr>
            <w:r>
              <w:rPr/>
              <w:t> </w:t>
            </w:r>
          </w:p>
        </w:tc>
        <w:tc>
          <w:tcPr>
            <w:tcW w:w="715"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71,064</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Accretion of redeemable convertible preferred shares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2,979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15,121</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Issuance of ordinary shares through conversion of redeemable convertible preferred shares</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386,509</w:t>
            </w:r>
          </w:p>
        </w:tc>
        <w:tc>
          <w:tcPr>
            <w:tcW w:w="346" w:type="dxa"/>
            <w:tcBorders/>
            <w:vAlign w:val="center"/>
          </w:tcPr>
          <w:p>
            <w:pPr>
              <w:pStyle w:val="TableContents"/>
              <w:bidi w:val="0"/>
              <w:spacing w:lineRule="auto" w:line="307" w:before="0" w:after="1"/>
              <w:ind w:left="0" w:right="0" w:hanging="0"/>
              <w:jc w:val="left"/>
              <w:rPr/>
            </w:pPr>
            <w:r>
              <w:rPr/>
              <w:t> </w:t>
            </w:r>
          </w:p>
        </w:tc>
        <w:tc>
          <w:tcPr>
            <w:tcW w:w="715" w:type="dxa"/>
            <w:tcBorders/>
            <w:vAlign w:val="center"/>
          </w:tcPr>
          <w:p>
            <w:pPr>
              <w:pStyle w:val="TableContents"/>
              <w:bidi w:val="0"/>
              <w:spacing w:lineRule="auto" w:line="307" w:before="0" w:after="1"/>
              <w:ind w:left="0" w:right="0" w:hanging="0"/>
              <w:jc w:val="right"/>
              <w:rPr/>
            </w:pPr>
            <w:r>
              <w:rPr/>
              <w:t>—</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Payable arising from a distribution agreement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22,296</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Issuance of put option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26(f)</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15"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9,376</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Payable arising from deferred listing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51" w:type="dxa"/>
            <w:tcBorders/>
            <w:shd w:fill="CCEEFF" w:val="clear"/>
            <w:vAlign w:val="center"/>
          </w:tcPr>
          <w:p>
            <w:pPr>
              <w:pStyle w:val="TableContents"/>
              <w:bidi w:val="0"/>
              <w:spacing w:lineRule="auto" w:line="307" w:before="0" w:after="160"/>
              <w:ind w:left="0" w:right="0" w:hanging="0"/>
              <w:jc w:val="center"/>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1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1,613</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Issuance costs payable</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6,556</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6,556</w:t>
            </w:r>
          </w:p>
        </w:tc>
        <w:tc>
          <w:tcPr>
            <w:tcW w:w="346" w:type="dxa"/>
            <w:tcBorders/>
            <w:vAlign w:val="center"/>
          </w:tcPr>
          <w:p>
            <w:pPr>
              <w:pStyle w:val="TableContents"/>
              <w:bidi w:val="0"/>
              <w:spacing w:lineRule="auto" w:line="307" w:before="0" w:after="1"/>
              <w:ind w:left="0" w:right="0" w:hanging="0"/>
              <w:jc w:val="left"/>
              <w:rPr/>
            </w:pPr>
            <w:r>
              <w:rPr/>
              <w:t> </w:t>
            </w:r>
          </w:p>
        </w:tc>
        <w:tc>
          <w:tcPr>
            <w:tcW w:w="715" w:type="dxa"/>
            <w:tcBorders/>
            <w:vAlign w:val="center"/>
          </w:tcPr>
          <w:p>
            <w:pPr>
              <w:pStyle w:val="TableContents"/>
              <w:bidi w:val="0"/>
              <w:spacing w:lineRule="auto" w:line="307" w:before="0" w:after="1"/>
              <w:ind w:left="0" w:right="0" w:hanging="0"/>
              <w:jc w:val="right"/>
              <w:rPr/>
            </w:pPr>
            <w:r>
              <w:rPr/>
              <w:t>—</w:t>
            </w:r>
          </w:p>
        </w:tc>
      </w:tr>
      <w:tr>
        <w:trPr/>
        <w:tc>
          <w:tcPr>
            <w:tcW w:w="627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Issuance of ordinary shares through conversion of convertible notes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51"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1,210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30,114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15" w:type="dxa"/>
            <w:tcBorders/>
            <w:shd w:fill="CCEEFF" w:val="clear"/>
            <w:vAlign w:val="center"/>
          </w:tcPr>
          <w:p>
            <w:pPr>
              <w:pStyle w:val="TableContents"/>
              <w:bidi w:val="0"/>
              <w:spacing w:lineRule="auto" w:line="307" w:before="0" w:after="1"/>
              <w:ind w:left="0" w:right="0" w:hanging="0"/>
              <w:jc w:val="right"/>
              <w:rPr/>
            </w:pPr>
            <w:r>
              <w:rPr/>
              <w:t>—</w:t>
            </w:r>
          </w:p>
        </w:tc>
      </w:tr>
      <w:tr>
        <w:trPr/>
        <w:tc>
          <w:tcPr>
            <w:tcW w:w="6273" w:type="dxa"/>
            <w:tcBorders/>
            <w:vAlign w:val="center"/>
          </w:tcPr>
          <w:p>
            <w:pPr>
              <w:pStyle w:val="TableContents"/>
              <w:bidi w:val="0"/>
              <w:spacing w:lineRule="auto" w:line="307" w:before="0" w:after="1"/>
              <w:ind w:left="0" w:right="0" w:hanging="0"/>
              <w:jc w:val="left"/>
              <w:rPr>
                <w:rFonts w:ascii="Times New Roman;Times;serif" w:hAnsi="Times New Roman;Times;serif"/>
                <w:sz w:val="14"/>
              </w:rPr>
            </w:pPr>
            <w:r>
              <w:rPr>
                <w:rFonts w:ascii="Times New Roman;Times;serif" w:hAnsi="Times New Roman;Times;serif"/>
                <w:sz w:val="14"/>
              </w:rPr>
              <w:t>Acquire equity interest through licensing certain internally developed intellectual property</w:t>
            </w:r>
          </w:p>
        </w:tc>
        <w:tc>
          <w:tcPr>
            <w:tcW w:w="346" w:type="dxa"/>
            <w:tcBorders/>
            <w:vAlign w:val="center"/>
          </w:tcPr>
          <w:p>
            <w:pPr>
              <w:pStyle w:val="TableContents"/>
              <w:bidi w:val="0"/>
              <w:spacing w:lineRule="auto" w:line="307" w:before="0" w:after="1"/>
              <w:ind w:left="0" w:right="0" w:hanging="0"/>
              <w:jc w:val="left"/>
              <w:rPr/>
            </w:pPr>
            <w:r>
              <w:rPr/>
              <w:t> </w:t>
            </w:r>
          </w:p>
        </w:tc>
        <w:tc>
          <w:tcPr>
            <w:tcW w:w="451" w:type="dxa"/>
            <w:tcBorders/>
            <w:vAlign w:val="center"/>
          </w:tcPr>
          <w:p>
            <w:pPr>
              <w:pStyle w:val="TableContents"/>
              <w:bidi w:val="0"/>
              <w:spacing w:lineRule="auto" w:line="307" w:before="0" w:after="1"/>
              <w:ind w:left="0" w:right="0" w:hanging="0"/>
              <w:jc w:val="center"/>
              <w:rPr>
                <w:rFonts w:ascii="Times New Roman;Times;serif" w:hAnsi="Times New Roman;Times;serif"/>
                <w:sz w:val="14"/>
              </w:rPr>
            </w:pPr>
            <w:r>
              <w:rPr>
                <w:rFonts w:ascii="Times New Roman;Times;serif" w:hAnsi="Times New Roman;Times;serif"/>
                <w:sz w:val="14"/>
              </w:rPr>
              <w:t>2(h)</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14"/>
              </w:rPr>
            </w:pPr>
            <w:r>
              <w:rPr>
                <w:rFonts w:ascii="Times New Roman;Times;serif" w:hAnsi="Times New Roman;Times;serif"/>
                <w:sz w:val="14"/>
              </w:rPr>
              <w:t>35,568</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15" w:type="dxa"/>
            <w:tcBorders/>
            <w:vAlign w:val="center"/>
          </w:tcPr>
          <w:p>
            <w:pPr>
              <w:pStyle w:val="TableContents"/>
              <w:bidi w:val="0"/>
              <w:spacing w:lineRule="auto" w:line="307" w:before="0" w:after="1"/>
              <w:ind w:left="0" w:right="45" w:hanging="0"/>
              <w:jc w:val="righ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lineRule="auto" w:line="307" w:before="0" w:after="200"/>
        <w:ind w:left="0" w:right="0" w:hanging="0"/>
        <w:jc w:val="center"/>
        <w:rPr/>
      </w:pPr>
      <w:r>
        <w:rPr/>
        <w:t>​</w:t>
      </w:r>
    </w:p>
    <w:p>
      <w:pPr>
        <w:pStyle w:val="TextBody"/>
        <w:bidi w:val="0"/>
        <w:spacing w:lineRule="auto" w:line="307" w:before="0" w:after="20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587" w:name="a1DESCRIPTIONOFBUSINESSANDORGANIZATION_4"/>
      <w:bookmarkStart w:id="1588" w:name="a1DESCRIPTIONOFBUSINESSANDORGANIZATION_4"/>
      <w:bookmarkEnd w:id="1588"/>
    </w:p>
    <w:tbl>
      <w:tblPr>
        <w:tblW w:w="5087" w:type="dxa"/>
        <w:jc w:val="left"/>
        <w:tblInd w:w="0" w:type="dxa"/>
        <w:tblLayout w:type="fixed"/>
        <w:tblCellMar>
          <w:top w:w="0" w:type="dxa"/>
          <w:left w:w="0" w:type="dxa"/>
          <w:bottom w:w="0" w:type="dxa"/>
          <w:right w:w="0" w:type="dxa"/>
        </w:tblCellMar>
      </w:tblPr>
      <w:tblGrid>
        <w:gridCol w:w="271"/>
        <w:gridCol w:w="4816"/>
      </w:tblGrid>
      <w:tr>
        <w:trPr/>
        <w:tc>
          <w:tcPr>
            <w:tcW w:w="271"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1.</w:t>
            </w:r>
          </w:p>
        </w:tc>
        <w:tc>
          <w:tcPr>
            <w:tcW w:w="4816"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DESCRIPTION OF BUSINESS AND ORGANIZATION</w:t>
            </w:r>
          </w:p>
        </w:tc>
      </w:tr>
    </w:tbl>
    <w:tbl>
      <w:tblPr>
        <w:tblW w:w="2345" w:type="dxa"/>
        <w:jc w:val="left"/>
        <w:tblInd w:w="0" w:type="dxa"/>
        <w:tblLayout w:type="fixed"/>
        <w:tblCellMar>
          <w:top w:w="0" w:type="dxa"/>
          <w:left w:w="0" w:type="dxa"/>
          <w:bottom w:w="0" w:type="dxa"/>
          <w:right w:w="0" w:type="dxa"/>
        </w:tblCellMar>
      </w:tblPr>
      <w:tblGrid>
        <w:gridCol w:w="346"/>
        <w:gridCol w:w="1999"/>
      </w:tblGrid>
      <w:tr>
        <w:trPr/>
        <w:tc>
          <w:tcPr>
            <w:tcW w:w="34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1999" w:type="dxa"/>
            <w:tcBorders/>
            <w:vAlign w:val="center"/>
          </w:tcPr>
          <w:p>
            <w:pPr>
              <w:pStyle w:val="TableContents"/>
              <w:bidi w:val="0"/>
              <w:spacing w:before="0" w:after="283"/>
              <w:jc w:val="left"/>
              <w:rPr>
                <w:rFonts w:ascii="Times New Roman;Times;serif" w:hAnsi="Times New Roman;Times;serif"/>
                <w:b/>
                <w:i w:val="false"/>
                <w:caps w:val="false"/>
                <w:smallCaps w:val="false"/>
                <w:spacing w:val="-4"/>
                <w:sz w:val="20"/>
              </w:rPr>
            </w:pPr>
            <w:r>
              <w:rPr>
                <w:rFonts w:ascii="Times New Roman;Times;serif" w:hAnsi="Times New Roman;Times;serif"/>
                <w:b/>
                <w:i w:val="false"/>
                <w:caps w:val="false"/>
                <w:smallCaps w:val="false"/>
                <w:spacing w:val="-4"/>
                <w:sz w:val="20"/>
              </w:rPr>
              <w:t>Description of business</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Lotus Technology Inc. (“the Company”), an exempted company with limited liability, was incorporated in Cayman Islands on August 9, 2021. The Company, through its consolidated subsidiaries (collectively, “the Group”) and historically its consolidated variable interest entity (the “VIE”) and VIE’s subsidiaries, is primarily engaged in the design, develop, and sales of luxury lifestyle battery electric vehicles (“EV”) under the “Lotus” brand (“Lotus EV business”) and the Group is also a distributor that sells luxury sports cars under the “Lotus” brand (“Lotus sports car business”) across the world. The Group also provides other sales and ancillary services to customers.</w:t>
      </w:r>
    </w:p>
    <w:tbl>
      <w:tblPr>
        <w:tblW w:w="2897" w:type="dxa"/>
        <w:jc w:val="left"/>
        <w:tblInd w:w="0" w:type="dxa"/>
        <w:tblLayout w:type="fixed"/>
        <w:tblCellMar>
          <w:top w:w="0" w:type="dxa"/>
          <w:left w:w="0" w:type="dxa"/>
          <w:bottom w:w="0" w:type="dxa"/>
          <w:right w:w="0" w:type="dxa"/>
        </w:tblCellMar>
      </w:tblPr>
      <w:tblGrid>
        <w:gridCol w:w="346"/>
        <w:gridCol w:w="2551"/>
      </w:tblGrid>
      <w:tr>
        <w:trPr/>
        <w:tc>
          <w:tcPr>
            <w:tcW w:w="346" w:type="dxa"/>
            <w:tcBorders/>
            <w:vAlign w:val="center"/>
          </w:tcPr>
          <w:p>
            <w:pPr>
              <w:pStyle w:val="TableContents"/>
              <w:bidi w:val="0"/>
              <w:spacing w:lineRule="auto" w:line="285" w:before="0" w:after="240"/>
              <w:jc w:val="both"/>
              <w:rPr>
                <w:rFonts w:ascii="Times New Roman;Times;serif" w:hAnsi="Times New Roman;Times;serif"/>
                <w:b/>
                <w:i/>
                <w:sz w:val="20"/>
              </w:rPr>
            </w:pPr>
            <w:r>
              <w:rPr>
                <w:rFonts w:ascii="Times New Roman;Times;serif" w:hAnsi="Times New Roman;Times;serif"/>
                <w:b/>
                <w:i/>
                <w:sz w:val="20"/>
              </w:rPr>
              <w:t>(b)</w:t>
            </w:r>
          </w:p>
        </w:tc>
        <w:tc>
          <w:tcPr>
            <w:tcW w:w="255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Merger and recapitalization</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22, 2024 (the “Closing Date”), the Company consummated its merger with LCAA pursuant to a merger agreement dated January 31, 2023 (as amended and restated dated as of October 11, 2023, the “Merger Agreement”) by and among LCAA, the Company, a Cayman Islands exempted company, Lotus Temp Limited, a Cayman Islands exempted company and wholly-owned subsidiary of the Company (“Merger Sub 1”), and Lotus EV Limited, a Cayman Islands exempted company and wholly-owned subsidiary of the Company ( “Merger Sub 2”). Pursuant to the Merger Agreement, (i) Merger Sub 1 was merged with and into LCAA (the “First Merger”), with LCAA surviving the First Merger as a wholly-owned subsidiary of the Company (such company, as the surviving entity of the First Merger, “Surviving Entity 1”) and the shareholders of LCAA becoming shareholders of the Company, and (ii) immediately following the First Merger and as part of the same overall transaction as the First Merger, Surviving Entity 1 was merged with and into Merger Sub 2 (the “Second Merger,” and together with the First Merger, the “Mergers”), with Merger Sub 2 surviving the Second Merger as a wholly-owned subsidiary of the Company (such company, as the surviving entity of the Second Merger, “Surviving Entity 2”) (collectively, the “Merger Transaction” or “Business Combination”).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Upon the consummation of the Merger Transaction,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(i)All ordinary shares of the Company held by all existing shareholders of the Company before the Merger Transaction were recapitalized into 474,621,603 ordinary shares using recapitalization factor of 0.2215 (“Recapitalization Factor”). All applicable share and per share amounts in the consolidated financial statements have been retrospectively adjusted to reflect the effects of the recapitalization (“Recapitalization”);</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(ii)All the preferred shares of the Company that were issued and outstanding immediately prior to the effective time of the First Merger were converted to the Company’s ordinary share on a one-for-one basis (the “Preferred Share Conversion”) and recapitalized into 68,228,526 ordinary shares using the Recapitalization Factor. All applicable share and per share amounts in the consolidated financial statements have been retrospectively adjusted to reflect the effects of the Recapitalization;</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(iii)94,277,279 ordinary shares were issued to a number of investors (the “PIPE Investors”) and the holders of Class A ordinary shares of LCAA for a total consideration of US$858,495 (the “PIPE Investments”), among which,</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50,000,000</w:t>
            </w:r>
            <w:r>
              <w:rPr>
                <w:caps w:val="false"/>
                <w:smallCaps w:val="false"/>
              </w:rPr>
              <w:t xml:space="preserve"> </w:t>
            </w:r>
            <w:r>
              <w:rPr>
                <w:rFonts w:ascii="Times New Roman;Times;serif" w:hAnsi="Times New Roman;Times;serif"/>
                <w:b w:val="false"/>
                <w:i w:val="false"/>
                <w:caps w:val="false"/>
                <w:smallCaps w:val="false"/>
                <w:sz w:val="20"/>
              </w:rPr>
              <w:t>ordinary shares were issued to Meritz for a total consideration of US$500,000, concurrent with the issuance of put option and call options as mentioned in Note 13;</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35,849,458</w:t>
            </w:r>
            <w:r>
              <w:rPr>
                <w:caps w:val="false"/>
                <w:smallCaps w:val="false"/>
              </w:rPr>
              <w:t xml:space="preserve"> </w:t>
            </w:r>
            <w:r>
              <w:rPr>
                <w:rFonts w:ascii="Times New Roman;Times;serif" w:hAnsi="Times New Roman;Times;serif"/>
                <w:b w:val="false"/>
                <w:i w:val="false"/>
                <w:caps w:val="false"/>
                <w:smallCaps w:val="false"/>
                <w:sz w:val="20"/>
              </w:rPr>
              <w:t>ordinary shares were issued to other PIPE Investors, among which, 12,750,000</w:t>
            </w:r>
            <w:r>
              <w:rPr>
                <w:caps w:val="false"/>
                <w:smallCaps w:val="false"/>
              </w:rPr>
              <w:t xml:space="preserve"> </w:t>
            </w:r>
            <w:r>
              <w:rPr>
                <w:rFonts w:ascii="Times New Roman;Times;serif" w:hAnsi="Times New Roman;Times;serif"/>
                <w:b w:val="false"/>
                <w:i w:val="false"/>
                <w:caps w:val="false"/>
                <w:smallCaps w:val="false"/>
                <w:sz w:val="20"/>
              </w:rPr>
              <w:t>ordinary shares were issued to Lotus Technology International Investment Limited (“LTIIL”), and 12,250,000</w:t>
            </w:r>
            <w:r>
              <w:rPr>
                <w:caps w:val="false"/>
                <w:smallCaps w:val="false"/>
              </w:rPr>
              <w:t xml:space="preserve"> </w:t>
            </w:r>
            <w:r>
              <w:rPr>
                <w:rFonts w:ascii="Times New Roman;Times;serif" w:hAnsi="Times New Roman;Times;serif"/>
                <w:b w:val="false"/>
                <w:i w:val="false"/>
                <w:caps w:val="false"/>
                <w:smallCaps w:val="false"/>
                <w:sz w:val="20"/>
              </w:rPr>
              <w:t>ordinary shares were issued to Etika Automotive SDN BHD (“Etika”);</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8,427,821</w:t>
            </w:r>
            <w:r>
              <w:rPr>
                <w:caps w:val="false"/>
                <w:smallCaps w:val="false"/>
              </w:rPr>
              <w:t xml:space="preserve"> </w:t>
            </w:r>
            <w:r>
              <w:rPr>
                <w:rFonts w:ascii="Times New Roman;Times;serif" w:hAnsi="Times New Roman;Times;serif"/>
                <w:b w:val="false"/>
                <w:i w:val="false"/>
                <w:caps w:val="false"/>
                <w:smallCaps w:val="false"/>
                <w:sz w:val="20"/>
              </w:rPr>
              <w:t>ordinary shares were issued to then holders of Class A ordinary shares of LCAA, including 1,265,103</w:t>
            </w:r>
            <w:r>
              <w:rPr>
                <w:caps w:val="false"/>
                <w:smallCaps w:val="false"/>
              </w:rPr>
              <w:t xml:space="preserve"> </w:t>
            </w:r>
            <w:r>
              <w:rPr>
                <w:rFonts w:ascii="Times New Roman;Times;serif" w:hAnsi="Times New Roman;Times;serif"/>
                <w:b w:val="false"/>
                <w:i w:val="false"/>
                <w:caps w:val="false"/>
                <w:smallCaps w:val="false"/>
                <w:sz w:val="20"/>
              </w:rPr>
              <w:t>Class A ordinary shares of LCAA held by public shareholders and 7,087,718</w:t>
            </w:r>
            <w:r>
              <w:rPr>
                <w:caps w:val="false"/>
                <w:smallCaps w:val="false"/>
              </w:rPr>
              <w:t xml:space="preserve"> </w:t>
            </w:r>
            <w:r>
              <w:rPr>
                <w:rFonts w:ascii="Times New Roman;Times;serif" w:hAnsi="Times New Roman;Times;serif"/>
                <w:b w:val="false"/>
                <w:i w:val="false"/>
                <w:caps w:val="false"/>
                <w:smallCaps w:val="false"/>
                <w:sz w:val="20"/>
              </w:rPr>
              <w:t>Class A ordinary share of LCAA held by LCA Acquisition Sponsor LP (the “Sponsor”) and 75,000</w:t>
            </w:r>
            <w:r>
              <w:rPr>
                <w:caps w:val="false"/>
                <w:smallCaps w:val="false"/>
              </w:rPr>
              <w:t xml:space="preserve"> </w:t>
            </w:r>
            <w:r>
              <w:rPr>
                <w:rFonts w:ascii="Times New Roman;Times;serif" w:hAnsi="Times New Roman;Times;serif"/>
                <w:b w:val="false"/>
                <w:i w:val="false"/>
                <w:caps w:val="false"/>
                <w:smallCaps w:val="false"/>
                <w:sz w:val="20"/>
              </w:rPr>
              <w:t>Class A ordinary shares of LCAA held by the directors and officers of LCAA, among which all or a portion of (as reasonably determined by the Company in good faith) 20%</w:t>
            </w:r>
            <w:r>
              <w:rPr>
                <w:caps w:val="false"/>
                <w:smallCaps w:val="false"/>
              </w:rPr>
              <w:t xml:space="preserve"> </w:t>
            </w:r>
            <w:r>
              <w:rPr>
                <w:rFonts w:ascii="Times New Roman;Times;serif" w:hAnsi="Times New Roman;Times;serif"/>
                <w:b w:val="false"/>
                <w:i w:val="false"/>
                <w:caps w:val="false"/>
                <w:smallCaps w:val="false"/>
                <w:sz w:val="20"/>
              </w:rPr>
              <w:t>of the ordinary shares, i.e. 1,417,544</w:t>
            </w:r>
            <w:r>
              <w:rPr>
                <w:caps w:val="false"/>
                <w:smallCaps w:val="false"/>
              </w:rPr>
              <w:t xml:space="preserve"> </w:t>
            </w:r>
            <w:r>
              <w:rPr>
                <w:rFonts w:ascii="Times New Roman;Times;serif" w:hAnsi="Times New Roman;Times;serif"/>
                <w:b w:val="false"/>
                <w:i w:val="false"/>
                <w:caps w:val="false"/>
                <w:smallCaps w:val="false"/>
                <w:sz w:val="20"/>
              </w:rPr>
              <w:t>ordinary shares held by the Sponsor will remain unvested upon the consummation of the Merger Transaction and become vested upon each occurrence of (a) the commencement or official announcement of any business collaboration facilitated by Sponsor or its affiliates (including, without limitation, in connection with product development, marketing, customer engagement, retail space, and technology infrastructure development), or (b) an approved commitment to invest in the Company or one of its subsidiaries by an investor introduced or facilitated by Sponsor or its affiliate, in each case, within eighteen months following the Closing Date. As of December 31, 2025, 1,417,544</w:t>
            </w:r>
            <w:r>
              <w:rPr>
                <w:caps w:val="false"/>
                <w:smallCaps w:val="false"/>
              </w:rPr>
              <w:t xml:space="preserve"> </w:t>
            </w:r>
            <w:r>
              <w:rPr>
                <w:rFonts w:ascii="Times New Roman;Times;serif" w:hAnsi="Times New Roman;Times;serif"/>
                <w:b w:val="false"/>
                <w:i w:val="false"/>
                <w:caps w:val="false"/>
                <w:smallCaps w:val="false"/>
                <w:sz w:val="20"/>
              </w:rPr>
              <w:t>ordinary shares remained unvested;</w:t>
            </w:r>
          </w:p>
        </w:tc>
      </w:tr>
    </w:tbl>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(iv)36,597,038 ordinary shares were issued to Wuhan Lotus Technology Limited Company (“WFOE”), holder of the exchangeable notes, following the settlement of the outstanding principal amount;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(v)577,456 and 2,433,912 ordinary shares, totally 3,011,368 ordinary shares, were issued to Momenta Global Limited and a number of Pre-IPO convertible notes investors, respectively, pursuant to the conversion of Momenta Note and Pre-IPO notes as mentioned in Note 15;</w:t>
      </w:r>
    </w:p>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(vi)9,550,246 warrants were issued to the then public shareholders of LCAA in exchange for the warrants held by public shareholders of LCAA (the “Public Warrants”), and 5,486,784 warrants were issued to the Sponsor in exchange for warrants held by the Sponsor (the “Sponsor Warrants”). Each Public Warrant and Sponsor Warrant can be exercised at an exercise price of US$11.50 in exchange for one ordinary share of the Company. 495,724 warrants were excised during the year ended December 31, 2024.</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Mergers above stated, LCAA was considered as the “acquired” company for financial reporting purposes. Accordingly, for accounting purposes, the financial statements of the Company represented a continuation of its operations with the Mergers treated as the equivalent of the Company issuing shares for the net assets of LCAA, accompanied by a recapitalization. The net assets of the Company are stated at historical cost, with no goodwill or other intangible assets recorded.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ordinary shares of the Company and the Public Warrants are listed on the Nasdaq Stock Market LLC, or “Nasdaq,” under the trading symbols “LOT” and “LOTWW”, respectively, on February 23, 2024.</w:t>
      </w:r>
    </w:p>
    <w:tbl>
      <w:tblPr>
        <w:tblW w:w="2226" w:type="dxa"/>
        <w:jc w:val="left"/>
        <w:tblInd w:w="0" w:type="dxa"/>
        <w:tblLayout w:type="fixed"/>
        <w:tblCellMar>
          <w:top w:w="0" w:type="dxa"/>
          <w:left w:w="0" w:type="dxa"/>
          <w:bottom w:w="0" w:type="dxa"/>
          <w:right w:w="0" w:type="dxa"/>
        </w:tblCellMar>
      </w:tblPr>
      <w:tblGrid>
        <w:gridCol w:w="327"/>
        <w:gridCol w:w="1899"/>
      </w:tblGrid>
      <w:tr>
        <w:trPr/>
        <w:tc>
          <w:tcPr>
            <w:tcW w:w="327" w:type="dxa"/>
            <w:tcBorders/>
            <w:vAlign w:val="center"/>
          </w:tcPr>
          <w:p>
            <w:pPr>
              <w:pStyle w:val="TableContents"/>
              <w:bidi w:val="0"/>
              <w:spacing w:lineRule="auto" w:line="285" w:before="0" w:after="240"/>
              <w:jc w:val="both"/>
              <w:rPr>
                <w:rFonts w:ascii="Times New Roman;Times;serif" w:hAnsi="Times New Roman;Times;serif"/>
                <w:b/>
                <w:i/>
                <w:spacing w:val="-4"/>
                <w:sz w:val="20"/>
              </w:rPr>
            </w:pPr>
            <w:r>
              <w:rPr>
                <w:rFonts w:ascii="Times New Roman;Times;serif" w:hAnsi="Times New Roman;Times;serif"/>
                <w:b/>
                <w:i/>
                <w:spacing w:val="-4"/>
                <w:sz w:val="20"/>
              </w:rPr>
              <w:t>(c)</w:t>
            </w:r>
          </w:p>
        </w:tc>
        <w:tc>
          <w:tcPr>
            <w:tcW w:w="1899" w:type="dxa"/>
            <w:tcBorders/>
            <w:vAlign w:val="center"/>
          </w:tcPr>
          <w:p>
            <w:pPr>
              <w:pStyle w:val="TableContents"/>
              <w:bidi w:val="0"/>
              <w:spacing w:lineRule="auto" w:line="285" w:before="0" w:after="240"/>
              <w:jc w:val="both"/>
              <w:rPr>
                <w:rFonts w:ascii="Times New Roman;Times;serif" w:hAnsi="Times New Roman;Times;serif"/>
                <w:b/>
                <w:spacing w:val="-4"/>
                <w:sz w:val="20"/>
              </w:rPr>
            </w:pPr>
            <w:r>
              <w:rPr>
                <w:rFonts w:ascii="Times New Roman;Times;serif" w:hAnsi="Times New Roman;Times;serif"/>
                <w:b/>
                <w:spacing w:val="-4"/>
                <w:sz w:val="20"/>
              </w:rPr>
              <w:t xml:space="preserve">History of the Group </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Group’s Lotus EV business, founded in 2018, was carried out by Zhejiang Geely Holding Group (“Geely Holding”) through its subsidiaries, including Wuhan Lotus Cars Co., Ltd. (“Wuhan Lotus Cars”) and the Lotus EV business unit of Ningbo Geely Automobile Research &amp; Development Co., Ltd. (“Ningbo Geely R&amp;D”) incorporated in the People’s Republic of China (“PRC”), Lotus Tech Creative Centre Limited (“Lotus Tech UK”) incorporated in United Kingdom (“UK”) and Lotus Tech Innovation Centre GmbH (“Lotus GmbH”) incorporated in Germany, which were all ultimately controlled by Mr. Li Shufu.</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August 9, 2021, the Company was incorporated as a limited liability company in the Cayman Islands, and Lotus Advanced Technology Limited Partnership (“Founders Offshore Vehicle”) subscribed for 191,981,772 ordinary shares on August 9, 2021. On July 30, 2021, Ming Jun Holdings Limited owned by Mr. Li Shufu, Yin Qing Holdings Limited, Xing Rong Holdings Limited and Jing Can Holdings Limited (the “Four Core Investors”) in the Founders Offshore Vehicle signed an agreement (later joined by State Rainbow Investments Limited and Radiant Field Investments Limited) under which Yin Qing Holdings Limited, Xing Rong Holdings Limited, Jing Can Holdings Limited, State Rainbow Investments Limited and Radiant Field Investments Limited agreed to act in concert with Ming Jun Holdings Limited. Therefore, Mr. Li Shufu has the majority voting right and controlled the Founders Offshore Vehicle.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December 29, 2020, Geely Holding and Ningbo Juhe Yinqing Enterprise Management Consulting Partnership (Limited Partnership) (“Founders Onshore Vehicle”) incorporated WFOE. WFOE was 60% owned by Geely Holding and 40% owned by Founders Onshore Vehicle. Both Geely Holding and Founders Onshore Vehicle are controlled by Mr. Li Shufu.</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September 24, 2021, Etika, through its subsidiary in Hong Kong, Lotus Advanced Technology Limited (“Lotus HK”), subscribed for 33.33% equity interest in WFOE, while Geely Holding and Founders Onshore Vehicle subscribed disproportionally. Upon the closing, Geely Holding, Etika, and Founders Onshore Vehicle held 22.22%, 33.33% and 44.45%, respectively, equity interest in WFOE.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November 11, 2021, the Company issued 143,986,329 ordinary shares to Etika through exchange of 100% equity interest in Lotus HK held by Etika. Lotus HK also acquired all the equity interest in WFOE held by Geely Holding and Founders Onshore Vehicle on December 15, 2021.</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November 11, 2021, the Company issued 95,990,886 ordinary shares to LTIIL, ultimately 100% owned by Geely Holding.</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Through a series of reorganization steps (the “Reorganization”), including transferring the assets and employees in the Lotus EV business unit of Ningbo Geely R&amp;D into Wuhan Lotus Cars and transferring the equity of Wuhan Lotus Cars to the WFOE, the Company gained control over WFOE through Lotus HK on December 15, 2021. The equity interests of Lotus Tech UK and Lotus GmbH were also transferred to the Group on December 29, 2021 and June 24, 2022, respectively.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November 4, 2021, the Group entered into trademark licenses agreements with a related party, Group Lotus Limited, a wholly owned subsidiary of Lotus Group International Limited (“LGIL”), which is ultimately controlled by Mr. Li Shufu. Pursuant to this agreement, the Group received the “Lotus” trademark licenses for as long as the Group conducts the business in relation to lifestyle vehicles (excluding sports car). The Group issued 47,995,443 ordinary shares as consideration for such trademark licenses.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above Reorganization was completed on June 24, 2022. The Reorganization consists of transferring the Lotus EV business to the Group. Before and after the Reorganization, the Lotus EV business was ultimately controlled by Mr. Li Shufu. Accordingly, the Reorganization is accounted for under common control transaction. Therefore, the accompanying consolidated financial statements include the assets, liabilities, revenue, expenses and cash flows of Lotus EV business for the periods presented and were prepared as if the corporate structure of the Group after the Reorganization had been in existence throughout the periods presented.</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January 31, 2023, the Group entered into a distribution agreement with Lotus Cars Limited (“LCL”), a wholly owned subsidiary of LGIL and ultimately controlled by the controlling shareholder of the Company, pursuant to which, the Group was appointed as the exclusive global distributor (excluding in the United States of America) to distribute certain models of vehicles produced by LCL and to provide after-sale services and brand, marketing and public relations for such vehicles.</w:t>
      </w:r>
    </w:p>
    <w:tbl>
      <w:tblPr>
        <w:tblW w:w="2207" w:type="dxa"/>
        <w:jc w:val="left"/>
        <w:tblInd w:w="0" w:type="dxa"/>
        <w:tblLayout w:type="fixed"/>
        <w:tblCellMar>
          <w:top w:w="0" w:type="dxa"/>
          <w:left w:w="0" w:type="dxa"/>
          <w:bottom w:w="0" w:type="dxa"/>
          <w:right w:w="0" w:type="dxa"/>
        </w:tblCellMar>
      </w:tblPr>
      <w:tblGrid>
        <w:gridCol w:w="346"/>
        <w:gridCol w:w="1861"/>
      </w:tblGrid>
      <w:tr>
        <w:trPr/>
        <w:tc>
          <w:tcPr>
            <w:tcW w:w="346" w:type="dxa"/>
            <w:tcBorders/>
            <w:vAlign w:val="center"/>
          </w:tcPr>
          <w:p>
            <w:pPr>
              <w:pStyle w:val="TableContents"/>
              <w:bidi w:val="0"/>
              <w:spacing w:lineRule="auto" w:line="285" w:before="0" w:after="240"/>
              <w:jc w:val="both"/>
              <w:rPr>
                <w:rFonts w:ascii="Times New Roman;Times;serif" w:hAnsi="Times New Roman;Times;serif"/>
                <w:b/>
                <w:i/>
                <w:sz w:val="20"/>
              </w:rPr>
            </w:pPr>
            <w:r>
              <w:rPr>
                <w:rFonts w:ascii="Times New Roman;Times;serif" w:hAnsi="Times New Roman;Times;serif"/>
                <w:b/>
                <w:i/>
                <w:sz w:val="20"/>
              </w:rPr>
              <w:t>(d)</w:t>
            </w:r>
          </w:p>
        </w:tc>
        <w:tc>
          <w:tcPr>
            <w:tcW w:w="186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VIE Reorganization</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Historically, the Group conducted its value-added telecommunication services operation in Chinese mainland through VIE and VIE’s subsidiaries, with which WFOE, the Company’s wholly owned subsidiary, the VIE and the VIE’s nominee equity holders entered into certain contractual arrangements (“VIE Arrangements”). Since early 2023, the Group has implemented a series of transactions to restructure its organization and business operations (the “Restructuring”). In connection with the Restructuring, the WFOE, the VIE and nominee equity holders of the VIE entered into a series of agreements (“VIE Restructuring Agreements”), pursuant to which, i) WFOE acquired 100% equity interest in Ningbo Lotus Venture Capital Co., Ltd (“Ningbo Lotus”), formerly named as Sanya Lotus Venture Capital Co., Ltd., and Hangzhou Lotus Technology Service Co., Ltd. (“Hangzhou Lotus”), subsidiaries of the VIE, in February 2023; ii) all the VIE’s assets and liabilities (excluding ICP license), business contracts, intellectual properties and employees were transferred to a subsidiary of WFOE at nil consideration; iii) the VIE Arrangements were terminated on June 30, 2023.</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Group concludes that the Restructuring does not represent a strategic shift, nor it will have a major effect on the Group’s operations and financial results.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tbl>
      <w:tblPr>
        <w:tblW w:w="815" w:type="dxa"/>
        <w:jc w:val="left"/>
        <w:tblInd w:w="0" w:type="dxa"/>
        <w:tblLayout w:type="fixed"/>
        <w:tblCellMar>
          <w:top w:w="0" w:type="dxa"/>
          <w:left w:w="0" w:type="dxa"/>
          <w:bottom w:w="0" w:type="dxa"/>
          <w:right w:w="0" w:type="dxa"/>
        </w:tblCellMar>
      </w:tblPr>
      <w:tblGrid>
        <w:gridCol w:w="327"/>
        <w:gridCol w:w="488"/>
      </w:tblGrid>
      <w:tr>
        <w:trPr/>
        <w:tc>
          <w:tcPr>
            <w:tcW w:w="327" w:type="dxa"/>
            <w:tcBorders/>
            <w:vAlign w:val="center"/>
          </w:tcPr>
          <w:p>
            <w:pPr>
              <w:pStyle w:val="TableContents"/>
              <w:bidi w:val="0"/>
              <w:spacing w:lineRule="auto" w:line="285" w:before="0" w:after="240"/>
              <w:jc w:val="both"/>
              <w:rPr>
                <w:rFonts w:ascii="Times New Roman;Times;serif" w:hAnsi="Times New Roman;Times;serif"/>
                <w:b/>
                <w:i/>
                <w:spacing w:val="-4"/>
                <w:sz w:val="20"/>
              </w:rPr>
            </w:pPr>
            <w:r>
              <w:rPr>
                <w:rFonts w:ascii="Times New Roman;Times;serif" w:hAnsi="Times New Roman;Times;serif"/>
                <w:b/>
                <w:i/>
                <w:spacing w:val="-4"/>
                <w:sz w:val="20"/>
              </w:rPr>
              <w:t>(e)</w:t>
            </w:r>
          </w:p>
        </w:tc>
        <w:tc>
          <w:tcPr>
            <w:tcW w:w="488" w:type="dxa"/>
            <w:tcBorders/>
            <w:vAlign w:val="center"/>
          </w:tcPr>
          <w:p>
            <w:pPr>
              <w:pStyle w:val="TableContents"/>
              <w:bidi w:val="0"/>
              <w:spacing w:lineRule="auto" w:line="285" w:before="0" w:after="240"/>
              <w:jc w:val="both"/>
              <w:rPr>
                <w:rFonts w:ascii="Times New Roman;Times;serif" w:hAnsi="Times New Roman;Times;serif"/>
                <w:b/>
                <w:spacing w:val="-4"/>
                <w:sz w:val="20"/>
              </w:rPr>
            </w:pPr>
            <w:r>
              <w:rPr>
                <w:rFonts w:ascii="Times New Roman;Times;serif" w:hAnsi="Times New Roman;Times;serif"/>
                <w:b/>
                <w:spacing w:val="-4"/>
                <w:sz w:val="20"/>
              </w:rPr>
              <w:t>VIE</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Prior to the Restructuring as described in Note 1(d), the Company’s subsidiary, WFOE has entered into contractual arrangements with Wuhan Lotus E-commerce Co., Ltd. (“VIE”) and their respective shareholders, through which, the Company exercises control over the operations of the VIE and the VIE’s subsidiaries (collectively the “VIEs”). The VIEs are primarily engaged in the provision of value-added telecommunication services.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equity interests of the VIE are legally held by Mr. Li Shufu, Mr. Feng Qingfeng, Mr. Li Donghui and Mr. Liu Bin, who acted as the nominee equity holders of the VIE on behalf of the WFOE. On August 9, 2021, the Company’s wholly owned subsidiary, WFOE, the VIE and the VIE’s nominee equity holders entered into a contractual agreement, which was replaced by a series of contractual arrangements entered into by and among the WFOE, the VIE and the nominee equity holders on March 8, 2022, including (i) Exclusive Consulting and Service Agreement, (ii) Exclusive Purchase Option Agreement, (iii) Equity Pledge Agreement, (iv) Powers of Attorney and (v) Spousal Consent Letters.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above agreements are collectively referred to as VIE Arrangements. Through the VIE Arrangements, the nominee equity holders of the VIE had granted all their legal rights including voting rights and disposition rights of their equity interests in the VIE to the WFOE. The nominee equity holders of the VIE did not participate in income and loss and did not have the power to direct the activities of the VIE that most significantly impact the VIE’s economic performance. Accordingly, the VIE was considered a variable interest entity.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Because the WFOE has (i) the power to direct activities of the VIE that most significantly impact the economic performance of the VIE; and (ii) the right to receive benefits of the VIE that could potentially be significant to the VIE. Thus, WFOE is the primary beneficiary of the VIE.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terms of the VIE Arrangements, the Company, through the WFOE has (i) the right to receive economic benefits that could potentially be significant to the VIE in the form of service fees under the Exclusive Consulting and Service Agreement; (ii) the right to unconditionally receive all dividends or interest declared by the VIE and all of the assets of the VIE; (iii) the right to receive the benefits of the VIE through its exclusive option to acquire 100% of the equity interests in the VIE, to the extent permitted under respective laws and regulations. Accordingly, the financial statements of the VIE are included in the Company’s consolidated financial statements.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terms of the VIE Arrangements, the VIE’s nominee equity holders have no rights to the net assets nor have the obligations to fund the deficit, and such rights and obligations have been vested to the Company through WFOE. All of the deficit (net liabilities) and net loss of the VIEs are attributed to the Company through WFOE.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principal terms of the VIE Arrangements are as follows:</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Exclusive Consulting and Service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Exclusive Consulting and Service Agreement, WFOE has agreed to provide to the VIE with comprehensive consulting services and other services, including but not limited to licensing to VIE intellectual property rights legally owned by WFOE; development, installation, maintenance and update of website, apps, network and system involved in VIE’s business; providing VIE with software and software technology and solutions; technical support and training for employees of VIE; assisting VIE in market research, business planning and strategies; providing marketing and promotion services, customer management, finance management and other related services. VIE and VIE’s subsidiaries (together as VIEs) shall pay WFOE service fees at the amount of 100% of the total consolidated profit of VIEs, after deduction of any accumulated deficit of the VIEs in respect of the preceding financial year(s), necessary operating costs, expenses and taxes. Notwithstanding the foregoing, the WFOE may adjust the amount of the services fee according to services provided by WFOE to VIEs, the VIE’s operational conditions and development needs. The WFOE shall calculate the service fee on a quarterly basis and issue a corresponding invoice to the VIEs. The VIEs must make the payment to the WFOE within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business days of receiving such invoice. In addition, absent the prior written consent of the WFOE, during the term of the Exclusive Consulting and Service Agreement, with respect to the services provided under the Exclusive Consulting and Service Agreement, the VIEs shall not accept the same or any similar services provided by any third party. The Exclusive Consulting and Service Agreement also provides that the WFOE has the exclusive proprietary rights to and interests in any and all intellectual property rights developed and created by the VIEs during the performance of the Exclusive Consulting and Service Agreement. The Exclusive Consulting and Service Agreement shall remain in effect permanently unless otherwise terminated by the WFOE. During the term of the Exclusive Consulting and Service Agreement, VIE shall not terminate the agreement for whatsoever reasons.</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Exclusive Purchase Option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Exclusive Purchase Option Agreement, the nominee equity holders of VIE irrevocably and exclusively granted WFOE or its designee an option to purchase their equity interest in VIE at the price equal to the minimum amount of consideration permitted by PRC law. The nominee equity holders of VIE should refund any amount that is paid by the WFOE or its designee in connection with the purchased equity interest in a way permitted by PRC law. The nominee equity holders of VIE also granted WFOE or its designee an option to purchase all or a portion of the assets of VIE for the minimum amount of consideration permitted by PRC law. The nominee equity holders of VIE agreed not to transfer or mortgage any equity interest in or dispose of or cause the management to dispose of any assets of VIE without the prior written consent of WFOE. The Exclusive Purchase Option Agreement shall remain in effect until all of the equity interests held by the nominee equity holders of VIE and all of the assets in VIE have been acquired by WFOE or its designee.</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Equity Pledge Agreement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Under the Equity Pledge Agreement, the nominee equity holders of VIE pledged their respective equity interest in VIE to WFOE to guarantee the performance of contractual obligations and the payment of debts under the Exclusive Consulting and Service Agreement the nominee equity holders of VIE further agreed not to transfer or pledge their equity interests in VIE without the prior written consent of WFOE. The Equity Pledge Agreement will remain binding until all the contractual obligations of the nominee equity holders of VIE and the VIEs under the Exclusive Consulting and Service Agreement have been fully performed and all the outstanding debts of the nominee equity holders of VIE and the VIEs under the Exclusive Consulting and Service Agreement have been fully paid, or all of their equity interests in VIE have been acquired by WFOE or its designee. Registration of the equity pledge with competent PRC regulatory authority has been completed.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Powers of Attorney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Powers of Attorney entered into by each of the nominee equity holders of VIE, the nominee equity holders of VIE unconditionally and irrevocably appointed the directors of WFOE’s direct or indirect shareholder(s) or WFOE’s other designated persons as their sole attorney-in-fact to exercise all equity holder rights, including, but not limited to, the right to attend shareholders’ meetings of the VIEs and sign any shareholders resolutions of the meetings on behalf of the nominee equity holder, to exercise all shareholders’ rights in accordance with the PRC laws and regulations and the articles of association of the VIEs, including but not limited to the shareholders’ voting rights, the rights to sale, transfer, pledge or disposal of all or any part of the equity interests in VIE, to appoint the legal representative, director, supervisor and other senior management personnel of VIE, the right to sign any document, meeting minutes and file documents with the competent PRC regulatory authority and the voting rights with respect to VIE’s bankruptcy. The powers of attorney will remain effective until such nominee equity holders cease to be nominee equity holders of the VIE or the WFOE notifies the nominee equity holder of VIE to terminate the relevant powers of attorney.</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Spousal Consent Letters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spouses of each of nominee equity holders signed Spousal Consent Letters. Under the Spousal Consent Letters, the signing spouse unconditionally and irrevocably agreed that the equity interest in VIE which is held by and registered under the name of her spouse will be disposed of pursuant to the abovementioned Equity Pledge Agreement, Exclusive Purchase Option Agreement, Exclusive Consulting and Service Agreement and Powers of Attorney. Moreover, the spouse confirmed she has no rights, and will not assert in the future any right, over the equity interests in VIE held by her spouse. In addition, in the event that the spouse obtains any equity interest in VIE held by her spouse for any reason, she agrees to be bound by and sign any legal documents substantially similar to the contractual arrangements entered into by her spouse, as may be amended from time to time.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Company relies on the VIE Arrangements to operate and control VIEs. All of the VIE Arrangements are governed by PRC laws and provide for the resolution of disputes through arbitration under PRC laws. Accordingly, these agreements would be interpreted in accordance with PRC laws and any disputes would be resolved in accordance with PRC legal procedures. Uncertainties in the PRC legal system could limit the Company’s ability to enforce these VIE Arrangements.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management, based on the legal opinion obtained from the Company’s PRC legal counsel, the above VIE Arrangements were legally binding and enforceable and did not violate current PRC laws and regulations.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Company’s involvement with the VIEs under the VIE Arrangements affected the Company’s consolidated financial position, consolidated results of operations and cash flows as indicated below.</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1589" w:name="Tc_zEMijHuVH0W-Co5jJmX-nQ_12_0"/>
      <w:bookmarkStart w:id="1590" w:name="Tc_7GrtOP1e6kuDsAveUwHveQ_11_0"/>
      <w:bookmarkStart w:id="1591" w:name="Tc_XeGMLnCzAUy11iKN3rFSEg_10_0"/>
      <w:bookmarkStart w:id="1592" w:name="Tc_4QhdQZ74K0a7uOQM2DCtIw_9_0"/>
      <w:bookmarkStart w:id="1593" w:name="Tc_0IxYFOnDFk-jHgq8QQ1RLw_8_0"/>
      <w:bookmarkStart w:id="1594" w:name="Tc_K2X8bWTN_EymXn3wavYFLw_7_0"/>
      <w:bookmarkStart w:id="1595" w:name="Tc_dKqLlB9C2EiEsJ34Z_tkzw_6_0"/>
      <w:bookmarkStart w:id="1596" w:name="Tc_t8l9TPOsakmomiHHXGdYFQ_5_0"/>
      <w:bookmarkStart w:id="1597" w:name="Tc_cXX2Q5x3Z0mm5nXm4UbUDA_4_0"/>
      <w:bookmarkStart w:id="1598" w:name="Tc_z4ZQ88Ehu0Gp0zdwhwZoiA_3_0"/>
      <w:bookmarkStart w:id="1599" w:name="Tc_CyDEqu2wfkO77GkQUFMTJA_1_2"/>
      <w:bookmarkStart w:id="1600" w:name="Tc_y4TSABBhvEmoXaDkhXhfdw_13_2"/>
      <w:bookmarkStart w:id="1601" w:name="Tc_3gHQY2gnikWN8lA2I9UFyg_13_0"/>
      <w:bookmarkStart w:id="1602" w:name="Tc_g9jVHEPj_UOtl90ZkJQ6lw_12_0"/>
      <w:bookmarkStart w:id="1603" w:name="Tc_QUWyjks390WmyWJpmSMV4Q_11_0"/>
      <w:bookmarkStart w:id="1604" w:name="Tc_Fm6SGJxTWUGhKMUfOTBg7g_10_0"/>
      <w:bookmarkStart w:id="1605" w:name="Tc_bGfTMbBgTkaExQWsyuG7NQ_9_0"/>
      <w:bookmarkStart w:id="1606" w:name="Tc_OlGRtFSUz0ukQTbU0HcTrA_8_0"/>
      <w:bookmarkStart w:id="1607" w:name="Tc_08shNxYBkEyxmv7GVvUt4w_7_0"/>
      <w:bookmarkStart w:id="1608" w:name="Tc_AKeLk7FIWk6WELknzUQdtQ_6_0"/>
      <w:bookmarkStart w:id="1609" w:name="Tc_l_z-UE5d2kmf0XRGFKnjQQ_5_2"/>
      <w:bookmarkStart w:id="1610" w:name="Tc_nY8mJ3HCE0We9gRGDXSJfw_5_0"/>
      <w:bookmarkStart w:id="1611" w:name="Tc_7YK-q8g9I0Suaf5e0QABOw_4_2"/>
      <w:bookmarkStart w:id="1612" w:name="Tc_1Kiw3cdp6kSDwymDbEhl4w_3_2"/>
      <w:bookmarkStart w:id="1613" w:name="Tc_b1hhSHhy8U6r43nNjdvQDg_2_2"/>
      <w:bookmarkStart w:id="1614" w:name="Tc_KcF_rECCMkimeYg3TN4vgg_1_2"/>
      <w:bookmarkStart w:id="1615" w:name="_cb9ff6f3_7cbb_4fde_b084_1198f65c76ee"/>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r>
        <w:rPr>
          <w:rFonts w:ascii="Times New Roman;Times;serif" w:hAnsi="Times New Roman;Times;serif"/>
          <w:sz w:val="20"/>
        </w:rPr>
        <w:t>Pursuant to the Restructuring, the Group ceased to consolidate the VIEs on June 30, 2023. The following consolidated revenues, net loss and cash flow information of the Group’s VIEs for period between January 1, 2023 and the completion of the Restructuring have been included in the accompanying consolidated financial statements after the elimination of intercompany balances and transactions among the VIEs.</w:t>
      </w:r>
    </w:p>
    <w:p>
      <w:pPr>
        <w:pStyle w:val="TextBody"/>
        <w:bidi w:val="0"/>
        <w:spacing w:lineRule="auto" w:line="307" w:before="0" w:after="200"/>
        <w:ind w:left="0" w:right="0" w:hanging="0"/>
        <w:jc w:val="both"/>
        <w:rPr/>
      </w:pPr>
      <w:r>
        <w:rPr/>
        <w:t>​</w:t>
      </w:r>
    </w:p>
    <w:tbl>
      <w:tblPr>
        <w:tblW w:w="5493" w:type="dxa"/>
        <w:jc w:val="left"/>
        <w:tblInd w:w="0" w:type="dxa"/>
        <w:tblLayout w:type="fixed"/>
        <w:tblCellMar>
          <w:top w:w="0" w:type="dxa"/>
          <w:left w:w="0" w:type="dxa"/>
          <w:bottom w:w="0" w:type="dxa"/>
          <w:right w:w="0" w:type="dxa"/>
        </w:tblCellMar>
      </w:tblPr>
      <w:tblGrid>
        <w:gridCol w:w="3346"/>
        <w:gridCol w:w="346"/>
        <w:gridCol w:w="180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24710" cy="175260"/>
                      <wp:effectExtent l="0" t="0" r="0" b="0"/>
                      <wp:wrapNone/>
                      <wp:docPr id="281" name="Frame276"/>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2"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143635" cy="175260"/>
                      <wp:effectExtent l="0" t="0" r="0" b="0"/>
                      <wp:wrapNone/>
                      <wp:docPr id="283" name="Frame278"/>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80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From January 1, 2023</w:t>
            </w:r>
          </w:p>
        </w:tc>
      </w:tr>
      <w:tr>
        <w:trPr/>
        <w:tc>
          <w:tcPr>
            <w:tcW w:w="3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80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 the completion of</w:t>
            </w:r>
          </w:p>
        </w:tc>
      </w:tr>
      <w:tr>
        <w:trPr/>
        <w:tc>
          <w:tcPr>
            <w:tcW w:w="3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8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the Restructuring</w:t>
            </w:r>
          </w:p>
        </w:tc>
      </w:tr>
      <w:tr>
        <w:trPr/>
        <w:tc>
          <w:tcPr>
            <w:tcW w:w="3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80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34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801" w:type="dxa"/>
            <w:tcBorders/>
            <w:shd w:fill="CCEEFF" w:val="clear"/>
            <w:vAlign w:val="center"/>
          </w:tcPr>
          <w:p>
            <w:pPr>
              <w:pStyle w:val="TableContents"/>
              <w:bidi w:val="0"/>
              <w:spacing w:lineRule="auto" w:line="307" w:before="0" w:after="1"/>
              <w:ind w:left="0" w:right="0" w:hanging="0"/>
              <w:jc w:val="right"/>
              <w:rPr/>
            </w:pPr>
            <w:r>
              <w:rPr/>
              <w:t>—</w:t>
            </w:r>
          </w:p>
        </w:tc>
      </w:tr>
      <w:tr>
        <w:trPr/>
        <w:tc>
          <w:tcPr>
            <w:tcW w:w="3346"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Net loss </w:t>
            </w:r>
            <w:r>
              <w:rPr>
                <w:rFonts w:ascii="Times New Roman;Times;serif" w:hAnsi="Times New Roman;Times;serif"/>
                <w:sz w:val="15"/>
              </w:rPr>
              <w:t>(i)</w:t>
            </w:r>
          </w:p>
        </w:tc>
        <w:tc>
          <w:tcPr>
            <w:tcW w:w="346" w:type="dxa"/>
            <w:tcBorders/>
            <w:vAlign w:val="center"/>
          </w:tcPr>
          <w:p>
            <w:pPr>
              <w:pStyle w:val="TableContents"/>
              <w:bidi w:val="0"/>
              <w:spacing w:lineRule="auto" w:line="307" w:before="0" w:after="1"/>
              <w:ind w:left="0" w:right="0" w:hanging="0"/>
              <w:jc w:val="left"/>
              <w:rPr/>
            </w:pPr>
            <w:r>
              <w:rPr/>
              <w:t> </w:t>
            </w:r>
          </w:p>
        </w:tc>
        <w:tc>
          <w:tcPr>
            <w:tcW w:w="18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(74,137)</w:t>
            </w:r>
          </w:p>
        </w:tc>
      </w:tr>
      <w:tr>
        <w:trPr/>
        <w:tc>
          <w:tcPr>
            <w:tcW w:w="334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Net cash used in operating activities </w:t>
            </w:r>
            <w:r>
              <w:rPr>
                <w:rFonts w:ascii="Times New Roman;Times;serif" w:hAnsi="Times New Roman;Times;serif"/>
                <w:sz w:val="15"/>
              </w:rPr>
              <w:t>(ii)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8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(8,281)</w:t>
            </w:r>
          </w:p>
        </w:tc>
      </w:tr>
      <w:tr>
        <w:trPr/>
        <w:tc>
          <w:tcPr>
            <w:tcW w:w="3346"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18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(38,400)</w:t>
            </w:r>
          </w:p>
        </w:tc>
      </w:tr>
      <w:tr>
        <w:trPr/>
        <w:tc>
          <w:tcPr>
            <w:tcW w:w="3346"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Net cash used in financing activities </w:t>
            </w:r>
            <w:r>
              <w:rPr>
                <w:rFonts w:ascii="Times New Roman;Times;serif" w:hAnsi="Times New Roman;Times;serif"/>
                <w:sz w:val="15"/>
              </w:rPr>
              <w:t>(iii)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8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(107,317)</w:t>
            </w:r>
          </w:p>
        </w:tc>
      </w:tr>
      <w:tr>
        <w:trPr/>
        <w:tc>
          <w:tcPr>
            <w:tcW w:w="3346"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346" w:type="dxa"/>
            <w:tcBorders/>
            <w:vAlign w:val="center"/>
          </w:tcPr>
          <w:p>
            <w:pPr>
              <w:pStyle w:val="TableContents"/>
              <w:bidi w:val="0"/>
              <w:spacing w:lineRule="auto" w:line="307" w:before="0" w:after="1"/>
              <w:ind w:left="0" w:right="0" w:hanging="0"/>
              <w:jc w:val="left"/>
              <w:rPr/>
            </w:pPr>
            <w:r>
              <w:rPr/>
              <w:t> </w:t>
            </w:r>
          </w:p>
        </w:tc>
        <w:tc>
          <w:tcPr>
            <w:tcW w:w="18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(2,573)</w:t>
            </w:r>
          </w:p>
        </w:tc>
      </w:tr>
      <w:tr>
        <w:trPr/>
        <w:tc>
          <w:tcPr>
            <w:tcW w:w="334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decrease in 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8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(156,571)</w:t>
            </w:r>
          </w:p>
        </w:tc>
      </w:tr>
      <w:tr>
        <w:trPr/>
        <w:tc>
          <w:tcPr>
            <w:tcW w:w="3346"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at beginning of the period</w:t>
            </w:r>
          </w:p>
        </w:tc>
        <w:tc>
          <w:tcPr>
            <w:tcW w:w="346" w:type="dxa"/>
            <w:tcBorders/>
            <w:vAlign w:val="center"/>
          </w:tcPr>
          <w:p>
            <w:pPr>
              <w:pStyle w:val="TableContents"/>
              <w:bidi w:val="0"/>
              <w:spacing w:lineRule="auto" w:line="307" w:before="0" w:after="1"/>
              <w:ind w:left="0" w:right="0" w:hanging="0"/>
              <w:jc w:val="left"/>
              <w:rPr/>
            </w:pPr>
            <w:r>
              <w:rPr/>
              <w:t> </w:t>
            </w:r>
          </w:p>
        </w:tc>
        <w:tc>
          <w:tcPr>
            <w:tcW w:w="18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156,571</w:t>
            </w:r>
          </w:p>
        </w:tc>
      </w:tr>
      <w:tr>
        <w:trPr/>
        <w:tc>
          <w:tcPr>
            <w:tcW w:w="3346"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at end of the period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801" w:type="dxa"/>
            <w:tcBorders/>
            <w:shd w:fill="CCEEFF" w:val="clear"/>
            <w:vAlign w:val="center"/>
          </w:tcPr>
          <w:p>
            <w:pPr>
              <w:pStyle w:val="TableContents"/>
              <w:bidi w:val="0"/>
              <w:spacing w:lineRule="auto" w:line="307"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loss includes other expenses of US$56,752</w:t>
            </w:r>
            <w:r>
              <w:rPr>
                <w:caps w:val="false"/>
                <w:smallCaps w:val="false"/>
              </w:rPr>
              <w:t xml:space="preserve"> </w:t>
            </w:r>
            <w:r>
              <w:rPr>
                <w:rFonts w:ascii="Times New Roman;Times;serif" w:hAnsi="Times New Roman;Times;serif"/>
                <w:b w:val="false"/>
                <w:i w:val="false"/>
                <w:caps w:val="false"/>
                <w:smallCaps w:val="false"/>
                <w:sz w:val="20"/>
              </w:rPr>
              <w:t xml:space="preserve">arising from the transfer of VIE’s assets and liabilities to a subsidiary of WFOE for period between January 1, 2023 and the completion of the Restructuring, which were eliminated upon consolidation.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cash used in operating activities includes amounts of US$88,423</w:t>
            </w:r>
            <w:r>
              <w:rPr>
                <w:caps w:val="false"/>
                <w:smallCaps w:val="false"/>
              </w:rPr>
              <w:t xml:space="preserve"> </w:t>
            </w:r>
            <w:r>
              <w:rPr>
                <w:rFonts w:ascii="Times New Roman;Times;serif" w:hAnsi="Times New Roman;Times;serif"/>
                <w:b w:val="false"/>
                <w:i w:val="false"/>
                <w:caps w:val="false"/>
                <w:smallCaps w:val="false"/>
                <w:sz w:val="20"/>
              </w:rPr>
              <w:t>paid to the Company’s subsidiaries and amounts of US$86,697</w:t>
            </w:r>
            <w:r>
              <w:rPr>
                <w:caps w:val="false"/>
                <w:smallCaps w:val="false"/>
              </w:rPr>
              <w:t xml:space="preserve"> </w:t>
            </w:r>
            <w:r>
              <w:rPr>
                <w:rFonts w:ascii="Times New Roman;Times;serif" w:hAnsi="Times New Roman;Times;serif"/>
                <w:b w:val="false"/>
                <w:i w:val="false"/>
                <w:caps w:val="false"/>
                <w:smallCaps w:val="false"/>
                <w:sz w:val="20"/>
              </w:rPr>
              <w:t>provided by the Company’s subsidiaries for period between January 1, 2023 and the completion of the Restructuring, which were eliminated upon consolidation.</w:t>
            </w:r>
          </w:p>
        </w:tc>
      </w:tr>
    </w:tbl>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cash used in financing activities includes amounts of US$158,509</w:t>
            </w:r>
            <w:r>
              <w:rPr>
                <w:caps w:val="false"/>
                <w:smallCaps w:val="false"/>
              </w:rPr>
              <w:t xml:space="preserve"> </w:t>
            </w:r>
            <w:r>
              <w:rPr>
                <w:rFonts w:ascii="Times New Roman;Times;serif" w:hAnsi="Times New Roman;Times;serif"/>
                <w:b w:val="false"/>
                <w:i w:val="false"/>
                <w:caps w:val="false"/>
                <w:smallCaps w:val="false"/>
                <w:sz w:val="20"/>
              </w:rPr>
              <w:t>paid to the Company’s subsidiaries and amounts of US$32,715</w:t>
            </w:r>
            <w:r>
              <w:rPr>
                <w:caps w:val="false"/>
                <w:smallCaps w:val="false"/>
              </w:rPr>
              <w:t xml:space="preserve"> </w:t>
            </w:r>
            <w:r>
              <w:rPr>
                <w:rFonts w:ascii="Times New Roman;Times;serif" w:hAnsi="Times New Roman;Times;serif"/>
                <w:b w:val="false"/>
                <w:i w:val="false"/>
                <w:caps w:val="false"/>
                <w:smallCaps w:val="false"/>
                <w:sz w:val="20"/>
              </w:rPr>
              <w:t>provided by the Company’s subsidiaries for period between January 1, 2023 and the completion of the Restructuring, which were eliminated upon consolidation.</w:t>
            </w:r>
          </w:p>
        </w:tc>
      </w:tr>
    </w:tbl>
    <w:tbl>
      <w:tblPr>
        <w:tblW w:w="2462" w:type="dxa"/>
        <w:jc w:val="left"/>
        <w:tblInd w:w="0" w:type="dxa"/>
        <w:tblLayout w:type="fixed"/>
        <w:tblCellMar>
          <w:top w:w="0" w:type="dxa"/>
          <w:left w:w="0" w:type="dxa"/>
          <w:bottom w:w="0" w:type="dxa"/>
          <w:right w:w="0" w:type="dxa"/>
        </w:tblCellMar>
      </w:tblPr>
      <w:tblGrid>
        <w:gridCol w:w="301"/>
        <w:gridCol w:w="2161"/>
      </w:tblGrid>
      <w:tr>
        <w:trPr/>
        <w:tc>
          <w:tcPr>
            <w:tcW w:w="301" w:type="dxa"/>
            <w:tcBorders/>
            <w:vAlign w:val="center"/>
          </w:tcPr>
          <w:p>
            <w:pPr>
              <w:pStyle w:val="TableContents"/>
              <w:bidi w:val="0"/>
              <w:spacing w:lineRule="auto" w:line="285" w:before="0" w:after="240"/>
              <w:jc w:val="both"/>
              <w:rPr>
                <w:rFonts w:ascii="Times New Roman;Times;serif" w:hAnsi="Times New Roman;Times;serif"/>
                <w:b/>
                <w:i/>
                <w:sz w:val="20"/>
              </w:rPr>
            </w:pPr>
            <w:r>
              <w:rPr>
                <w:rFonts w:ascii="Times New Roman;Times;serif" w:hAnsi="Times New Roman;Times;serif"/>
                <w:b/>
                <w:i/>
                <w:sz w:val="20"/>
              </w:rPr>
              <w:t>(f)</w:t>
            </w:r>
          </w:p>
        </w:tc>
        <w:tc>
          <w:tcPr>
            <w:tcW w:w="2161" w:type="dxa"/>
            <w:tcBorders/>
            <w:vAlign w:val="center"/>
          </w:tcPr>
          <w:p>
            <w:pPr>
              <w:pStyle w:val="TableContents"/>
              <w:bidi w:val="0"/>
              <w:spacing w:lineRule="auto" w:line="285" w:before="0" w:after="240"/>
              <w:jc w:val="both"/>
              <w:rPr>
                <w:rFonts w:ascii="Times New Roman;Times;serif" w:hAnsi="Times New Roman;Times;serif"/>
                <w:b/>
                <w:sz w:val="20"/>
              </w:rPr>
            </w:pPr>
            <w:r>
              <w:rPr>
                <w:rFonts w:ascii="Times New Roman;Times;serif" w:hAnsi="Times New Roman;Times;serif"/>
                <w:b/>
                <w:sz w:val="20"/>
              </w:rPr>
              <w:t>Disposal of a subsidiary</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On September 27, 2024, the Company, through its subsidiary, disposed 80% equity interest of Lotus GmbH to Geely UK Limited, a subsidiary of Geely Holding, for cash consideration of US$12,157. The carrying amount of the net assets of Lotus GmbH on the disposal date was as follows:</w:t>
      </w:r>
    </w:p>
    <w:p>
      <w:pPr>
        <w:pStyle w:val="TextBody"/>
        <w:bidi w:val="0"/>
        <w:spacing w:lineRule="auto" w:line="307" w:before="0" w:after="160"/>
        <w:ind w:left="0" w:right="0" w:hanging="0"/>
        <w:jc w:val="left"/>
        <w:rPr/>
      </w:pPr>
      <w:r>
        <w:rPr/>
        <w:t>​</w:t>
      </w:r>
    </w:p>
    <w:tbl>
      <w:tblPr>
        <w:tblW w:w="5478" w:type="dxa"/>
        <w:jc w:val="left"/>
        <w:tblInd w:w="0" w:type="dxa"/>
        <w:tblLayout w:type="fixed"/>
        <w:tblCellMar>
          <w:top w:w="0" w:type="dxa"/>
          <w:left w:w="0" w:type="dxa"/>
          <w:bottom w:w="0" w:type="dxa"/>
          <w:right w:w="0" w:type="dxa"/>
        </w:tblCellMar>
      </w:tblPr>
      <w:tblGrid>
        <w:gridCol w:w="4351"/>
        <w:gridCol w:w="346"/>
        <w:gridCol w:w="781"/>
      </w:tblGrid>
      <w:tr>
        <w:trPr/>
        <w:tc>
          <w:tcPr>
            <w:tcW w:w="43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84"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95935" cy="175260"/>
                      <wp:effectExtent l="0" t="0" r="0" b="0"/>
                      <wp:wrapNone/>
                      <wp:docPr id="285" name="Frame2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351" w:type="dxa"/>
            <w:tcBorders/>
            <w:vAlign w:val="center"/>
          </w:tcPr>
          <w:p>
            <w:pPr>
              <w:pStyle w:val="TableContents"/>
              <w:bidi w:val="0"/>
              <w:spacing w:lineRule="auto" w:line="307" w:before="0" w:after="160"/>
              <w:ind w:left="0" w:right="0" w:hanging="0"/>
              <w:jc w:val="both"/>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60"/>
              <w:ind w:left="0" w:right="0" w:hanging="0"/>
              <w:jc w:val="right"/>
              <w:rPr/>
            </w:pPr>
            <w:r>
              <w:rPr/>
              <w:t>​</w:t>
            </w:r>
          </w:p>
        </w:tc>
      </w:tr>
      <w:tr>
        <w:trPr/>
        <w:tc>
          <w:tcPr>
            <w:tcW w:w="435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5,276</w:t>
            </w:r>
          </w:p>
        </w:tc>
      </w:tr>
      <w:tr>
        <w:trPr/>
        <w:tc>
          <w:tcPr>
            <w:tcW w:w="435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865</w:t>
            </w:r>
          </w:p>
        </w:tc>
      </w:tr>
      <w:tr>
        <w:trPr/>
        <w:tc>
          <w:tcPr>
            <w:tcW w:w="435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Prepayments and other 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2,710</w:t>
            </w:r>
          </w:p>
        </w:tc>
      </w:tr>
      <w:tr>
        <w:trPr/>
        <w:tc>
          <w:tcPr>
            <w:tcW w:w="435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Amounts due from the Company and its subsidiaries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4,035</w:t>
            </w:r>
          </w:p>
        </w:tc>
      </w:tr>
      <w:tr>
        <w:trPr/>
        <w:tc>
          <w:tcPr>
            <w:tcW w:w="435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Property, equipment and software,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8,494</w:t>
            </w:r>
          </w:p>
        </w:tc>
      </w:tr>
      <w:tr>
        <w:trPr/>
        <w:tc>
          <w:tcPr>
            <w:tcW w:w="435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9,689</w:t>
            </w:r>
          </w:p>
        </w:tc>
      </w:tr>
      <w:tr>
        <w:trPr/>
        <w:tc>
          <w:tcPr>
            <w:tcW w:w="435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435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(6,290)</w:t>
            </w:r>
          </w:p>
        </w:tc>
      </w:tr>
      <w:tr>
        <w:trPr/>
        <w:tc>
          <w:tcPr>
            <w:tcW w:w="435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(9,758)</w:t>
            </w:r>
          </w:p>
        </w:tc>
      </w:tr>
      <w:tr>
        <w:trPr/>
        <w:tc>
          <w:tcPr>
            <w:tcW w:w="4351" w:type="dxa"/>
            <w:tcBorders/>
            <w:vAlign w:val="center"/>
          </w:tcPr>
          <w:p>
            <w:pPr>
              <w:pStyle w:val="TableContents"/>
              <w:bidi w:val="0"/>
              <w:spacing w:lineRule="auto" w:line="307" w:before="0" w:after="1"/>
              <w:ind w:left="0" w:right="0" w:hanging="0"/>
              <w:jc w:val="both"/>
              <w:rPr>
                <w:rFonts w:ascii="Times New Roman;Times;serif" w:hAnsi="Times New Roman;Times;serif"/>
                <w:b/>
                <w:sz w:val="20"/>
              </w:rPr>
            </w:pPr>
            <w:r>
              <w:rPr>
                <w:rFonts w:ascii="Times New Roman;Times;serif" w:hAnsi="Times New Roman;Times;serif"/>
                <w:b/>
                <w:sz w:val="20"/>
              </w:rPr>
              <w:t>Net assets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13,959</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excess of cash consideration over the net assets derecognized of US$990 was recognized in additional paid-in capital in the consolidated balance sheet.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Group concludes that the disposal does not represent a strategic shift, nor it will have a major effect on the Group’s operations and financial results. The Group accounts for the remaining 20% equity interests as equity method investee in “Long-term investments” in the consolidated balance sheet as of December 31, 2024 and 2025.</w:t>
      </w:r>
    </w:p>
    <w:tbl>
      <w:tblPr>
        <w:tblW w:w="5402" w:type="dxa"/>
        <w:jc w:val="left"/>
        <w:tblInd w:w="0" w:type="dxa"/>
        <w:tblLayout w:type="fixed"/>
        <w:tblCellMar>
          <w:top w:w="0" w:type="dxa"/>
          <w:left w:w="0" w:type="dxa"/>
          <w:bottom w:w="0" w:type="dxa"/>
          <w:right w:w="0" w:type="dxa"/>
        </w:tblCellMar>
      </w:tblPr>
      <w:tblGrid>
        <w:gridCol w:w="271"/>
        <w:gridCol w:w="513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w:t>
            </w:r>
          </w:p>
        </w:tc>
        <w:tc>
          <w:tcPr>
            <w:tcW w:w="513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tbl>
      <w:tblPr>
        <w:tblW w:w="2237" w:type="dxa"/>
        <w:jc w:val="left"/>
        <w:tblInd w:w="0" w:type="dxa"/>
        <w:tblLayout w:type="fixed"/>
        <w:tblCellMar>
          <w:top w:w="0" w:type="dxa"/>
          <w:left w:w="0" w:type="dxa"/>
          <w:bottom w:w="0" w:type="dxa"/>
          <w:right w:w="0" w:type="dxa"/>
        </w:tblCellMar>
      </w:tblPr>
      <w:tblGrid>
        <w:gridCol w:w="346"/>
        <w:gridCol w:w="1891"/>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(a)</w:t>
            </w:r>
          </w:p>
        </w:tc>
        <w:tc>
          <w:tcPr>
            <w:tcW w:w="189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Basis of presentation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accounting principles generally accepted in the United States of America (“U.S. GAAP”). The consolidated financial statements are presented in United States dollar (“US$”), rounded to the nearest thousand.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These consolidated financial statements have been prepared in accordance with U.S. GAAP assuming the Group will continue as a going concern. The going concern assumption contemplates the realization of assets and satisfaction of liabilities in the normal course of business. However, substantial doubt about the Group’s ability to continue as a going concern exists. The Group has incurred losses since its inception. As of December 31, 2025, the Group had an accumulated deficit of US$3,157,918 and current liabilities exceeded current assets in the amount of US$1,486,989. In addition, the Group recorded net cash used in operating activities in the amount of US$333,907 for the year ended December 31, 2025.</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Historically, the Group had relied principally on proceeds from the issuance of redeemable convertible preferred shares, exchangeable notes, convertible notes and related party borrowings to finance its operations and business expansion. The Group will require additional liquidity to continue its operations over the next twelve months. The Group is evaluating strategies to obtain the required additional funding for future operations. These strategies may include, but are not limited to, i) restructuring of operations to grow revenues and accelerating pace of collections of receivables, ii) reducing discretionary capital and operating expenses, iii) obtaining additional loans from banks or related parties and renewal of existing loans when they are due, and iv) exploring opportunities for further equity financing. However, given the impact of the uncertainty of global economic and financial markets, the Group may be unable to access further debt or equity financing when needed. As such, there can be no assurance that the Group will be able to obtain additional liquidity when needed or under acceptable terms, if at all.</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These consolidated financial statements do not include any adjustments to the carrying amounts and classification of assets, liabilities, and reported expenses that may be necessary if the Group were unable to continue as a going concern.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Certain financial information of prior years has been reclassified to conform with the current year’s presentation to facilitate comparison. These reclassifications had no effect on the previously reported results of operations or accumulated deficit.</w:t>
      </w:r>
    </w:p>
    <w:tbl>
      <w:tblPr>
        <w:tblW w:w="2732" w:type="dxa"/>
        <w:jc w:val="left"/>
        <w:tblInd w:w="0" w:type="dxa"/>
        <w:tblLayout w:type="fixed"/>
        <w:tblCellMar>
          <w:top w:w="0" w:type="dxa"/>
          <w:left w:w="0" w:type="dxa"/>
          <w:bottom w:w="0" w:type="dxa"/>
          <w:right w:w="0" w:type="dxa"/>
        </w:tblCellMar>
      </w:tblPr>
      <w:tblGrid>
        <w:gridCol w:w="346"/>
        <w:gridCol w:w="2386"/>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(b)</w:t>
            </w:r>
          </w:p>
        </w:tc>
        <w:tc>
          <w:tcPr>
            <w:tcW w:w="238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Principles of consolidation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consolidated financial statements presented herein include the financial statements of the Company, its subsidiaries and its former consolidated VIE and VIE’s subsidiaries. </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 subsidiary is an entity in which the Company, directly or indirectly, controls more than one half of the voting power; has the power to appoint or remove the majority of the members of the board of directors; to cast a majority of votes at the meeting of the board of directors or to govern the financial and operating policies of the investee under a statute or agreement among the shareholders or equity holders.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All transactions and balances among the Company, its subsidiaries, and its former consolidated VIE and VIE’s subsidiaries have been eliminated upon consolidation. The noncontrolling interests in consolidated subsidiaries are shown separately in the consolidated financial statements.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tbl>
      <w:tblPr>
        <w:tblW w:w="1802" w:type="dxa"/>
        <w:jc w:val="left"/>
        <w:tblInd w:w="0" w:type="dxa"/>
        <w:tblLayout w:type="fixed"/>
        <w:tblCellMar>
          <w:top w:w="0" w:type="dxa"/>
          <w:left w:w="0" w:type="dxa"/>
          <w:bottom w:w="0" w:type="dxa"/>
          <w:right w:w="0" w:type="dxa"/>
        </w:tblCellMar>
      </w:tblPr>
      <w:tblGrid>
        <w:gridCol w:w="331"/>
        <w:gridCol w:w="1471"/>
      </w:tblGrid>
      <w:tr>
        <w:trPr/>
        <w:tc>
          <w:tcPr>
            <w:tcW w:w="33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(c)</w:t>
            </w:r>
          </w:p>
        </w:tc>
        <w:tc>
          <w:tcPr>
            <w:tcW w:w="147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Use of estimates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 in the consolidated financial statements and accompanying notes. Accounting estimates reflected in the consolidated financial statements include, but not limited to, standalone selling price of each distinct performance obligation in revenue recognition, lower of cost and net realizable value of inventories, provision of credit losses of financial assets, useful lives of property, equipment and software, recoverability of intangible assets with indefinite useful lives and other long-lived assets, valuation allowance of deferred tax assets, determination of incremental borrowing rates for leases, estimated product warranties reserve, and fair value determination of financial liabilities and share-based compensation arrangements. Actual results could differ from those estimates, and as such, differences may be material to the consolidated financial statements.</w:t>
      </w:r>
    </w:p>
    <w:tbl>
      <w:tblPr>
        <w:tblW w:w="3182" w:type="dxa"/>
        <w:jc w:val="left"/>
        <w:tblInd w:w="0" w:type="dxa"/>
        <w:tblLayout w:type="fixed"/>
        <w:tblCellMar>
          <w:top w:w="0" w:type="dxa"/>
          <w:left w:w="0" w:type="dxa"/>
          <w:bottom w:w="0" w:type="dxa"/>
          <w:right w:w="0" w:type="dxa"/>
        </w:tblCellMar>
      </w:tblPr>
      <w:tblGrid>
        <w:gridCol w:w="346"/>
        <w:gridCol w:w="2836"/>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(d)</w:t>
            </w:r>
          </w:p>
        </w:tc>
        <w:tc>
          <w:tcPr>
            <w:tcW w:w="283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Commitments and contingencies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the normal course of business, the Group is subject to loss contingencies, such as legal proceedings and claims arising out of its business.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tbl>
      <w:tblPr>
        <w:tblW w:w="3962" w:type="dxa"/>
        <w:jc w:val="left"/>
        <w:tblInd w:w="0" w:type="dxa"/>
        <w:tblLayout w:type="fixed"/>
        <w:tblCellMar>
          <w:top w:w="0" w:type="dxa"/>
          <w:left w:w="0" w:type="dxa"/>
          <w:bottom w:w="0" w:type="dxa"/>
          <w:right w:w="0" w:type="dxa"/>
        </w:tblCellMar>
      </w:tblPr>
      <w:tblGrid>
        <w:gridCol w:w="331"/>
        <w:gridCol w:w="3631"/>
      </w:tblGrid>
      <w:tr>
        <w:trPr/>
        <w:tc>
          <w:tcPr>
            <w:tcW w:w="33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(e)</w:t>
            </w:r>
          </w:p>
        </w:tc>
        <w:tc>
          <w:tcPr>
            <w:tcW w:w="363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Cash, cash equivalents and restricted cash</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Cash and cash equivalents represent cash on hand, time deposits and highly-liquid investments placed with banks or other financial institutions, which are unrestricted as to withdrawal and use, and which have original maturities of three months or less. </w:t>
      </w:r>
    </w:p>
    <w:p>
      <w:pPr>
        <w:pStyle w:val="TextBody"/>
        <w:bidi w:val="0"/>
        <w:spacing w:lineRule="auto" w:line="307" w:before="0" w:after="20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Cash which is restricted for withdrawal or use is reported separately in the consolidated balance sheets. The Group’s restricted cash mainly represents deposits for both short-term and long-term borrowings as mentioned in Note 10, deposits made to banks to secure bank acceptance notes, and deposits for certain long-term leases.</w:t>
      </w:r>
    </w:p>
    <w:p>
      <w:pPr>
        <w:pStyle w:val="TextBody"/>
        <w:bidi w:val="0"/>
        <w:spacing w:lineRule="auto" w:line="307" w:before="0" w:after="160"/>
        <w:ind w:left="0" w:right="0" w:hanging="0"/>
        <w:jc w:val="left"/>
        <w:rPr/>
      </w:pPr>
      <w:r>
        <w:rPr/>
        <w:t>​</w:t>
      </w:r>
    </w:p>
    <w:tbl>
      <w:tblPr>
        <w:tblW w:w="4307" w:type="dxa"/>
        <w:jc w:val="left"/>
        <w:tblInd w:w="0" w:type="dxa"/>
        <w:tblLayout w:type="fixed"/>
        <w:tblCellMar>
          <w:top w:w="0" w:type="dxa"/>
          <w:left w:w="0" w:type="dxa"/>
          <w:bottom w:w="0" w:type="dxa"/>
          <w:right w:w="0" w:type="dxa"/>
        </w:tblCellMar>
      </w:tblPr>
      <w:tblGrid>
        <w:gridCol w:w="301"/>
        <w:gridCol w:w="4006"/>
      </w:tblGrid>
      <w:tr>
        <w:trPr/>
        <w:tc>
          <w:tcPr>
            <w:tcW w:w="30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(f)</w:t>
            </w:r>
          </w:p>
        </w:tc>
        <w:tc>
          <w:tcPr>
            <w:tcW w:w="400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Accounts receivable and expected credit losses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Accounts receivable is recognized in the period when the Group has transferred products or provided services to its customers and when its right to consideration is unconditional. Amounts collected on accounts receivable are included in net cash used in operating activities in the consolidated statements of cash flows. Management considers various factors, including historical loss experience, current market conditions, the financial condition of its debtors, any receivables in dispute, the aging of receivables and current payment patterns of its debtors, in establishing the required allowance.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Accounts receivable which are deemed to be uncollectible are charged off against the allowance after all means of collection have been exhausted and the potential for recovery is considered remote. The Group does not have any off-balance sheet credit exposure related to its customers. There is a time lag between when the Group estimates a portion of or the entire account balances to be uncollectible and when a write off of the account balances is taken.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June 2016, the FASB issued ASU No. 2016-13, Financial Instruments—Credit Losses (Topic 326): Measurement of Credit Losses on Financial Instruments (“ASC 326”), which amends previously issued guidance regarding the impairment of financial instruments by creating an impairment model that is based on expected losses rather than incurred losses. The new accounting standard does not apply to loans and receivables between entities under common control. The Group adopted the ASC 326 and several associated ASUs on January 1, 2023 using a modified retrospective approach with accumulative effect recorded as an increase of accumulated deficit in the amount of US$15.</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assessed that accounts receivable, other receivables, loan receivables, short-term and long-term deposits are within the scope of ASC 326. The Group has identified the relevant risk characteristics of its customers and suppliers, and the related accounts receivable, other receivables, loan receivables, short-term and long-term deposits which include size, type of the services or the products the Group provides, or a combination of these characteristics. Receivables with similar risk characteristics have been grouped into pools. For each pool, the Group considers the customer credit rating, current economic conditions, supportable forecasts of future economic conditions, etc. Other key factors that influence the expected credit loss analysis include customer demographics, and industry-specific factors that could impact the Group’s receivables. Additionally, external data and macroeconomic factors are also considered. This is assessed at each year end based on the Group’s specific facts and circumstances.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considers historical credit loss rates for each category of deposits and other receivables and also considers forward looking macroeconomic data in making its loss accrual determinations.</w:t>
      </w:r>
    </w:p>
    <w:tbl>
      <w:tblPr>
        <w:tblW w:w="1427" w:type="dxa"/>
        <w:jc w:val="left"/>
        <w:tblInd w:w="0" w:type="dxa"/>
        <w:tblLayout w:type="fixed"/>
        <w:tblCellMar>
          <w:top w:w="0" w:type="dxa"/>
          <w:left w:w="0" w:type="dxa"/>
          <w:bottom w:w="0" w:type="dxa"/>
          <w:right w:w="0" w:type="dxa"/>
        </w:tblCellMar>
      </w:tblPr>
      <w:tblGrid>
        <w:gridCol w:w="346"/>
        <w:gridCol w:w="1081"/>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(g)</w:t>
            </w:r>
          </w:p>
        </w:tc>
        <w:tc>
          <w:tcPr>
            <w:tcW w:w="108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Inventories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Inventories are stated at the lower of cost or net realizable value. Cost is calculated on specific identification or the weighted average basis and includes all costs to acquire and other costs to bring the inventories to their present location and condition. The Group writes down the cost of excess inventories to the estimated net realizable value based on the estimated selling price of each class of inventory in the ordinary course of business less reasonably predictable costs to sell. Write-down of inventories is based on currently available information about expected recoverable value. The estimate is dependent upon factors such as market trends, inventory ageing, and historical and forecasted customer demands.</w:t>
      </w:r>
    </w:p>
    <w:tbl>
      <w:tblPr>
        <w:tblW w:w="2372" w:type="dxa"/>
        <w:jc w:val="left"/>
        <w:tblInd w:w="0" w:type="dxa"/>
        <w:tblLayout w:type="fixed"/>
        <w:tblCellMar>
          <w:top w:w="0" w:type="dxa"/>
          <w:left w:w="0" w:type="dxa"/>
          <w:bottom w:w="0" w:type="dxa"/>
          <w:right w:w="0" w:type="dxa"/>
        </w:tblCellMar>
      </w:tblPr>
      <w:tblGrid>
        <w:gridCol w:w="346"/>
        <w:gridCol w:w="2026"/>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(h)</w:t>
            </w:r>
          </w:p>
        </w:tc>
        <w:tc>
          <w:tcPr>
            <w:tcW w:w="202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Long-term investments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Group’s long-term investments mainly include equity investments.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applies the equity method to account for equity interests in investees over which the Group has significant influence but does not own a majority equity interest or otherwise control. Under the equity method, the Group initially records its investments at cost and the difference between the cost of the equity investee and the fair value of the underlying equity in the net assets of the equity investee is recognized as equity method goodwill, which is included in the equity method investment on the consolidated balance sheets. The Group subsequently adjusts the carrying amount of the investments to recognize its proportionate share of each equity investee’s net income or loss into earnings after the date of investment. An impairment loss on the equity method investments is recognized in earnings when the decline in value is determined to be other-than-temporary. There was no equity method goodwill recognized. No impairment charge of equity method investments was recognized for the years ended December 31, 2025, 2024 and 2023.</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Equity securities with readily determinable fair values and over which the Group has neither significant influence nor control through investments in common stock or in-substance common stock are measured at fair value, with changes in fair value reported through earnings.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Equity securities without readily determinable fair values and over which the Group has neither significant influence nor control through investments in common stock or in-substance common stock are measured and recorded using a measurement alternative that measures the securities at cost minus impairment, if any, plus or minus changes resulting from qualifying observable price changes.</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1616" w:name="Tc_tfIJyZa6B0qF7TFNQU_W1Q_7_2"/>
      <w:bookmarkStart w:id="1617" w:name="Tc_Cn_ikAMeK0SAx2Es-wVqSg_7_0"/>
      <w:bookmarkStart w:id="1618" w:name="Tc_SdO4C5FbLEia5VlMHQZ6ZQ_6_2"/>
      <w:bookmarkStart w:id="1619" w:name="Tc_WMqQ9ytwi0Cqc8taj-6Q3A_6_0"/>
      <w:bookmarkStart w:id="1620" w:name="Tc_Qf_Rvk7xX0SMCbJcn2AWXw_5_2"/>
      <w:bookmarkStart w:id="1621" w:name="Tc_cDRcGvOZOEiR_L8Bx7IY4Q_5_0"/>
      <w:bookmarkStart w:id="1622" w:name="Tc_poJttUg3rEqf0hSdNOmV6A_4_2"/>
      <w:bookmarkStart w:id="1623" w:name="Tc_INfTn-ZC9U2D5fkHMilCBA_4_0"/>
      <w:bookmarkStart w:id="1624" w:name="Tc_-8YjxPaoUEeok9KL4AAJ_A_3_2"/>
      <w:bookmarkStart w:id="1625" w:name="Tc_4YyCxXrSDkyNm5d6yI55ww_3_0"/>
      <w:bookmarkStart w:id="1626" w:name="Tc_v_S66AFF2kKVfe5xCjpE8A_2_2"/>
      <w:bookmarkStart w:id="1627" w:name="Tc_fr5DTKlHIkaO7B13FkaqaA_2_0"/>
      <w:bookmarkStart w:id="1628" w:name="Tc__dhyFI0etEiUo1bTBA7XzA_1_0"/>
      <w:bookmarkStart w:id="1629" w:name="Tc_7eyMan3FLEC_FFeLJzEsbQ_8_0"/>
      <w:bookmarkStart w:id="1630" w:name="Tc_ca7RFdAwq0mt8gUxACvHXw_7_4"/>
      <w:bookmarkStart w:id="1631" w:name="Tc_plBLbnbE9UqfeVqv5p-w7Q_7_0"/>
      <w:bookmarkStart w:id="1632" w:name="Tc_F7dsXZr-v0u3qPuqfTffQg_6_0"/>
      <w:bookmarkStart w:id="1633" w:name="Tc_7bGBzz0p0Eya9DgKfn5WSA_5_0"/>
      <w:bookmarkStart w:id="1634" w:name="Tc_Hi17epsHQEiaPEGb619S-g_3_4"/>
      <w:bookmarkStart w:id="1635" w:name="Tc_z3Tj64Zxrk6UMYMcq2JY3w_3_2"/>
      <w:bookmarkStart w:id="1636" w:name="Tc_ZaZt_8DDL0aM6bM8oeFjqg_2_4"/>
      <w:bookmarkStart w:id="1637" w:name="Tc_n2JiAK8WJUygd2TJ-2vHyg_2_2"/>
      <w:bookmarkStart w:id="1638" w:name="Tc_hoHWLKmaAUej3FqgH4bgJA_1_2"/>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r>
        <w:rPr>
          <w:rFonts w:ascii="Times New Roman;Times;serif" w:hAnsi="Times New Roman;Times;serif"/>
          <w:sz w:val="20"/>
        </w:rPr>
        <w:t>Long-term investments consisted of the following:</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61"/>
        <w:gridCol w:w="346"/>
        <w:gridCol w:w="676"/>
        <w:gridCol w:w="346"/>
        <w:gridCol w:w="676"/>
      </w:tblGrid>
      <w:tr>
        <w:trPr/>
        <w:tc>
          <w:tcPr>
            <w:tcW w:w="8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182235" cy="175260"/>
                      <wp:effectExtent l="0" t="0" r="0" b="0"/>
                      <wp:wrapNone/>
                      <wp:docPr id="286" name="Frame281"/>
                      <a:graphic xmlns:a="http://schemas.openxmlformats.org/drawingml/2006/main">
                        <a:graphicData uri="http://schemas.microsoft.com/office/word/2010/wordprocessingShape">
                          <wps:wsp>
                            <wps:cNvSpPr txBox="1"/>
                            <wps:spPr>
                              <a:xfrm>
                                <a:off x="0" y="0"/>
                                <a:ext cx="5182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87"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29260" cy="175260"/>
                      <wp:effectExtent l="0" t="0" r="0" b="0"/>
                      <wp:wrapNone/>
                      <wp:docPr id="288" name="Frame2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89"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29260" cy="175260"/>
                      <wp:effectExtent l="0" t="0" r="0" b="0"/>
                      <wp:wrapNone/>
                      <wp:docPr id="290" name="Frame2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816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 ​</w:t>
            </w:r>
          </w:p>
        </w:tc>
        <w:tc>
          <w:tcPr>
            <w:tcW w:w="169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81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816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816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 ​</w:t>
            </w:r>
          </w:p>
        </w:tc>
        <w:tc>
          <w:tcPr>
            <w:tcW w:w="67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vAlign w:val="center"/>
          </w:tcPr>
          <w:p>
            <w:pPr>
              <w:pStyle w:val="TableContents"/>
              <w:bidi w:val="0"/>
              <w:spacing w:lineRule="auto" w:line="307" w:before="0" w:after="160"/>
              <w:ind w:left="0" w:right="0" w:hanging="0"/>
              <w:jc w:val="left"/>
              <w:rPr/>
            </w:pPr>
            <w:r>
              <w:rPr/>
              <w:t>​</w:t>
            </w:r>
          </w:p>
        </w:tc>
      </w:tr>
      <w:tr>
        <w:trPr/>
        <w:tc>
          <w:tcPr>
            <w:tcW w:w="81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Investment securities – related party (Note 26(vi))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2,221</w:t>
            </w:r>
          </w:p>
        </w:tc>
      </w:tr>
      <w:tr>
        <w:trPr/>
        <w:tc>
          <w:tcPr>
            <w:tcW w:w="81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Equity method investments (i)</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10,625</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7,499</w:t>
            </w:r>
          </w:p>
        </w:tc>
      </w:tr>
      <w:tr>
        <w:trPr/>
        <w:tc>
          <w:tcPr>
            <w:tcW w:w="81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Equity security without readily determinable fair values using the measurement alternative – related party (ii)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35,568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r>
      <w:tr>
        <w:trPr/>
        <w:tc>
          <w:tcPr>
            <w:tcW w:w="816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48,004</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9,720</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lineRule="auto" w:line="307" w:before="0" w:after="200"/>
              <w:jc w:val="both"/>
              <w:rPr>
                <w:rFonts w:ascii="Times New Roman;Times;serif" w:hAnsi="Times New Roman;Times;serif"/>
                <w:sz w:val="20"/>
              </w:rPr>
            </w:pPr>
            <w:r>
              <w:rPr>
                <w:rFonts w:ascii="Times New Roman;Times;serif" w:hAnsi="Times New Roman;Times;serif"/>
                <w:sz w:val="20"/>
              </w:rPr>
              <w:t>(i)</w:t>
            </w:r>
          </w:p>
        </w:tc>
        <w:tc>
          <w:tcPr>
            <w:tcW w:w="9954" w:type="dxa"/>
            <w:tcBorders/>
            <w:vAlign w:val="center"/>
          </w:tcPr>
          <w:p>
            <w:pPr>
              <w:pStyle w:val="TableContents"/>
              <w:bidi w:val="0"/>
              <w:spacing w:lineRule="auto" w:line="307" w:before="0" w:after="200"/>
              <w:jc w:val="both"/>
              <w:rPr>
                <w:rFonts w:ascii="Times New Roman;Times;serif" w:hAnsi="Times New Roman;Times;serif"/>
                <w:sz w:val="22"/>
              </w:rPr>
            </w:pPr>
            <w:r>
              <w:rPr>
                <w:rFonts w:ascii="Times New Roman;Times;serif" w:hAnsi="Times New Roman;Times;serif"/>
                <w:sz w:val="20"/>
              </w:rPr>
              <w:t>In June 2025, Ningbo Lotus, a wholly-owned subsidiary of the Company, transferred all of its equity shares of Wuxi InfiMotion Technology Co., Ltd. (“Wuxi InfiMotion”) to Zhejiang Geely Powertrain Co., Ltd, a related party ultimately controlled by Mr. Li Shufu (the “Controlling Shareholder”), at a total consideration of RMB420,000</w:t>
            </w:r>
            <w:r>
              <w:rPr>
                <w:rFonts w:ascii="Times New Roman;Times;serif" w:hAnsi="Times New Roman;Times;serif"/>
                <w:sz w:val="22"/>
              </w:rPr>
              <w:t xml:space="preserve"> </w:t>
            </w:r>
            <w:r>
              <w:rPr>
                <w:rFonts w:ascii="Times New Roman;Times;serif" w:hAnsi="Times New Roman;Times;serif"/>
                <w:sz w:val="20"/>
              </w:rPr>
              <w:t>in cash. The transaction was accounted for as common control transaction, and the difference between the book value of Wuxi InfiMotion equity investment and the consideration, RMB420,000</w:t>
            </w:r>
            <w:r>
              <w:rPr>
                <w:rFonts w:ascii="Times New Roman;Times;serif" w:hAnsi="Times New Roman;Times;serif"/>
                <w:sz w:val="22"/>
              </w:rPr>
              <w:t xml:space="preserve"> </w:t>
            </w:r>
            <w:r>
              <w:rPr>
                <w:rFonts w:ascii="Times New Roman;Times;serif" w:hAnsi="Times New Roman;Times;serif"/>
                <w:sz w:val="20"/>
              </w:rPr>
              <w:t xml:space="preserve">(equivalent to US$58,671), was recorded in additional paid-in capital.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lineRule="auto" w:line="307" w:before="0" w:after="200"/>
              <w:jc w:val="both"/>
              <w:rPr>
                <w:rFonts w:ascii="Times New Roman;Times;serif" w:hAnsi="Times New Roman;Times;serif"/>
                <w:sz w:val="20"/>
              </w:rPr>
            </w:pPr>
            <w:r>
              <w:rPr>
                <w:rFonts w:ascii="Times New Roman;Times;serif" w:hAnsi="Times New Roman;Times;serif"/>
                <w:sz w:val="20"/>
              </w:rPr>
              <w:t>(ii)</w:t>
            </w:r>
          </w:p>
        </w:tc>
        <w:tc>
          <w:tcPr>
            <w:tcW w:w="9895" w:type="dxa"/>
            <w:tcBorders/>
            <w:vAlign w:val="center"/>
          </w:tcPr>
          <w:p>
            <w:pPr>
              <w:pStyle w:val="TableContents"/>
              <w:bidi w:val="0"/>
              <w:spacing w:lineRule="auto" w:line="307" w:before="0" w:after="200"/>
              <w:jc w:val="both"/>
              <w:rPr>
                <w:rFonts w:ascii="Times New Roman;Times;serif" w:hAnsi="Times New Roman;Times;serif"/>
                <w:sz w:val="22"/>
              </w:rPr>
            </w:pPr>
            <w:r>
              <w:rPr>
                <w:rFonts w:ascii="Times New Roman;Times;serif" w:hAnsi="Times New Roman;Times;serif"/>
                <w:sz w:val="20"/>
              </w:rPr>
              <w:t>As of December 31, 2025, Ningbo Lotus Robotics Co., Ltd. (“Ningbo Robotics”), a wholly owned subsidiary of the Company, held 5%</w:t>
            </w:r>
            <w:r>
              <w:rPr>
                <w:rFonts w:ascii="Times New Roman;Times;serif" w:hAnsi="Times New Roman;Times;serif"/>
                <w:sz w:val="22"/>
              </w:rPr>
              <w:t xml:space="preserve"> </w:t>
            </w:r>
            <w:r>
              <w:rPr>
                <w:rFonts w:ascii="Times New Roman;Times;serif" w:hAnsi="Times New Roman;Times;serif"/>
                <w:sz w:val="20"/>
              </w:rPr>
              <w:t>equity interest of Chongqing Qianli Intelligent Driving Technology Co., Ltd. (“Chongqing Qianli”), a newly established private entity and a related party of the Company (Note 2(w)). The Group elected to record such investment in privately held company without readily determinable values using the measurement alternative at cost minus impairment, if any, plus or minus changes resulting from qualifying observable price changes. The Group did not record any impairment charge for the year ended December 31, 2025.</w:t>
            </w:r>
          </w:p>
        </w:tc>
      </w:tr>
    </w:tbl>
    <w:tbl>
      <w:tblPr>
        <w:tblW w:w="3587" w:type="dxa"/>
        <w:jc w:val="left"/>
        <w:tblInd w:w="0" w:type="dxa"/>
        <w:tblLayout w:type="fixed"/>
        <w:tblCellMar>
          <w:top w:w="0" w:type="dxa"/>
          <w:left w:w="0" w:type="dxa"/>
          <w:bottom w:w="0" w:type="dxa"/>
          <w:right w:w="0" w:type="dxa"/>
        </w:tblCellMar>
      </w:tblPr>
      <w:tblGrid>
        <w:gridCol w:w="301"/>
        <w:gridCol w:w="3286"/>
      </w:tblGrid>
      <w:tr>
        <w:trPr/>
        <w:tc>
          <w:tcPr>
            <w:tcW w:w="30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(i)</w:t>
            </w:r>
          </w:p>
        </w:tc>
        <w:tc>
          <w:tcPr>
            <w:tcW w:w="328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Property, equipment and software, net</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Property, equipment and software are stated at cost less accumulated depreciation and impairment, if any.</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Depreciation on property, equipment and software is calculated on the straight-line method over the estimated useful lives of the assets as follows:</w:t>
      </w:r>
    </w:p>
    <w:p>
      <w:pPr>
        <w:pStyle w:val="TextBody"/>
        <w:bidi w:val="0"/>
        <w:spacing w:lineRule="auto" w:line="307" w:before="0" w:after="160"/>
        <w:ind w:left="0" w:right="0" w:hanging="0"/>
        <w:jc w:val="left"/>
        <w:rPr/>
      </w:pPr>
      <w:r>
        <w:rPr/>
        <w:t>​</w:t>
      </w:r>
    </w:p>
    <w:tbl>
      <w:tblPr>
        <w:tblW w:w="8388" w:type="dxa"/>
        <w:jc w:val="left"/>
        <w:tblInd w:w="0" w:type="dxa"/>
        <w:tblLayout w:type="fixed"/>
        <w:tblCellMar>
          <w:top w:w="0" w:type="dxa"/>
          <w:left w:w="0" w:type="dxa"/>
          <w:bottom w:w="0" w:type="dxa"/>
          <w:right w:w="0" w:type="dxa"/>
        </w:tblCellMar>
      </w:tblPr>
      <w:tblGrid>
        <w:gridCol w:w="2731"/>
        <w:gridCol w:w="346"/>
        <w:gridCol w:w="531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734185" cy="175260"/>
                      <wp:effectExtent l="0" t="0" r="0" b="0"/>
                      <wp:wrapNone/>
                      <wp:docPr id="291" name="Frame286"/>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2"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372485" cy="175260"/>
                      <wp:effectExtent l="0" t="0" r="0" b="0"/>
                      <wp:wrapNone/>
                      <wp:docPr id="293" name="Frame288"/>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7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Buildings and facilities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53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 years</w:t>
            </w:r>
          </w:p>
        </w:tc>
      </w:tr>
      <w:tr>
        <w:trPr/>
        <w:tc>
          <w:tcPr>
            <w:tcW w:w="273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Machinery and R&amp;D equipment</w:t>
            </w:r>
          </w:p>
        </w:tc>
        <w:tc>
          <w:tcPr>
            <w:tcW w:w="346" w:type="dxa"/>
            <w:tcBorders/>
            <w:vAlign w:val="center"/>
          </w:tcPr>
          <w:p>
            <w:pPr>
              <w:pStyle w:val="TableContents"/>
              <w:bidi w:val="0"/>
              <w:spacing w:lineRule="auto" w:line="307" w:before="0" w:after="160"/>
              <w:ind w:left="0" w:right="0" w:hanging="0"/>
              <w:jc w:val="left"/>
              <w:rPr/>
            </w:pPr>
            <w:r>
              <w:rPr/>
              <w:t>​</w:t>
            </w:r>
          </w:p>
        </w:tc>
        <w:tc>
          <w:tcPr>
            <w:tcW w:w="5311" w:type="dxa"/>
            <w:tcBorders/>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3-10</w:t>
            </w:r>
            <w:r>
              <w:rPr>
                <w:rFonts w:ascii="Times New Roman;Times;serif" w:hAnsi="Times New Roman;Times;serif"/>
                <w:sz w:val="22"/>
              </w:rPr>
              <w:t xml:space="preserve"> </w:t>
            </w:r>
            <w:r>
              <w:rPr>
                <w:rFonts w:ascii="Times New Roman;Times;serif" w:hAnsi="Times New Roman;Times;serif"/>
                <w:sz w:val="20"/>
              </w:rPr>
              <w:t>years</w:t>
            </w:r>
          </w:p>
        </w:tc>
      </w:tr>
      <w:tr>
        <w:trPr/>
        <w:tc>
          <w:tcPr>
            <w:tcW w:w="27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Molds and tooling</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3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5-10</w:t>
            </w:r>
            <w:r>
              <w:rPr>
                <w:rFonts w:ascii="Times New Roman;Times;serif" w:hAnsi="Times New Roman;Times;serif"/>
                <w:sz w:val="22"/>
              </w:rPr>
              <w:t xml:space="preserve"> </w:t>
            </w:r>
            <w:r>
              <w:rPr>
                <w:rFonts w:ascii="Times New Roman;Times;serif" w:hAnsi="Times New Roman;Times;serif"/>
                <w:sz w:val="20"/>
              </w:rPr>
              <w:t>years</w:t>
            </w:r>
          </w:p>
        </w:tc>
      </w:tr>
      <w:tr>
        <w:trPr/>
        <w:tc>
          <w:tcPr>
            <w:tcW w:w="273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vAlign w:val="center"/>
          </w:tcPr>
          <w:p>
            <w:pPr>
              <w:pStyle w:val="TableContents"/>
              <w:bidi w:val="0"/>
              <w:spacing w:lineRule="auto" w:line="307" w:before="0" w:after="1"/>
              <w:ind w:left="0" w:right="0" w:hanging="0"/>
              <w:jc w:val="left"/>
              <w:rPr/>
            </w:pPr>
            <w:r>
              <w:rPr/>
              <w:t> </w:t>
            </w:r>
          </w:p>
        </w:tc>
        <w:tc>
          <w:tcPr>
            <w:tcW w:w="5311" w:type="dxa"/>
            <w:tcBorders/>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2-5</w:t>
            </w:r>
            <w:r>
              <w:rPr>
                <w:rFonts w:ascii="Times New Roman;Times;serif" w:hAnsi="Times New Roman;Times;serif"/>
                <w:sz w:val="22"/>
              </w:rPr>
              <w:t xml:space="preserve"> </w:t>
            </w:r>
            <w:r>
              <w:rPr>
                <w:rFonts w:ascii="Times New Roman;Times;serif" w:hAnsi="Times New Roman;Times;serif"/>
                <w:sz w:val="20"/>
              </w:rPr>
              <w:t>years</w:t>
            </w:r>
          </w:p>
        </w:tc>
      </w:tr>
      <w:tr>
        <w:trPr/>
        <w:tc>
          <w:tcPr>
            <w:tcW w:w="27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 and electronic equipment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3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3-5</w:t>
            </w:r>
            <w:r>
              <w:rPr>
                <w:rFonts w:ascii="Times New Roman;Times;serif" w:hAnsi="Times New Roman;Times;serif"/>
                <w:sz w:val="22"/>
              </w:rPr>
              <w:t xml:space="preserve"> </w:t>
            </w:r>
            <w:r>
              <w:rPr>
                <w:rFonts w:ascii="Times New Roman;Times;serif" w:hAnsi="Times New Roman;Times;serif"/>
                <w:sz w:val="20"/>
              </w:rPr>
              <w:t>years</w:t>
            </w:r>
          </w:p>
        </w:tc>
      </w:tr>
      <w:tr>
        <w:trPr/>
        <w:tc>
          <w:tcPr>
            <w:tcW w:w="2731"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vAlign w:val="center"/>
          </w:tcPr>
          <w:p>
            <w:pPr>
              <w:pStyle w:val="TableContents"/>
              <w:bidi w:val="0"/>
              <w:spacing w:lineRule="auto" w:line="307" w:before="0" w:after="1"/>
              <w:ind w:left="0" w:right="0" w:hanging="0"/>
              <w:jc w:val="left"/>
              <w:rPr/>
            </w:pPr>
            <w:r>
              <w:rPr/>
              <w:t> </w:t>
            </w:r>
          </w:p>
        </w:tc>
        <w:tc>
          <w:tcPr>
            <w:tcW w:w="5311" w:type="dxa"/>
            <w:tcBorders/>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3-10</w:t>
            </w:r>
            <w:r>
              <w:rPr>
                <w:rFonts w:ascii="Times New Roman;Times;serif" w:hAnsi="Times New Roman;Times;serif"/>
                <w:sz w:val="22"/>
              </w:rPr>
              <w:t xml:space="preserve"> </w:t>
            </w:r>
            <w:r>
              <w:rPr>
                <w:rFonts w:ascii="Times New Roman;Times;serif" w:hAnsi="Times New Roman;Times;serif"/>
                <w:sz w:val="20"/>
              </w:rPr>
              <w:t>years</w:t>
            </w:r>
          </w:p>
        </w:tc>
      </w:tr>
      <w:tr>
        <w:trPr/>
        <w:tc>
          <w:tcPr>
            <w:tcW w:w="273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311" w:type="dxa"/>
            <w:tcBorders/>
            <w:shd w:fill="CCEEFF" w:val="cle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The shorter of estimated useful life of the assets and lease terms</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Construction in progress represents property and equipment under construction. Construction in progress is transferred to property and equipment and depreciation commences when an asset is ready for its intended use.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When items are retired or otherwise disposed of, income is charged or credited for the difference between net book value and the proceeds received thereon. Ordinary maintenance and repairs are charged to expense as incurred.</w:t>
      </w:r>
    </w:p>
    <w:tbl>
      <w:tblPr>
        <w:tblW w:w="1832" w:type="dxa"/>
        <w:jc w:val="left"/>
        <w:tblInd w:w="0" w:type="dxa"/>
        <w:tblLayout w:type="fixed"/>
        <w:tblCellMar>
          <w:top w:w="0" w:type="dxa"/>
          <w:left w:w="0" w:type="dxa"/>
          <w:bottom w:w="0" w:type="dxa"/>
          <w:right w:w="0" w:type="dxa"/>
        </w:tblCellMar>
      </w:tblPr>
      <w:tblGrid>
        <w:gridCol w:w="301"/>
        <w:gridCol w:w="1531"/>
      </w:tblGrid>
      <w:tr>
        <w:trPr/>
        <w:tc>
          <w:tcPr>
            <w:tcW w:w="30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(j)</w:t>
            </w:r>
          </w:p>
        </w:tc>
        <w:tc>
          <w:tcPr>
            <w:tcW w:w="153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Operating leases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determines if an arrangement is or contains a lease at its inception. All of the Group’s leases are operating leases.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recognizes lease liabilities and right-of-use assets at lease commencement date. Lease liabilities are measured at the present value of unpaid lease payments at the lease commencement date and are subsequently measured at amortized cost using the effective-interest method. Since the Group’s leases do not provide an implicit rate, the Group uses its own incremental borrowing rate in determining the present value of unpaid lease payments. The incremental borrowing rate was determined based on the rate of interest that the Group would have to borrow an amount equal to the lease payments on a collateralized basis over a similar term. The incremental borrowing rate is primarily influenced by the risk-free interest rate of China and the US, the Company’s credit rating and lease term, and is updated for measurement of new lease liabilities.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Right-of-use assets are initially measured at cost, which consist of (i) initial measurement of the lease liability; (ii) lease payments made to the lessor at or before the commencement date less any lease incentives received; and (iii) initial direct costs incurred by the Group. Variable lease payments are excluded from the measurement of right-of-use assets and lease liabilities and are recognized in the period in which the obligation for those payments is incurred. For operating leases, the Group recognizes a single lease cost on a straight-line basis over the remaining lease term.</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has elected not to recognize right-of-use assets and lease liabilities for short-term leases (i.e. leases that, at the commencement date, have a lease term of 12 months or less and do not include an option to purchase the underlying asset that the lessee is reasonably certain to exercise). As a practical expedient, the Group has elected that for all leases, where it is the lessee, not to separate non-lease components from lease components and instead to account for all lease and non-lease components associated with each lease as a single lease component.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If a lease is modified and that modification is not accounted for as a separate contract, the classification of the lease is reassessed as of the effective date of the modification based on its modified terms and conditions and the facts and circumstances as of that date.</w:t>
      </w:r>
    </w:p>
    <w:tbl>
      <w:tblPr>
        <w:tblW w:w="1892" w:type="dxa"/>
        <w:jc w:val="left"/>
        <w:tblInd w:w="0" w:type="dxa"/>
        <w:tblLayout w:type="fixed"/>
        <w:tblCellMar>
          <w:top w:w="0" w:type="dxa"/>
          <w:left w:w="0" w:type="dxa"/>
          <w:bottom w:w="0" w:type="dxa"/>
          <w:right w:w="0" w:type="dxa"/>
        </w:tblCellMar>
      </w:tblPr>
      <w:tblGrid>
        <w:gridCol w:w="346"/>
        <w:gridCol w:w="1546"/>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(k)</w:t>
            </w:r>
          </w:p>
        </w:tc>
        <w:tc>
          <w:tcPr>
            <w:tcW w:w="15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Intangible assets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Intangible assets with indefinite useful lives mainly represent acquired license plates and trademark licenses since the Group has the right and the intention to continue to use the license plates and trademark licenses for as long as the Group conducts the business in relation to lifestyle vehicles (excluding sports car). The Group evaluates indefinite-lived intangible assets during each reporting period to determine whether events and circumstances continue to support indefinite useful lives. The value of indefinite-lived intangible assets is not amortized but tested for impairment annually or whenever events or changes in circumstances indicate that the carrying value of the assets may not be recoverable.</w:t>
      </w:r>
    </w:p>
    <w:tbl>
      <w:tblPr>
        <w:tblW w:w="1727" w:type="dxa"/>
        <w:jc w:val="left"/>
        <w:tblInd w:w="0" w:type="dxa"/>
        <w:tblLayout w:type="fixed"/>
        <w:tblCellMar>
          <w:top w:w="0" w:type="dxa"/>
          <w:left w:w="0" w:type="dxa"/>
          <w:bottom w:w="0" w:type="dxa"/>
          <w:right w:w="0" w:type="dxa"/>
        </w:tblCellMar>
      </w:tblPr>
      <w:tblGrid>
        <w:gridCol w:w="301"/>
        <w:gridCol w:w="1426"/>
      </w:tblGrid>
      <w:tr>
        <w:trPr/>
        <w:tc>
          <w:tcPr>
            <w:tcW w:w="30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(l)</w:t>
            </w:r>
          </w:p>
        </w:tc>
        <w:tc>
          <w:tcPr>
            <w:tcW w:w="142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Land use rights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Land use rights in Chinese mainland represents an exclusive right to occupy, use and develop a piece of land during the contractual term of the land use right. The cost of a land use right is usually paid in one lump sum at the date the right is granted. The prepayment usually covers the entire period of the land use rights. Land use rights are recorded in operating lease right-of-use assets with lease term of 40 years to 50 years.</w:t>
      </w:r>
    </w:p>
    <w:tbl>
      <w:tblPr>
        <w:tblW w:w="6587" w:type="dxa"/>
        <w:jc w:val="left"/>
        <w:tblInd w:w="0" w:type="dxa"/>
        <w:tblLayout w:type="fixed"/>
        <w:tblCellMar>
          <w:top w:w="0" w:type="dxa"/>
          <w:left w:w="0" w:type="dxa"/>
          <w:bottom w:w="0" w:type="dxa"/>
          <w:right w:w="0" w:type="dxa"/>
        </w:tblCellMar>
      </w:tblPr>
      <w:tblGrid>
        <w:gridCol w:w="391"/>
        <w:gridCol w:w="6196"/>
      </w:tblGrid>
      <w:tr>
        <w:trPr/>
        <w:tc>
          <w:tcPr>
            <w:tcW w:w="39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(m)</w:t>
            </w:r>
          </w:p>
        </w:tc>
        <w:tc>
          <w:tcPr>
            <w:tcW w:w="619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Impairment of long-lived assets and intangible assets with indefinite lives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Long-lived assets, including property, equipment and software and operating lease right-of-use assets, are evaluated for impairment whenever events or changes in circumstances indicate that the carrying amount of an asset or asset group may not be recoverable. When such events or circumstances occur, the Group first compares the carrying amount of the asset or asset group to future undiscounted net cash flows expected to be resulted from the use and eventual disposition of the assets. If the carrying amount of the asset or asset group is not recoverable based on undiscounted cash flows, an impairment is recognized for the excess of the asset or asset group’s carrying value over its fair value. Fair value is determined through various valuation techniques including discounted cash flow models and quoted market values, as considered necessary. Estimation of future cash flows requires management to make assumptions and to apply judgments, including projecting future sales forecast, gross margin ratios and discount rate which are considered as Level 3 unobservable inputs in relation to fair value measurement.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When an impairment loss is recognized, the loss is allocated to the assets of the group on a pro rata basis using the relative carrying amounts of those assets, except that the loss allocated to an individual long-lived asset of the group shall not reduce the carrying amount of that asset below its fair value whenever that fair value is determinable without undue cost and effort.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For the year ended December 31, 2025, the Group recognized an impairment loss of long-lived assets of US$51,800, comprised of US$47,272 related to property, equipment and software, and US$4,528 related to right-of-use assets. The impairment loss recognized was due to lower performance results compared to original plans. No such impairment loss was recorded for the years ended December 31, 2024 and 2023.</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Intangible assets with indefinite lives are tested for impairment at least annually and more frequently if events or changes in circumstances indicate that it is more likely than not that the assets are impaired. The Group unconditionally opted to skip the qualitative assessment and proceed directly to calculate the fair value of the intangible asset and performs a quantitative impairment test by comparing the fair value of the asset with its carrying amount. If the carrying amount of an indefinite-lived intangible asset exceeds its fair value, the Group recognizes an impairment loss in an amount equal to that excess. No such impairment loss for intangible assets with indefinite lives was recorded for the years ended December 31, 2025, 2024 and 2023.</w:t>
      </w:r>
    </w:p>
    <w:tbl>
      <w:tblPr>
        <w:tblW w:w="2027" w:type="dxa"/>
        <w:jc w:val="left"/>
        <w:tblInd w:w="0" w:type="dxa"/>
        <w:tblLayout w:type="fixed"/>
        <w:tblCellMar>
          <w:top w:w="0" w:type="dxa"/>
          <w:left w:w="0" w:type="dxa"/>
          <w:bottom w:w="0" w:type="dxa"/>
          <w:right w:w="0" w:type="dxa"/>
        </w:tblCellMar>
      </w:tblPr>
      <w:tblGrid>
        <w:gridCol w:w="346"/>
        <w:gridCol w:w="1681"/>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(n)</w:t>
            </w:r>
          </w:p>
        </w:tc>
        <w:tc>
          <w:tcPr>
            <w:tcW w:w="168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Value added taxes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Entities that are value added taxes (“VAT”) general taxpayers are permitted to offset qualified input VAT paid to suppliers against their output VAT upon receipt of appropriate supplier VAT invoices on an entity by entity basis. When the output VAT exceeds the input VAT, the difference is remitted to tax authorities, usually on a monthly basis; whereas when the input VAT exceeds the output VAT, the difference is treated as VAT recoverable which can be carried forward indefinitely to offset future net VAT payables or be refunded upon application. VAT related to purchases and sales which have not been settled at the balance sheet date is disclosed separately as an asset and liability, respectively, in the consolidated balance sheets.</w:t>
      </w:r>
    </w:p>
    <w:tbl>
      <w:tblPr>
        <w:tblW w:w="1427" w:type="dxa"/>
        <w:jc w:val="left"/>
        <w:tblInd w:w="0" w:type="dxa"/>
        <w:tblLayout w:type="fixed"/>
        <w:tblCellMar>
          <w:top w:w="0" w:type="dxa"/>
          <w:left w:w="0" w:type="dxa"/>
          <w:bottom w:w="0" w:type="dxa"/>
          <w:right w:w="0" w:type="dxa"/>
        </w:tblCellMar>
      </w:tblPr>
      <w:tblGrid>
        <w:gridCol w:w="346"/>
        <w:gridCol w:w="1081"/>
      </w:tblGrid>
      <w:tr>
        <w:trPr/>
        <w:tc>
          <w:tcPr>
            <w:tcW w:w="346" w:type="dxa"/>
            <w:tcBorders/>
            <w:vAlign w:val="center"/>
          </w:tcPr>
          <w:p>
            <w:pPr>
              <w:pStyle w:val="TableContents"/>
              <w:bidi w:val="0"/>
              <w:spacing w:lineRule="auto" w:line="285" w:before="0" w:after="200"/>
              <w:jc w:val="both"/>
              <w:rPr>
                <w:rFonts w:ascii="Times New Roman;Times;serif" w:hAnsi="Times New Roman;Times;serif"/>
                <w:b/>
                <w:i/>
                <w:sz w:val="20"/>
              </w:rPr>
            </w:pPr>
            <w:r>
              <w:rPr>
                <w:rFonts w:ascii="Times New Roman;Times;serif" w:hAnsi="Times New Roman;Times;serif"/>
                <w:b/>
                <w:i/>
                <w:sz w:val="20"/>
              </w:rPr>
              <w:t>(o)</w:t>
            </w:r>
          </w:p>
        </w:tc>
        <w:tc>
          <w:tcPr>
            <w:tcW w:w="1081" w:type="dxa"/>
            <w:tcBorders/>
            <w:vAlign w:val="center"/>
          </w:tcPr>
          <w:p>
            <w:pPr>
              <w:pStyle w:val="TableContents"/>
              <w:bidi w:val="0"/>
              <w:spacing w:lineRule="auto" w:line="285" w:before="0" w:after="200"/>
              <w:jc w:val="both"/>
              <w:rPr>
                <w:rFonts w:ascii="Times New Roman;Times;serif" w:hAnsi="Times New Roman;Times;serif"/>
                <w:b/>
                <w:i/>
                <w:sz w:val="20"/>
              </w:rPr>
            </w:pPr>
            <w:r>
              <w:rPr>
                <w:rFonts w:ascii="Times New Roman;Times;serif" w:hAnsi="Times New Roman;Times;serif"/>
                <w:b/>
                <w:i/>
                <w:sz w:val="20"/>
              </w:rPr>
              <w:t>Warranties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provides standard warranties on EV lifestyle models based on the contracts with its customers at the time of sale of EV lifestyle models. The Group accrues a warranty reserve for the new EV lifestyle models sold by the Group, which includes the Group’s best estimate of the projected costs to repair or replace items under warranties and recalls when identified. These estimates are made primarily based on the estimates of the nature, frequency and costs of future claims. These estimates are inherently uncertain given the Group’s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expenses and other current liabilities while the remaining balance is included within other non-current liabilities in the consolidated balance sheets. Warranty cost is recorded as a component of cost of revenues in the consolidated statements of comprehensive loss. The Group reevaluates the adequacy of the warranty accrual on a regular basis.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recognizes the benefit from a recovery of the costs associated with the warranty when specifics of the recovery have been agreed with the Group’s suppliers and the amount of the recovery is virtually certain.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Group does not consider standard warranty as being a separate performance obligation as it is intended to provide assurance-type warranty to customers that ensures that products will function as intended and is not viewed as a distinct obligation. Accordingly, standard warranty is accounted for in accordance with </w:t>
      </w:r>
      <w:r>
        <w:rPr>
          <w:rFonts w:ascii="Times New Roman;Times;serif" w:hAnsi="Times New Roman;Times;serif"/>
          <w:i/>
          <w:sz w:val="20"/>
        </w:rPr>
        <w:t>ASC 460,</w:t>
      </w:r>
      <w:r>
        <w:rPr>
          <w:rFonts w:ascii="Times New Roman;Times;serif" w:hAnsi="Times New Roman;Times;serif"/>
          <w:sz w:val="20"/>
        </w:rPr>
        <w:t xml:space="preserve"> </w:t>
      </w:r>
      <w:r>
        <w:rPr>
          <w:rFonts w:ascii="Times New Roman;Times;serif" w:hAnsi="Times New Roman;Times;serif"/>
          <w:i/>
          <w:sz w:val="20"/>
        </w:rPr>
        <w:t>Guarantees</w:t>
      </w:r>
      <w:r>
        <w:rPr>
          <w:rFonts w:ascii="Times New Roman;Times;serif" w:hAnsi="Times New Roman;Times;serif"/>
          <w:sz w:val="20"/>
        </w:rPr>
        <w:t>. The Group also provides lifetime warranty subject to certain conditions through a vehicle sales contract. The lifetime warranty is an incremental service offered to customers and is considered a separate performance obligation distinct from other promises and should be accounted for in accordance with ASC 606.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1639" w:name="Tc_3ecRFLauTkyQOKOGoe35jA_11_0"/>
      <w:bookmarkStart w:id="1640" w:name="Tc_mCqeoXU6tEuBWlp660-t-g_10_0"/>
      <w:bookmarkStart w:id="1641" w:name="Tc_L2QJus_u1U2PooUTfjNykQ_9_0"/>
      <w:bookmarkStart w:id="1642" w:name="Tc_pVYxRrsvWUCMTXw3y4_M8Q_8_0"/>
      <w:bookmarkStart w:id="1643" w:name="Tc_DMzS3mG1SkujDHwgwcc48w_7_0"/>
      <w:bookmarkStart w:id="1644" w:name="Tc_nQv_tTNB2UqCY6DsUrVNdg_6_0"/>
      <w:bookmarkStart w:id="1645" w:name="Tc_gsFCq0R1s0eOZW3S-pEVXw_5_0"/>
      <w:bookmarkStart w:id="1646" w:name="Tc_0pfrMpu5zES1aMpG0DaV4Q_4_6"/>
      <w:bookmarkStart w:id="1647" w:name="Tc_DfWpI3gc20iWk6yQTPIbKA_4_0"/>
      <w:bookmarkStart w:id="1648" w:name="Tc_XuI_6SDG4kOkKii76dkzVQ_3_6"/>
      <w:bookmarkStart w:id="1649" w:name="Tc_ADnccLwXn068M_ZJzC6PVw_3_4"/>
      <w:bookmarkStart w:id="1650" w:name="Tc_S54r0pDlck-MOFakTZPZgA_3_2"/>
      <w:bookmarkStart w:id="1651" w:name="Tc_svURoc6AqU-hbm67fESc4A_2_6"/>
      <w:bookmarkStart w:id="1652" w:name="Tc_Pv_opsze6EGt3HHAwyj0WA_2_4"/>
      <w:bookmarkStart w:id="1653" w:name="Tc_DYfRMlxeB0y7V9qDJEdO5Q_2_2"/>
      <w:bookmarkStart w:id="1654" w:name="Tc__2Ni-b9Mok-K5uHl_IzyMA_1_2"/>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r>
        <w:rPr>
          <w:rFonts w:ascii="Times New Roman;Times;serif" w:hAnsi="Times New Roman;Times;serif"/>
          <w:sz w:val="20"/>
        </w:rPr>
        <w:t>The following table shows the movement of warranty reserve:</w:t>
      </w:r>
    </w:p>
    <w:p>
      <w:pPr>
        <w:pStyle w:val="TextBody"/>
        <w:bidi w:val="0"/>
        <w:spacing w:lineRule="auto" w:line="307" w:before="0" w:after="160"/>
        <w:ind w:left="0" w:right="0" w:hanging="0"/>
        <w:jc w:val="left"/>
        <w:rPr/>
      </w:pPr>
      <w:r>
        <w:rPr/>
        <w:t>​</w:t>
      </w:r>
    </w:p>
    <w:tbl>
      <w:tblPr>
        <w:tblW w:w="6787" w:type="dxa"/>
        <w:jc w:val="left"/>
        <w:tblInd w:w="0" w:type="dxa"/>
        <w:tblLayout w:type="fixed"/>
        <w:tblCellMar>
          <w:top w:w="0" w:type="dxa"/>
          <w:left w:w="0" w:type="dxa"/>
          <w:bottom w:w="0" w:type="dxa"/>
          <w:right w:w="0" w:type="dxa"/>
        </w:tblCellMar>
      </w:tblPr>
      <w:tblGrid>
        <w:gridCol w:w="3526"/>
        <w:gridCol w:w="346"/>
        <w:gridCol w:w="796"/>
        <w:gridCol w:w="346"/>
        <w:gridCol w:w="691"/>
        <w:gridCol w:w="346"/>
        <w:gridCol w:w="736"/>
      </w:tblGrid>
      <w:tr>
        <w:trPr/>
        <w:tc>
          <w:tcPr>
            <w:tcW w:w="35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294"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lineRule="auto" w:line="307" w:before="0" w:after="160"/>
              <w:ind w:left="0" w:right="0" w:hanging="0"/>
              <w:jc w:val="left"/>
              <w:rPr/>
            </w:pPr>
            <w:r>
              <w:rPr/>
              <w:t>​</w:t>
            </w:r>
          </w:p>
        </w:tc>
      </w:tr>
      <w:tr>
        <w:trPr/>
        <w:tc>
          <w:tcPr>
            <w:tcW w:w="35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91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r>
      <w:tr>
        <w:trPr/>
        <w:tc>
          <w:tcPr>
            <w:tcW w:w="3526" w:type="dxa"/>
            <w:tcBorders/>
            <w:vAlign w:val="center"/>
          </w:tcPr>
          <w:p>
            <w:pPr>
              <w:pStyle w:val="TableContents"/>
              <w:bidi w:val="0"/>
              <w:spacing w:lineRule="auto" w:line="307" w:before="0" w:after="160"/>
              <w:ind w:left="0" w:right="0" w:hanging="0"/>
              <w:jc w:val="both"/>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3526" w:type="dxa"/>
            <w:tcBorders/>
            <w:vAlign w:val="center"/>
          </w:tcPr>
          <w:p>
            <w:pPr>
              <w:pStyle w:val="TableContents"/>
              <w:bidi w:val="0"/>
              <w:spacing w:lineRule="auto" w:line="307" w:before="0" w:after="160"/>
              <w:ind w:left="0" w:right="0" w:hanging="0"/>
              <w:jc w:val="both"/>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52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Accrued warranty at beginning of the year</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24,048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7,022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pPr>
            <w:r>
              <w:rPr/>
              <w:t>—</w:t>
            </w:r>
          </w:p>
        </w:tc>
      </w:tr>
      <w:tr>
        <w:trPr/>
        <w:tc>
          <w:tcPr>
            <w:tcW w:w="352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21,003</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21,852</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8,492</w:t>
            </w:r>
          </w:p>
        </w:tc>
      </w:tr>
      <w:tr>
        <w:trPr/>
        <w:tc>
          <w:tcPr>
            <w:tcW w:w="352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Utilization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(14,468)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(4,495)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(1,499)</w:t>
            </w:r>
          </w:p>
        </w:tc>
      </w:tr>
      <w:tr>
        <w:trPr/>
        <w:tc>
          <w:tcPr>
            <w:tcW w:w="352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1,695</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526" w:type="dxa"/>
            <w:tcBorders/>
            <w:shd w:fill="CCEEFF" w:val="clear"/>
            <w:vAlign w:val="center"/>
          </w:tcPr>
          <w:p>
            <w:pPr>
              <w:pStyle w:val="TableContents"/>
              <w:bidi w:val="0"/>
              <w:spacing w:lineRule="auto" w:line="307" w:before="0" w:after="1"/>
              <w:ind w:left="0" w:right="0" w:hanging="0"/>
              <w:jc w:val="both"/>
              <w:rPr/>
            </w:pPr>
            <w:r>
              <w:rPr/>
              <w:t> </w:t>
            </w:r>
            <w:r>
              <w:rPr>
                <w:rFonts w:ascii="Times New Roman;Times;serif" w:hAnsi="Times New Roman;Times;serif"/>
                <w:b/>
                <w:sz w:val="20"/>
              </w:rPr>
              <w:t>Accrued warranty at end of the year</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32,278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24,048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7,022</w:t>
            </w:r>
          </w:p>
        </w:tc>
      </w:tr>
      <w:tr>
        <w:trPr/>
        <w:tc>
          <w:tcPr>
            <w:tcW w:w="352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 xml:space="preserve">Including: </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36" w:type="dxa"/>
            <w:tcBorders/>
            <w:vAlign w:val="center"/>
          </w:tcPr>
          <w:p>
            <w:pPr>
              <w:pStyle w:val="TableContents"/>
              <w:bidi w:val="0"/>
              <w:spacing w:lineRule="auto" w:line="307" w:before="0" w:after="160"/>
              <w:ind w:left="0" w:right="0" w:hanging="0"/>
              <w:jc w:val="right"/>
              <w:rPr/>
            </w:pPr>
            <w:r>
              <w:rPr/>
              <w:t>​</w:t>
            </w:r>
          </w:p>
        </w:tc>
      </w:tr>
      <w:tr>
        <w:trPr/>
        <w:tc>
          <w:tcPr>
            <w:tcW w:w="352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 Current portion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3,340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2,735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483</w:t>
            </w:r>
          </w:p>
        </w:tc>
      </w:tr>
      <w:tr>
        <w:trPr/>
        <w:tc>
          <w:tcPr>
            <w:tcW w:w="352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 Non-current portion</w:t>
            </w:r>
          </w:p>
        </w:tc>
        <w:tc>
          <w:tcPr>
            <w:tcW w:w="346" w:type="dxa"/>
            <w:tcBorders/>
            <w:vAlign w:val="center"/>
          </w:tcPr>
          <w:p>
            <w:pPr>
              <w:pStyle w:val="TableContents"/>
              <w:bidi w:val="0"/>
              <w:spacing w:lineRule="auto" w:line="307" w:before="0" w:after="160"/>
              <w:ind w:left="0" w:right="0" w:hanging="0"/>
              <w:jc w:val="left"/>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28,938</w:t>
            </w:r>
          </w:p>
        </w:tc>
        <w:tc>
          <w:tcPr>
            <w:tcW w:w="346" w:type="dxa"/>
            <w:tcBorders/>
            <w:vAlign w:val="center"/>
          </w:tcPr>
          <w:p>
            <w:pPr>
              <w:pStyle w:val="TableContents"/>
              <w:bidi w:val="0"/>
              <w:spacing w:lineRule="auto" w:line="307" w:before="0" w:after="160"/>
              <w:ind w:left="0" w:right="0" w:hanging="0"/>
              <w:jc w:val="left"/>
              <w:rPr/>
            </w:pPr>
            <w:r>
              <w:rPr/>
              <w:t>​</w:t>
            </w:r>
          </w:p>
        </w:tc>
        <w:tc>
          <w:tcPr>
            <w:tcW w:w="69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21,313</w:t>
            </w:r>
          </w:p>
        </w:tc>
        <w:tc>
          <w:tcPr>
            <w:tcW w:w="346" w:type="dxa"/>
            <w:tcBorders/>
            <w:vAlign w:val="center"/>
          </w:tcPr>
          <w:p>
            <w:pPr>
              <w:pStyle w:val="TableContents"/>
              <w:bidi w:val="0"/>
              <w:spacing w:lineRule="auto" w:line="307" w:before="0" w:after="1"/>
              <w:ind w:left="0" w:right="0" w:hanging="0"/>
              <w:jc w:val="left"/>
              <w:rPr/>
            </w:pPr>
            <w:r>
              <w:rPr/>
              <w:t> </w:t>
            </w:r>
          </w:p>
        </w:tc>
        <w:tc>
          <w:tcPr>
            <w:tcW w:w="736"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6,539</w:t>
            </w:r>
          </w:p>
        </w:tc>
      </w:tr>
    </w:tbl>
    <w:p>
      <w:pPr>
        <w:pStyle w:val="TextBody"/>
        <w:bidi w:val="0"/>
        <w:spacing w:lineRule="auto" w:line="307" w:before="0" w:after="160"/>
        <w:ind w:left="0" w:right="0" w:hanging="0"/>
        <w:jc w:val="left"/>
        <w:rPr/>
      </w:pPr>
      <w:r>
        <w:rPr/>
        <w:t>​</w:t>
      </w:r>
    </w:p>
    <w:tbl>
      <w:tblPr>
        <w:tblW w:w="2582" w:type="dxa"/>
        <w:jc w:val="left"/>
        <w:tblInd w:w="0" w:type="dxa"/>
        <w:tblLayout w:type="fixed"/>
        <w:tblCellMar>
          <w:top w:w="0" w:type="dxa"/>
          <w:left w:w="0" w:type="dxa"/>
          <w:bottom w:w="0" w:type="dxa"/>
          <w:right w:w="0" w:type="dxa"/>
        </w:tblCellMar>
      </w:tblPr>
      <w:tblGrid>
        <w:gridCol w:w="346"/>
        <w:gridCol w:w="2236"/>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(p)</w:t>
            </w:r>
          </w:p>
        </w:tc>
        <w:tc>
          <w:tcPr>
            <w:tcW w:w="223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Fair value measurements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Fair value represents the price that would be received from selling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Accounting guidance defines fair value, establishes a framework for measuring fair value and expands disclosures about fair value measurements. Accounting guidance establishes a three-level fair value hierarchy and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Level 1 — Observable inputs that reflect quoted prices (unadjusted) for identical assets or liabilities in active markets.</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Level 2 — Include other inputs that are directly or indirectly observable in the marketplace.</w:t>
      </w:r>
    </w:p>
    <w:p>
      <w:pPr>
        <w:pStyle w:val="TextBody"/>
        <w:pBdr/>
        <w:bidi w:val="0"/>
        <w:spacing w:lineRule="auto" w:line="285" w:before="0" w:after="200"/>
        <w:ind w:left="720" w:right="0" w:hanging="360"/>
        <w:jc w:val="both"/>
        <w:rPr>
          <w:rFonts w:ascii="Times New Roman;Times;serif" w:hAnsi="Times New Roman;Times;serif"/>
          <w:sz w:val="20"/>
        </w:rPr>
      </w:pPr>
      <w:r>
        <w:rPr>
          <w:rFonts w:ascii="Times New Roman;Times;serif" w:hAnsi="Times New Roman;Times;serif"/>
          <w:sz w:val="20"/>
        </w:rPr>
        <w:t>Level 3 — Unobservable inputs which are supported by little or no market activity.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tbl>
      <w:tblPr>
        <w:tblW w:w="2207" w:type="dxa"/>
        <w:jc w:val="left"/>
        <w:tblInd w:w="0" w:type="dxa"/>
        <w:tblLayout w:type="fixed"/>
        <w:tblCellMar>
          <w:top w:w="0" w:type="dxa"/>
          <w:left w:w="0" w:type="dxa"/>
          <w:bottom w:w="0" w:type="dxa"/>
          <w:right w:w="0" w:type="dxa"/>
        </w:tblCellMar>
      </w:tblPr>
      <w:tblGrid>
        <w:gridCol w:w="346"/>
        <w:gridCol w:w="1861"/>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(q)</w:t>
            </w:r>
          </w:p>
        </w:tc>
        <w:tc>
          <w:tcPr>
            <w:tcW w:w="186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Revenue recognition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Revenue is recognized when or as the control of the goods or services is transferred to customers. Control of the goods and services may be transferred over time or at a point in time. Control of the goods and services is transferred over time if the Group’s performance:</w:t>
      </w:r>
    </w:p>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all of the benefits received and consumed simultaneously by the customer;</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and enhances an asset that the customer controls as the Group performs;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create an asset with an alternative use to the Group and the Group has an enforceable right to payment for performance completed to date.</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Contracts with customers may include multiple performance obligations. For such arrangements, the Group allocates overall contract price to each distinct performance obligation based on its relative standalone selling price. The Group generally determines standalone selling prices for each individual distinct performance obligation identified based on the observable prices charged to customers. If the standalone selling price is not directly observable, it is estimated using expected cost plus a margin, depending on the availability of observable information, the data utilized, and considering the Group’s pricing policies and practices in making pricing decisions. Assumptions and estimations have been made in estimating the relative selling price of each distinct performance obligation, and changes in judgements on these assumptions and estimates may affect revenue recognition.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When either party to a contract has performed, the Group presents the contract on the consolidated balance sheets as a contract asset, a receivable or a contract liability.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 contract asset is recorded when the Group transfers a good or service to the customer before being unconditionally entitled to the consideration under the payment terms set out in the contract. A receivable is recorded when the Group has an unconditional right to consideration. A right to consideration is unconditional if only the passage of time is required before payment of that consideration is due.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If a customer pays consideration or the Group has a right to an amount of consideration that is unconditional, before the Group transfers a good or service to the customer, the Group presents a contract liability when the payment is received or receivable. A contract liability is the Group’s obligation to transfer goods or services to a customer for which the Group has received consideration (or an amount of consideration is due) from the customer.</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Group generates revenue from sales of vehicles and any bundled products and services to end-users and distributors. The Group also generates revenue from provision of automotive design and development services to various automobile manufacturers. Further details of the Group’s revenue recognition policies are as follows: </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Sales of goods</w:t>
      </w:r>
    </w:p>
    <w:p>
      <w:pPr>
        <w:pStyle w:val="TextBody"/>
        <w:bidi w:val="0"/>
        <w:spacing w:lineRule="auto" w:line="285" w:before="0" w:after="200"/>
        <w:ind w:left="0" w:right="0" w:hanging="0"/>
        <w:jc w:val="both"/>
        <w:rPr>
          <w:rFonts w:ascii="Times New Roman;Times;serif" w:hAnsi="Times New Roman;Times;serif"/>
          <w:b/>
          <w:sz w:val="20"/>
        </w:rPr>
      </w:pPr>
      <w:r>
        <w:rPr>
          <w:rFonts w:ascii="Times New Roman;Times;serif" w:hAnsi="Times New Roman;Times;serif"/>
          <w:b/>
          <w:sz w:val="20"/>
        </w:rPr>
        <w:t>Sales transactions with end-users</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i/>
          <w:sz w:val="20"/>
        </w:rPr>
        <w:t xml:space="preserve">Sales of EV </w:t>
      </w:r>
      <w:r>
        <w:rPr>
          <w:rFonts w:ascii="Times New Roman;Times;serif" w:hAnsi="Times New Roman;Times;serif"/>
          <w:sz w:val="20"/>
        </w:rPr>
        <w:t>lifestyle models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generates revenue from sales of EV lifestyle models. In certain countries, the Group sells EV lifestyle models together with a number of bundled products and services. In those cases, the contracts with the customers include multiple distinct goods and services which are accounted for as separate performance obligations, primarily including household charging pile or charging card with a specified spending amount (at the option of the customers), premium version of intelligent driving system and its subsequent upgrades, unlimited free battery charging in specified super charging stations operated by the Group for a specified period, lifetime warranty, maintenance services for a specified period and lifetime vehicle internet connection services.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Transaction price is allocated to each performance obligation based on the relative standalone selling price and the allocated price is recognized as revenue as follows:</w:t>
      </w:r>
    </w:p>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EV lifestyle models is recognized at a point in time when the control of EV lifestyle models is transferred to the customer, which is the point in time when the customer takes possession of and accepts the vehicle. </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installed premium intelligent driving system is recognized when the functionality is activated, and the portion related to upgrades is recognized ratably over the estimated period of vehicle usage by the customer.</w:t>
            </w:r>
          </w:p>
        </w:tc>
      </w:tr>
    </w:tbl>
    <w:tbl>
      <w:tblPr>
        <w:tblW w:w="10205" w:type="dxa"/>
        <w:jc w:val="left"/>
        <w:tblInd w:w="0" w:type="dxa"/>
        <w:tblLayout w:type="fixed"/>
        <w:tblCellMar>
          <w:top w:w="28" w:type="dxa"/>
          <w:left w:w="28" w:type="dxa"/>
          <w:bottom w:w="28" w:type="dxa"/>
          <w:right w:w="28" w:type="dxa"/>
        </w:tblCellMar>
      </w:tblPr>
      <w:tblGrid>
        <w:gridCol w:w="124"/>
        <w:gridCol w:w="331"/>
        <w:gridCol w:w="97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household charging pile is recognized at a point in time when the charging pile is installed at customer’s designated location. </w:t>
            </w:r>
          </w:p>
        </w:tc>
      </w:tr>
    </w:tbl>
    <w:tbl>
      <w:tblPr>
        <w:tblW w:w="9381" w:type="dxa"/>
        <w:jc w:val="left"/>
        <w:tblInd w:w="0" w:type="dxa"/>
        <w:tblLayout w:type="fixed"/>
        <w:tblCellMar>
          <w:top w:w="28" w:type="dxa"/>
          <w:left w:w="28" w:type="dxa"/>
          <w:bottom w:w="28" w:type="dxa"/>
          <w:right w:w="28" w:type="dxa"/>
        </w:tblCellMar>
      </w:tblPr>
      <w:tblGrid>
        <w:gridCol w:w="124"/>
        <w:gridCol w:w="31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charging cards is recognized when the customer uses the card to redeem for charging services.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free battery charging service is recognized ratably over the specified service period of vehicle usage by the customer.</w:t>
            </w:r>
          </w:p>
        </w:tc>
      </w:tr>
    </w:tbl>
    <w:tbl>
      <w:tblPr>
        <w:tblW w:w="10205" w:type="dxa"/>
        <w:jc w:val="left"/>
        <w:tblInd w:w="0" w:type="dxa"/>
        <w:tblLayout w:type="fixed"/>
        <w:tblCellMar>
          <w:top w:w="28" w:type="dxa"/>
          <w:left w:w="28" w:type="dxa"/>
          <w:bottom w:w="28" w:type="dxa"/>
          <w:right w:w="28"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7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lifetime warranty is recognized ratably over the estimated extended warranty period with reference to the standard warranty offered by the Group in other vehicles sales.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124"/>
        <w:gridCol w:w="376"/>
        <w:gridCol w:w="9705"/>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7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maintenance services is recognized over the service period based on the number of maintenance services delivered to date relative to the estimated remaining number of maintenance services to be delivered. </w:t>
            </w:r>
          </w:p>
        </w:tc>
      </w:tr>
    </w:tbl>
    <w:tbl>
      <w:tblPr>
        <w:tblW w:w="10205" w:type="dxa"/>
        <w:jc w:val="left"/>
        <w:tblInd w:w="0" w:type="dxa"/>
        <w:tblLayout w:type="fixed"/>
        <w:tblCellMar>
          <w:top w:w="28" w:type="dxa"/>
          <w:left w:w="28" w:type="dxa"/>
          <w:bottom w:w="28" w:type="dxa"/>
          <w:right w:w="28" w:type="dxa"/>
        </w:tblCellMar>
      </w:tblPr>
      <w:tblGrid>
        <w:gridCol w:w="124"/>
        <w:gridCol w:w="436"/>
        <w:gridCol w:w="9645"/>
      </w:tblGrid>
      <w:tr>
        <w:trPr/>
        <w:tc>
          <w:tcPr>
            <w:tcW w:w="124" w:type="dxa"/>
            <w:tcBorders/>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6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vehicle internet connection services is recognized ratably over the estimated useful life of the vehicle as this service is transferrable from the customer to another car user if the customer resells the vehicle. </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Initial refundable deposits received from customers for intention orders prior to vehicle purchase agreements signed are recognized as refundable deposits from customers (accrued expenses and other current liabilities). When vehicle purchase agreements are signed, these initial deposits are reclassified to contract liabilities. Any other non-refundable payments received prior to the transfer of goods or services are also recognized as contract liabilities. </w:t>
      </w:r>
    </w:p>
    <w:p>
      <w:pPr>
        <w:pStyle w:val="TextBody"/>
        <w:bidi w:val="0"/>
        <w:spacing w:lineRule="auto" w:line="285" w:before="0" w:after="200"/>
        <w:ind w:left="0" w:right="0" w:hanging="0"/>
        <w:jc w:val="both"/>
        <w:rPr>
          <w:rFonts w:ascii="Times New Roman;Times;serif" w:hAnsi="Times New Roman;Times;serif"/>
          <w:i/>
          <w:sz w:val="20"/>
        </w:rPr>
      </w:pPr>
      <w:r>
        <w:rPr>
          <w:rFonts w:ascii="Times New Roman;Times;serif" w:hAnsi="Times New Roman;Times;serif"/>
          <w:i/>
          <w:sz w:val="20"/>
        </w:rPr>
        <w:t>Sales of sports cars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generates revenue from the distribution of Lotus-brand sports cars developed and produced by LCL. Revenue from sports cars sales is recognized at a point in time, when the control of the sports cars is transferred to the customer, which is the point in time when the customer takes possession of and accepts the sports cars.</w:t>
      </w:r>
    </w:p>
    <w:p>
      <w:pPr>
        <w:pStyle w:val="TextBody"/>
        <w:bidi w:val="0"/>
        <w:spacing w:lineRule="auto" w:line="285" w:before="0" w:after="200"/>
        <w:ind w:left="0" w:right="0" w:hanging="0"/>
        <w:jc w:val="both"/>
        <w:rPr>
          <w:rFonts w:ascii="Times New Roman;Times;serif" w:hAnsi="Times New Roman;Times;serif"/>
          <w:i/>
          <w:sz w:val="20"/>
        </w:rPr>
      </w:pPr>
      <w:r>
        <w:rPr>
          <w:rFonts w:ascii="Times New Roman;Times;serif" w:hAnsi="Times New Roman;Times;serif"/>
          <w:i/>
          <w:sz w:val="20"/>
        </w:rPr>
        <w:t>Practical expedients and exemptions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follows the guidance on immaterial promises when identifying performance obligations in the vehicle sales and concludes that free pick-up and delivery service for maintenance, door-to-door troubleshooting and lifetime roadside assistance are immaterial and therefore the Group does not assess whether these promised services are performance obligations. When reaching this conclusion, the Group considered that these promises are value-added services to enhance customer experience rather than critical items for vehicle driving and forecasted that usage of these services will be very limited. The Group also performs an estimation on the standalone fair value of each promise applying a cost-plus margin approach and concludes that the standalone fair value of foresaid services is insignificant individually and in aggregate, representing less than 1% of vehicle gross selling price and aggregate fair value of each individual promise.</w:t>
      </w:r>
    </w:p>
    <w:p>
      <w:pPr>
        <w:pStyle w:val="TextBody"/>
        <w:bidi w:val="0"/>
        <w:spacing w:lineRule="auto" w:line="285" w:before="0" w:after="200"/>
        <w:ind w:left="0" w:right="0" w:hanging="0"/>
        <w:jc w:val="both"/>
        <w:rPr>
          <w:rFonts w:ascii="Times New Roman;Times;serif" w:hAnsi="Times New Roman;Times;serif"/>
          <w:b/>
          <w:sz w:val="20"/>
        </w:rPr>
      </w:pPr>
      <w:r>
        <w:rPr>
          <w:rFonts w:ascii="Times New Roman;Times;serif" w:hAnsi="Times New Roman;Times;serif"/>
          <w:b/>
          <w:sz w:val="20"/>
        </w:rPr>
        <w:t>Sales transactions with dealers and business customers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Apart from selling vehicles to end-users, the Group also sells vehicles and parts to dealers and business customers. In the sales transactions with dealers and business customers, the Group’s only promise is to deliver the vehicles or parts to the dealers and business customers. Revenue from sales to dealers and business customers is recognized at a point in time, when the control of the vehicles or parts is transferred to the dealers and business customers, which is the point in time when the dealers and business customers take possession of and accept the vehicles or parts.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Group offers dealer incentives that include wholesale rebates, retail rebates, interest reimbursement and other allowances that are recorded as reductions of revenues in the consolidated statements of comprehensive loss. </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amount of wholesale rebates and retails rebates given to dealer vary depending on their purchase volume and sales volume to end-users. The Group estimates the rebate amounts based on various factors including forecasted sales volume, dealer behavior and historical achievement, and recognizes revenue at an amount net of the estimated rebates. The liabilities arising from the estimated rebates are included in “accrued expenses and other current liabilities” in the consolidated balance sheets.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Certain dealers purchase vehicles from the Group through floor plan financing programs with third-party financing providers. The Group has entered into repurchase agreements with some of those third-party financing providers. Under the repurchase agreements, if the dealers have defaulted on their floor plan financing, those third-party financing providers have a right to require the Group to repurchase the vehicles funded under their floor plan financing programs at unpaid balance of the original invoice price issued by the Group to the dealers. Such right is exercisable only in the event of dealer insolvency and termination of dealer agreements. The Group recognizes revenue from sales to the dealers taking into account any expected repurchase arising from such repurchase agreements. The Group considered that the likelihood of repurchase is remote. Historically, no such repurchase has occurred. The Group typically receives payment from the floor plan financing providers within 5 business days of shipment.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EV lifestyle models standard warranty is provided by the Group and sports cars standard warranty is provided by LCL. The estimated costs for the standard warranty provided by the Group are recorded as a liability when the Group transfers the control of vehicle or parts to the customer.</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Service revenues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provides a range of technical services to customers, including technologies licensing, engineering, development, facilitation, support and consultancy services. Revenue from services is recognized when relevant services are rendered.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Costs incurred to fulfill such service contracts which are not in the scope of other guidance are recognized as contract cost assets when those costs: i) relate directly to the service contracts that the Group can specifically identify; ii) are expected to be recovered; and iii) generate or enhance resources of the Group that will be used in satisfying performance obligations in the future.</w:t>
      </w:r>
    </w:p>
    <w:tbl>
      <w:tblPr>
        <w:tblW w:w="1502" w:type="dxa"/>
        <w:jc w:val="left"/>
        <w:tblInd w:w="0" w:type="dxa"/>
        <w:tblLayout w:type="fixed"/>
        <w:tblCellMar>
          <w:top w:w="0" w:type="dxa"/>
          <w:left w:w="0" w:type="dxa"/>
          <w:bottom w:w="0" w:type="dxa"/>
          <w:right w:w="0" w:type="dxa"/>
        </w:tblCellMar>
      </w:tblPr>
      <w:tblGrid>
        <w:gridCol w:w="316"/>
        <w:gridCol w:w="1186"/>
      </w:tblGrid>
      <w:tr>
        <w:trPr/>
        <w:tc>
          <w:tcPr>
            <w:tcW w:w="31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(r)</w:t>
            </w:r>
          </w:p>
        </w:tc>
        <w:tc>
          <w:tcPr>
            <w:tcW w:w="118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Cost of sales</w:t>
            </w:r>
          </w:p>
        </w:tc>
      </w:tr>
    </w:tbl>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Sales of goods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Cost of sales of goods primarily consists of purchase costs of vehicles, charging piles, parts and accessories, depreciation of molds tooling equipment, warehousing transportation costs and customs duties. Cost of vehicle sales also includes reserves for estimated warranty expenses and charges to write-down the carrying value of the inventory when it exceeds its estimated net realizable value.</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Cost of services generally includes cost of direct parts, materials, labor costs, and costs associated with providing extended warranty service and after-sales services, depreciation of associated assets used for providing services, and other costs associated with providing services.</w:t>
      </w:r>
    </w:p>
    <w:tbl>
      <w:tblPr>
        <w:tblW w:w="3467" w:type="dxa"/>
        <w:jc w:val="left"/>
        <w:tblInd w:w="0" w:type="dxa"/>
        <w:tblLayout w:type="fixed"/>
        <w:tblCellMar>
          <w:top w:w="0" w:type="dxa"/>
          <w:left w:w="0" w:type="dxa"/>
          <w:bottom w:w="0" w:type="dxa"/>
          <w:right w:w="0" w:type="dxa"/>
        </w:tblCellMar>
      </w:tblPr>
      <w:tblGrid>
        <w:gridCol w:w="316"/>
        <w:gridCol w:w="3151"/>
      </w:tblGrid>
      <w:tr>
        <w:trPr/>
        <w:tc>
          <w:tcPr>
            <w:tcW w:w="31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(s)</w:t>
            </w:r>
          </w:p>
        </w:tc>
        <w:tc>
          <w:tcPr>
            <w:tcW w:w="315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Research and development expenses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All costs associated with research and development (“R&amp;D”) are expensed as incurred. R&amp;D expenses consist primarily of salaries, bonuses and benefits for those employees engaged in research, design and development activities, license fees, outsourced development expenses, materials, rental expenses, depreciation of equipment and software of R&amp;D activities and other expenses.</w:t>
      </w:r>
    </w:p>
    <w:tbl>
      <w:tblPr>
        <w:tblW w:w="3077" w:type="dxa"/>
        <w:jc w:val="left"/>
        <w:tblInd w:w="0" w:type="dxa"/>
        <w:tblLayout w:type="fixed"/>
        <w:tblCellMar>
          <w:top w:w="0" w:type="dxa"/>
          <w:left w:w="0" w:type="dxa"/>
          <w:bottom w:w="0" w:type="dxa"/>
          <w:right w:w="0" w:type="dxa"/>
        </w:tblCellMar>
      </w:tblPr>
      <w:tblGrid>
        <w:gridCol w:w="301"/>
        <w:gridCol w:w="2776"/>
      </w:tblGrid>
      <w:tr>
        <w:trPr/>
        <w:tc>
          <w:tcPr>
            <w:tcW w:w="30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(t)</w:t>
            </w:r>
          </w:p>
        </w:tc>
        <w:tc>
          <w:tcPr>
            <w:tcW w:w="277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Selling and marketing expenses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Selling and marketing expenses mainly consist of advertising costs and market promotion expenses, commissions to agents, payroll and related expenses to sales and marketing personnel. The Group expenses all advertising costs as incurred and classifies these costs as selling and marketing expenses. For the years ended December 31, 2025, 2024 and 2023, advertising costs totaled US$37,201, US$134,611 and US$150,920, respectively.</w:t>
      </w:r>
    </w:p>
    <w:tbl>
      <w:tblPr>
        <w:tblW w:w="3542" w:type="dxa"/>
        <w:jc w:val="left"/>
        <w:tblInd w:w="0" w:type="dxa"/>
        <w:tblLayout w:type="fixed"/>
        <w:tblCellMar>
          <w:top w:w="0" w:type="dxa"/>
          <w:left w:w="0" w:type="dxa"/>
          <w:bottom w:w="0" w:type="dxa"/>
          <w:right w:w="0" w:type="dxa"/>
        </w:tblCellMar>
      </w:tblPr>
      <w:tblGrid>
        <w:gridCol w:w="346"/>
        <w:gridCol w:w="3196"/>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(u)</w:t>
            </w:r>
          </w:p>
        </w:tc>
        <w:tc>
          <w:tcPr>
            <w:tcW w:w="319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General and administrative expenses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mainly consist of payroll and related costs for employees involved in general corporate functions, expenses associated with the use of facilities and equipment by these employees, depreciation and amortization expenses of property, equipment and software used in general corporate activities, legal and other professional service fees and other general corporate related expenses.</w:t>
      </w:r>
    </w:p>
    <w:tbl>
      <w:tblPr>
        <w:tblW w:w="2057" w:type="dxa"/>
        <w:jc w:val="left"/>
        <w:tblInd w:w="0" w:type="dxa"/>
        <w:tblLayout w:type="fixed"/>
        <w:tblCellMar>
          <w:top w:w="0" w:type="dxa"/>
          <w:left w:w="0" w:type="dxa"/>
          <w:bottom w:w="0" w:type="dxa"/>
          <w:right w:w="0" w:type="dxa"/>
        </w:tblCellMar>
      </w:tblPr>
      <w:tblGrid>
        <w:gridCol w:w="331"/>
        <w:gridCol w:w="1726"/>
      </w:tblGrid>
      <w:tr>
        <w:trPr/>
        <w:tc>
          <w:tcPr>
            <w:tcW w:w="33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(v)</w:t>
            </w:r>
          </w:p>
        </w:tc>
        <w:tc>
          <w:tcPr>
            <w:tcW w:w="172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Government grants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Government grants are recognized when there is reasonable assurance that the Group will comply with the conditions attached to it and the grants will be received.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Government grants that are received in advance relating to the compensation of R&amp;D costs incurred or the acquisition of an asset are initially recognized in deferred income in the consolidated balance sheets and subsequently amortized and recognized as other operating income in the consolidated statements of comprehensive loss over the period necessary to match them with the R&amp;D costs that they are intended to compensate or as the assets are depreciated. </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Government grant for the purpose of giving immediate financial support to the Group with no future related costs is recognized as other operating income in the Group’s consolidated statements of comprehensive loss when the grant becomes receivable.</w:t>
      </w:r>
    </w:p>
    <w:tbl>
      <w:tblPr>
        <w:tblW w:w="2492" w:type="dxa"/>
        <w:jc w:val="left"/>
        <w:tblInd w:w="0" w:type="dxa"/>
        <w:tblLayout w:type="fixed"/>
        <w:tblCellMar>
          <w:top w:w="0" w:type="dxa"/>
          <w:left w:w="0" w:type="dxa"/>
          <w:bottom w:w="0" w:type="dxa"/>
          <w:right w:w="0" w:type="dxa"/>
        </w:tblCellMar>
      </w:tblPr>
      <w:tblGrid>
        <w:gridCol w:w="376"/>
        <w:gridCol w:w="2116"/>
      </w:tblGrid>
      <w:tr>
        <w:trPr/>
        <w:tc>
          <w:tcPr>
            <w:tcW w:w="37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(w)</w:t>
            </w:r>
          </w:p>
        </w:tc>
        <w:tc>
          <w:tcPr>
            <w:tcW w:w="211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Other operating income</w:t>
            </w:r>
          </w:p>
        </w:tc>
      </w:tr>
    </w:tbl>
    <w:p>
      <w:pPr>
        <w:pStyle w:val="TextBody"/>
        <w:bidi w:val="0"/>
        <w:spacing w:lineRule="auto" w:line="285" w:before="0" w:after="200"/>
        <w:ind w:left="0" w:right="0" w:firstLine="720"/>
        <w:jc w:val="both"/>
        <w:rPr>
          <w:rFonts w:ascii="Times New Roman;Times;serif" w:hAnsi="Times New Roman;Times;serif"/>
          <w:b/>
          <w:sz w:val="20"/>
        </w:rPr>
      </w:pPr>
      <w:r>
        <w:rPr>
          <w:rFonts w:ascii="Times New Roman;Times;serif" w:hAnsi="Times New Roman;Times;serif"/>
          <w:b w:val="false"/>
          <w:sz w:val="20"/>
        </w:rPr>
        <w:t>For the year ended December 31, 2025, Ningbo Robotics acquired equity interest of Chongqing Qianli through licensing certain internally developed intellectual property with carrying amount of nil</w:t>
      </w:r>
      <w:r>
        <w:rPr>
          <w:rFonts w:ascii="Times New Roman;Times;serif" w:hAnsi="Times New Roman;Times;serif"/>
          <w:b/>
          <w:sz w:val="20"/>
        </w:rPr>
        <w:t xml:space="preserve"> </w:t>
      </w:r>
      <w:r>
        <w:rPr>
          <w:rFonts w:ascii="Times New Roman;Times;serif" w:hAnsi="Times New Roman;Times;serif"/>
          <w:b w:val="false"/>
          <w:sz w:val="20"/>
        </w:rPr>
        <w:t>as the research and development costs were expensed historically. The Group recorded the equity interest as long-term investment in the consolidated balance sheet as of December 31, 2025, using measurement alternative method (Note 2(h)), and US$33,019</w:t>
      </w:r>
      <w:r>
        <w:rPr>
          <w:rFonts w:ascii="Times New Roman;Times;serif" w:hAnsi="Times New Roman;Times;serif"/>
          <w:b/>
          <w:sz w:val="20"/>
        </w:rPr>
        <w:t xml:space="preserve"> </w:t>
      </w:r>
      <w:r>
        <w:rPr>
          <w:rFonts w:ascii="Times New Roman;Times;serif" w:hAnsi="Times New Roman;Times;serif"/>
          <w:b w:val="false"/>
          <w:sz w:val="20"/>
        </w:rPr>
        <w:t>as other operating income in the consolidated statement of comprehensive loss for the year ended December 31, 2025. For the years ended December 31, 2024 and 2023, other operating income mainly represented government grants.</w:t>
      </w:r>
    </w:p>
    <w:tbl>
      <w:tblPr>
        <w:tblW w:w="2012" w:type="dxa"/>
        <w:jc w:val="left"/>
        <w:tblInd w:w="0" w:type="dxa"/>
        <w:tblLayout w:type="fixed"/>
        <w:tblCellMar>
          <w:top w:w="0" w:type="dxa"/>
          <w:left w:w="0" w:type="dxa"/>
          <w:bottom w:w="0" w:type="dxa"/>
          <w:right w:w="0" w:type="dxa"/>
        </w:tblCellMar>
      </w:tblPr>
      <w:tblGrid>
        <w:gridCol w:w="346"/>
        <w:gridCol w:w="1666"/>
      </w:tblGrid>
      <w:tr>
        <w:trPr/>
        <w:tc>
          <w:tcPr>
            <w:tcW w:w="3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(x)</w:t>
            </w:r>
          </w:p>
        </w:tc>
        <w:tc>
          <w:tcPr>
            <w:tcW w:w="166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Employee benefits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compensates its employees through short-term employee benefits and defined contribution plans. Short-term employee benefits consist of salaries, social benefit costs, paid annual leave, and bonuses that are expected to be settled within twelve months of the reporting period in which services are rendered. Short-term employee benefits are recognized at the undiscounted amounts expected to be paid when the liabilities are settled and presented within accrued expenses and other current liabilities in the consolidated balance sheets.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For defined contribution plans, premiums are paid monthly to a separate legal entity or the local labor bureau that manages pension plans on behalf of various employers. The Group has no further commitments beyond its monthly contribution. Contributions payable are recognized in the reporting period in which services are rendered and presented within accrued expenses and other current liabilities in the consolidated balance sheets. Contribution rates are unique to each employee in Netherlands, while the contribution rates are standard in UK and Chinese mainland.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Employee social benefits included as expenses in the accompanying consolidated statements of comprehensive loss amounted to US$25,203, US$30,564 and US$46,969 for the years ended December 31, 2025, 2024 and 2023, respectively.</w:t>
      </w:r>
    </w:p>
    <w:tbl>
      <w:tblPr>
        <w:tblW w:w="2702" w:type="dxa"/>
        <w:jc w:val="left"/>
        <w:tblInd w:w="0" w:type="dxa"/>
        <w:tblLayout w:type="fixed"/>
        <w:tblCellMar>
          <w:top w:w="0" w:type="dxa"/>
          <w:left w:w="0" w:type="dxa"/>
          <w:bottom w:w="0" w:type="dxa"/>
          <w:right w:w="0" w:type="dxa"/>
        </w:tblCellMar>
      </w:tblPr>
      <w:tblGrid>
        <w:gridCol w:w="331"/>
        <w:gridCol w:w="2371"/>
      </w:tblGrid>
      <w:tr>
        <w:trPr/>
        <w:tc>
          <w:tcPr>
            <w:tcW w:w="33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(y)</w:t>
            </w:r>
          </w:p>
        </w:tc>
        <w:tc>
          <w:tcPr>
            <w:tcW w:w="237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Share-based compensation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Share-based awards granted to the employees and non-employee service providers in the form of share options are subject to service and performance conditions. They are measured at the grant date fair value of the awards and are recognized as compensation expense using the graded attribution over the requisite service period, if and when the Group considers that it is probable that the performance condition will be achieved. The fair value of the share awards is estimated using the binomial option pricing model and is affected by the fair value of underlying ordinary shares as well as assumptions regarding a number of complex and subjective variables, including risk-free interest rate, exercise multiple, expected volatility and expected dividend yield. The Group elects to recognize the effect of forfeitures in compensation costs when they occur. To the extent the required vesting conditions are not met resulting in the forfeiture of the share-based awards, previously recognized compensation expense relating to those awards is reversed.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tbl>
      <w:tblPr>
        <w:tblW w:w="1562" w:type="dxa"/>
        <w:jc w:val="left"/>
        <w:tblInd w:w="0" w:type="dxa"/>
        <w:tblLayout w:type="fixed"/>
        <w:tblCellMar>
          <w:top w:w="0" w:type="dxa"/>
          <w:left w:w="0" w:type="dxa"/>
          <w:bottom w:w="0" w:type="dxa"/>
          <w:right w:w="0" w:type="dxa"/>
        </w:tblCellMar>
      </w:tblPr>
      <w:tblGrid>
        <w:gridCol w:w="316"/>
        <w:gridCol w:w="1246"/>
      </w:tblGrid>
      <w:tr>
        <w:trPr/>
        <w:tc>
          <w:tcPr>
            <w:tcW w:w="31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(z)</w:t>
            </w:r>
          </w:p>
        </w:tc>
        <w:tc>
          <w:tcPr>
            <w:tcW w:w="124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Income taxes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accounts for income taxes using the asset and liability method in accordance with ASC 740, Income Tax. 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Under this method, 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the consolidated statements of comprehensive loss in the period that includes the enactment date. A valuation allowance is provided to reduce the amount of deferred income tax assets if based on the weight of available evidence, it is more-likely-than-not that some portion, or all, of the deferred income tax assets will not be realized. This assessment considers, among other matters, the nature, frequency and severity of current and cumulative losses, forecasts of futures profitability, the duration of statutory carry forward periods, the Group’s experience with operating loss and tax credit carry forwards, if any, not expiring.</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applies a “more-likely-than-not” recognition threshold in the evaluation of uncertain tax positions. The Group recognizes the benefit of a tax position in its consolidated financial statements if the tax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income tax expenses.</w:t>
      </w:r>
    </w:p>
    <w:tbl>
      <w:tblPr>
        <w:tblW w:w="2042" w:type="dxa"/>
        <w:jc w:val="left"/>
        <w:tblInd w:w="0" w:type="dxa"/>
        <w:tblLayout w:type="fixed"/>
        <w:tblCellMar>
          <w:top w:w="0" w:type="dxa"/>
          <w:left w:w="0" w:type="dxa"/>
          <w:bottom w:w="0" w:type="dxa"/>
          <w:right w:w="0" w:type="dxa"/>
        </w:tblCellMar>
      </w:tblPr>
      <w:tblGrid>
        <w:gridCol w:w="451"/>
        <w:gridCol w:w="1591"/>
      </w:tblGrid>
      <w:tr>
        <w:trPr/>
        <w:tc>
          <w:tcPr>
            <w:tcW w:w="45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(aa)</w:t>
            </w:r>
          </w:p>
        </w:tc>
        <w:tc>
          <w:tcPr>
            <w:tcW w:w="159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Foreign currency</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Group’s reporting currency is US$. The functional currency of the Company’s subsidiaries in Chinese mainland is RMB. The functional currency of the Company and its subsidiaries in Hong Kong is US$. The functional currency of the entities incorporated in UK is GBP. The functional currency of the entities incorporated in Netherlands and Germany is Euro. The functional currencies of the other subsidiaries are their respective local currencies.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dates. The resulted exchange differences are recorded as foreign currency exchange gains (losses), net in the consolidated statements of comprehensive loss.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entities with functional currencies other than the US$ are translated from the functional currency into US$. Assets and liabilities are translated into US$ using the applicable exchange rates at the balance sheet dates. Equity accounts other than deficit generated in the current period are translated into US$ using the appropriate historical rates. Revenues, expenses, gains and losses are translated into US$ using the average exchange rates for the relevant periods. The resulted foreign currency translation adjustments are recorded as a component of other comprehensive income(loss) in the consolidated statements of comprehensive loss, and the accumulated foreign currency translation adjustments are recorded as a component of accumulated other comprehensive income/loss in the consolidated statements of changes in shareholders’ deficit.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655" w:name="Tc_46wA71QYjkWnJ3D65JIGNg_4_5"/>
      <w:bookmarkStart w:id="1656" w:name="Tc_o9136ol8FUmRVqTM6q7MJA_4_3"/>
      <w:bookmarkStart w:id="1657" w:name="Tc_unQM91DFbE6pOZQMg1CBTQ_4_0"/>
      <w:bookmarkStart w:id="1658" w:name="Tc_fo-gtuo8S0miUTM0AnXY0A_3_2"/>
      <w:bookmarkStart w:id="1659" w:name="Tc_doLBgAboPEqwJav-kuc2MQ_2_4"/>
      <w:bookmarkStart w:id="1660" w:name="Tc_gQgDG8aRHEeBmFpPvl12XA_2_2"/>
      <w:bookmarkStart w:id="1661" w:name="Tc_u5SbOQcQf02WlLUXWtNPfw_1_2"/>
      <w:bookmarkStart w:id="1662" w:name="Tc_ze5OhPS2F0q4L99QdR9zXg_4_7"/>
      <w:bookmarkStart w:id="1663" w:name="Tc_g7eisjq1B0CbLP-UfK-Zcw_4_5"/>
      <w:bookmarkStart w:id="1664" w:name="Tc_mpPu9UUzbEKS7QHK1tfbfg_4_3"/>
      <w:bookmarkStart w:id="1665" w:name="Tc_tde8k1aNp0WXo74GEMimfA_4_0"/>
      <w:bookmarkStart w:id="1666" w:name="Tc_Ed0OBpNxe0m6xub6ImLQpA_3_2"/>
      <w:bookmarkStart w:id="1667" w:name="Tc_PnxfOqx3MUiIzNwp0GjSTg_2_6"/>
      <w:bookmarkStart w:id="1668" w:name="Tc_ndx0we3IZECAW98BReYTLQ_2_4"/>
      <w:bookmarkStart w:id="1669" w:name="Tc_T8AhKLW7NEm4D9QaSCVW4Q_2_2"/>
      <w:bookmarkStart w:id="1670" w:name="Tc_g7U8DNxA_EyXgMV8CP6eKg_1_2"/>
      <w:bookmarkStart w:id="1671" w:name="Tc_0P1baEc9Lk6iZeHZ58fxOQ_4_5"/>
      <w:bookmarkStart w:id="1672" w:name="Tc_yKOqzJG6d0qIwIpVkxDgGg_4_3"/>
      <w:bookmarkStart w:id="1673" w:name="Tc_AN4zLNu9C0qMMnb8-Tfvqg_4_0"/>
      <w:bookmarkStart w:id="1674" w:name="Tc_NUIClZ0YR0m-KbWxvjn8ag_3_2"/>
      <w:bookmarkStart w:id="1675" w:name="Tc_BS1aiQbvrEqb4EMwLZf8hg_2_4"/>
      <w:bookmarkStart w:id="1676" w:name="Tc_4sbKzqrPl0SgXWW7ZFO56A_2_2"/>
      <w:bookmarkStart w:id="1677" w:name="Tc_M4GmLGxmT0eeVaZw0nYhRw_1_2"/>
      <w:bookmarkStart w:id="1678" w:name="Tc_46wA71QYjkWnJ3D65JIGNg_4_5"/>
      <w:bookmarkStart w:id="1679" w:name="Tc_o9136ol8FUmRVqTM6q7MJA_4_3"/>
      <w:bookmarkStart w:id="1680" w:name="Tc_unQM91DFbE6pOZQMg1CBTQ_4_0"/>
      <w:bookmarkStart w:id="1681" w:name="Tc_fo-gtuo8S0miUTM0AnXY0A_3_2"/>
      <w:bookmarkStart w:id="1682" w:name="Tc_doLBgAboPEqwJav-kuc2MQ_2_4"/>
      <w:bookmarkStart w:id="1683" w:name="Tc_gQgDG8aRHEeBmFpPvl12XA_2_2"/>
      <w:bookmarkStart w:id="1684" w:name="Tc_u5SbOQcQf02WlLUXWtNPfw_1_2"/>
      <w:bookmarkStart w:id="1685" w:name="Tc_ze5OhPS2F0q4L99QdR9zXg_4_7"/>
      <w:bookmarkStart w:id="1686" w:name="Tc_g7eisjq1B0CbLP-UfK-Zcw_4_5"/>
      <w:bookmarkStart w:id="1687" w:name="Tc_mpPu9UUzbEKS7QHK1tfbfg_4_3"/>
      <w:bookmarkStart w:id="1688" w:name="Tc_tde8k1aNp0WXo74GEMimfA_4_0"/>
      <w:bookmarkStart w:id="1689" w:name="Tc_Ed0OBpNxe0m6xub6ImLQpA_3_2"/>
      <w:bookmarkStart w:id="1690" w:name="Tc_PnxfOqx3MUiIzNwp0GjSTg_2_6"/>
      <w:bookmarkStart w:id="1691" w:name="Tc_ndx0we3IZECAW98BReYTLQ_2_4"/>
      <w:bookmarkStart w:id="1692" w:name="Tc_T8AhKLW7NEm4D9QaSCVW4Q_2_2"/>
      <w:bookmarkStart w:id="1693" w:name="Tc_g7U8DNxA_EyXgMV8CP6eKg_1_2"/>
      <w:bookmarkStart w:id="1694" w:name="Tc_0P1baEc9Lk6iZeHZ58fxOQ_4_5"/>
      <w:bookmarkStart w:id="1695" w:name="Tc_yKOqzJG6d0qIwIpVkxDgGg_4_3"/>
      <w:bookmarkStart w:id="1696" w:name="Tc_AN4zLNu9C0qMMnb8-Tfvqg_4_0"/>
      <w:bookmarkStart w:id="1697" w:name="Tc_NUIClZ0YR0m-KbWxvjn8ag_3_2"/>
      <w:bookmarkStart w:id="1698" w:name="Tc_BS1aiQbvrEqb4EMwLZf8hg_2_4"/>
      <w:bookmarkStart w:id="1699" w:name="Tc_4sbKzqrPl0SgXWW7ZFO56A_2_2"/>
      <w:bookmarkStart w:id="1700" w:name="Tc_M4GmLGxmT0eeVaZw0nYhRw_1_2"/>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p>
    <w:tbl>
      <w:tblPr>
        <w:tblW w:w="2522" w:type="dxa"/>
        <w:jc w:val="left"/>
        <w:tblInd w:w="0" w:type="dxa"/>
        <w:tblLayout w:type="fixed"/>
        <w:tblCellMar>
          <w:top w:w="0" w:type="dxa"/>
          <w:left w:w="0" w:type="dxa"/>
          <w:bottom w:w="0" w:type="dxa"/>
          <w:right w:w="0" w:type="dxa"/>
        </w:tblCellMar>
      </w:tblPr>
      <w:tblGrid>
        <w:gridCol w:w="451"/>
        <w:gridCol w:w="2071"/>
      </w:tblGrid>
      <w:tr>
        <w:trPr/>
        <w:tc>
          <w:tcPr>
            <w:tcW w:w="45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(bb)</w:t>
            </w:r>
          </w:p>
        </w:tc>
        <w:tc>
          <w:tcPr>
            <w:tcW w:w="207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Concentration and risk</w:t>
            </w:r>
          </w:p>
        </w:tc>
      </w:tr>
    </w:tbl>
    <w:p>
      <w:pPr>
        <w:pStyle w:val="TextBody"/>
        <w:bidi w:val="0"/>
        <w:spacing w:lineRule="auto" w:line="285" w:before="40" w:after="200"/>
        <w:ind w:left="0" w:right="0" w:hanging="0"/>
        <w:jc w:val="left"/>
        <w:rPr>
          <w:rFonts w:ascii="Times New Roman;Times;serif" w:hAnsi="Times New Roman;Times;serif"/>
          <w:b/>
          <w:i/>
          <w:sz w:val="20"/>
        </w:rPr>
      </w:pPr>
      <w:r>
        <w:rPr>
          <w:rFonts w:ascii="Times New Roman;Times;serif" w:hAnsi="Times New Roman;Times;serif"/>
          <w:b/>
          <w:i/>
          <w:sz w:val="20"/>
        </w:rPr>
        <w:t>Concentration of customers and suppliers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Group’s accounts receivables – related parties are mainly due from Geely Holding and its subsidiaries (collectively as “Geely Group”), representing 96.2% and 78.7% of the Group’s accounts receivable — related parties as of December 31, 2025 and 2024, respectively. During the years ended December 31, 2025, 2024 and 2023, Geely Group contributed US$30,710, US$33,620 and US$11,031 of the Group’s total revenues, respectively.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No third-party customer contributed more than 10.0% of the Group’s total revenues for years ended December 31, 2025, 2024 and 2023.</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Accounts receivable balances with greater than 10.0% the Group’s accounts receivable balances as of December 31, 2025 and 2024 were as follows.</w:t>
      </w:r>
    </w:p>
    <w:p>
      <w:pPr>
        <w:pStyle w:val="TextBody"/>
        <w:bidi w:val="0"/>
        <w:spacing w:lineRule="auto" w:line="307" w:before="0" w:after="160"/>
        <w:ind w:left="0" w:right="0" w:hanging="0"/>
        <w:jc w:val="left"/>
        <w:rPr/>
      </w:pPr>
      <w:r>
        <w:rPr/>
        <w:t>​</w:t>
      </w:r>
    </w:p>
    <w:tbl>
      <w:tblPr>
        <w:tblW w:w="5238" w:type="dxa"/>
        <w:jc w:val="left"/>
        <w:tblInd w:w="0" w:type="dxa"/>
        <w:tblLayout w:type="fixed"/>
        <w:tblCellMar>
          <w:top w:w="0" w:type="dxa"/>
          <w:left w:w="0" w:type="dxa"/>
          <w:bottom w:w="0" w:type="dxa"/>
          <w:right w:w="0" w:type="dxa"/>
        </w:tblCellMar>
      </w:tblPr>
      <w:tblGrid>
        <w:gridCol w:w="1156"/>
        <w:gridCol w:w="346"/>
        <w:gridCol w:w="1233"/>
        <w:gridCol w:w="954"/>
        <w:gridCol w:w="1233"/>
        <w:gridCol w:w="31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34060" cy="175260"/>
                      <wp:effectExtent l="0" t="0" r="0" b="0"/>
                      <wp:wrapNone/>
                      <wp:docPr id="295" name="Frame29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296"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782955" cy="175260"/>
                      <wp:effectExtent l="0" t="0" r="0" b="0"/>
                      <wp:wrapNone/>
                      <wp:docPr id="297" name="Frame292"/>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05790" cy="175260"/>
                      <wp:effectExtent l="0" t="0" r="0" b="0"/>
                      <wp:wrapNone/>
                      <wp:docPr id="298" name="Frame293"/>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782955" cy="175260"/>
                      <wp:effectExtent l="0" t="0" r="0" b="0"/>
                      <wp:wrapNone/>
                      <wp:docPr id="299" name="Frame294"/>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0660" cy="175260"/>
                      <wp:effectExtent l="0" t="0" r="0" b="0"/>
                      <wp:wrapNone/>
                      <wp:docPr id="300" name="Frame29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420"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954" w:type="dxa"/>
            <w:tcBorders/>
            <w:vAlign w:val="center"/>
          </w:tcPr>
          <w:p>
            <w:pPr>
              <w:pStyle w:val="TableContents"/>
              <w:bidi w:val="0"/>
              <w:spacing w:lineRule="auto" w:line="307" w:before="0" w:after="1"/>
              <w:ind w:left="0" w:right="0" w:hanging="0"/>
              <w:jc w:val="left"/>
              <w:rPr/>
            </w:pPr>
            <w:r>
              <w:rPr/>
              <w:t>  ​ ​ ​</w:t>
            </w:r>
          </w:p>
        </w:tc>
        <w:tc>
          <w:tcPr>
            <w:tcW w:w="123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5238"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420" w:type="dxa"/>
            <w:gridSpan w:val="3"/>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proportion of total accounts receivable balance</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1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Geely Group</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3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95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3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Suppliers contributed more than 10.0% of total purchases for the years ended December 31, 2025, 2024 and 2023 were as follows.</w:t>
      </w:r>
    </w:p>
    <w:p>
      <w:pPr>
        <w:pStyle w:val="TextBody"/>
        <w:bidi w:val="0"/>
        <w:spacing w:lineRule="auto" w:line="307" w:before="0" w:after="160"/>
        <w:ind w:left="0" w:right="0" w:hanging="0"/>
        <w:jc w:val="left"/>
        <w:rPr/>
      </w:pPr>
      <w:r>
        <w:rPr/>
        <w:t>​</w:t>
      </w:r>
    </w:p>
    <w:tbl>
      <w:tblPr>
        <w:tblW w:w="4576" w:type="dxa"/>
        <w:jc w:val="left"/>
        <w:tblInd w:w="0" w:type="dxa"/>
        <w:tblLayout w:type="fixed"/>
        <w:tblCellMar>
          <w:top w:w="0" w:type="dxa"/>
          <w:left w:w="0" w:type="dxa"/>
          <w:bottom w:w="0" w:type="dxa"/>
          <w:right w:w="0" w:type="dxa"/>
        </w:tblCellMar>
      </w:tblPr>
      <w:tblGrid>
        <w:gridCol w:w="1156"/>
        <w:gridCol w:w="346"/>
        <w:gridCol w:w="606"/>
        <w:gridCol w:w="470"/>
        <w:gridCol w:w="606"/>
        <w:gridCol w:w="470"/>
        <w:gridCol w:w="606"/>
        <w:gridCol w:w="31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734060" cy="175260"/>
                      <wp:effectExtent l="0" t="0" r="0" b="0"/>
                      <wp:wrapNone/>
                      <wp:docPr id="301" name="Frame29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2"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84810" cy="175260"/>
                      <wp:effectExtent l="0" t="0" r="0" b="0"/>
                      <wp:wrapNone/>
                      <wp:docPr id="303" name="Frame298"/>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98450" cy="175260"/>
                      <wp:effectExtent l="0" t="0" r="0" b="0"/>
                      <wp:wrapNone/>
                      <wp:docPr id="304" name="Frame299"/>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84810" cy="175260"/>
                      <wp:effectExtent l="0" t="0" r="0" b="0"/>
                      <wp:wrapNone/>
                      <wp:docPr id="305" name="Frame300"/>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98450" cy="175260"/>
                      <wp:effectExtent l="0" t="0" r="0" b="0"/>
                      <wp:wrapNone/>
                      <wp:docPr id="306" name="Frame301"/>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84810" cy="175260"/>
                      <wp:effectExtent l="0" t="0" r="0" b="0"/>
                      <wp:wrapNone/>
                      <wp:docPr id="307" name="Frame302"/>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0660" cy="175260"/>
                      <wp:effectExtent l="0" t="0" r="0" b="0"/>
                      <wp:wrapNone/>
                      <wp:docPr id="308" name="Frame3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758"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470" w:type="dxa"/>
            <w:tcBorders/>
            <w:vAlign w:val="center"/>
          </w:tcPr>
          <w:p>
            <w:pPr>
              <w:pStyle w:val="TableContents"/>
              <w:bidi w:val="0"/>
              <w:spacing w:lineRule="auto" w:line="307" w:before="0" w:after="1"/>
              <w:ind w:left="0" w:right="0" w:hanging="0"/>
              <w:jc w:val="center"/>
              <w:rPr/>
            </w:pPr>
            <w:r>
              <w:rPr/>
              <w:t>  ​ ​ ​</w:t>
            </w:r>
          </w:p>
        </w:tc>
        <w:tc>
          <w:tcPr>
            <w:tcW w:w="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470" w:type="dxa"/>
            <w:tcBorders/>
            <w:vAlign w:val="center"/>
          </w:tcPr>
          <w:p>
            <w:pPr>
              <w:pStyle w:val="TableContents"/>
              <w:bidi w:val="0"/>
              <w:spacing w:lineRule="auto" w:line="307" w:before="0" w:after="1"/>
              <w:ind w:left="0" w:right="0" w:hanging="0"/>
              <w:jc w:val="center"/>
              <w:rPr/>
            </w:pPr>
            <w:r>
              <w:rPr/>
              <w:t>  ​ ​ ​</w:t>
            </w:r>
          </w:p>
        </w:tc>
        <w:tc>
          <w:tcPr>
            <w:tcW w:w="6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457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758" w:type="dxa"/>
            <w:gridSpan w:val="5"/>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proportion of total costs and expenses</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1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Geely Group</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470"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64.4</w:t>
            </w:r>
          </w:p>
        </w:tc>
        <w:tc>
          <w:tcPr>
            <w:tcW w:w="470"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Payable balances with greater than 10.0% the Group’s amounts due to suppliers as of December 31, 2025 and 2024 were as follows:</w:t>
      </w:r>
    </w:p>
    <w:p>
      <w:pPr>
        <w:pStyle w:val="TextBody"/>
        <w:bidi w:val="0"/>
        <w:spacing w:lineRule="auto" w:line="307" w:before="0" w:after="160"/>
        <w:ind w:left="0" w:right="0" w:hanging="0"/>
        <w:jc w:val="both"/>
        <w:rPr/>
      </w:pPr>
      <w:r>
        <w:rPr/>
        <w:t>​</w:t>
      </w:r>
    </w:p>
    <w:tbl>
      <w:tblPr>
        <w:tblW w:w="4487" w:type="dxa"/>
        <w:jc w:val="left"/>
        <w:tblInd w:w="0" w:type="dxa"/>
        <w:tblLayout w:type="fixed"/>
        <w:tblCellMar>
          <w:top w:w="0" w:type="dxa"/>
          <w:left w:w="0" w:type="dxa"/>
          <w:bottom w:w="0" w:type="dxa"/>
          <w:right w:w="0" w:type="dxa"/>
        </w:tblCellMar>
      </w:tblPr>
      <w:tblGrid>
        <w:gridCol w:w="1156"/>
        <w:gridCol w:w="346"/>
        <w:gridCol w:w="962"/>
        <w:gridCol w:w="745"/>
        <w:gridCol w:w="962"/>
        <w:gridCol w:w="31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734060" cy="175260"/>
                      <wp:effectExtent l="0" t="0" r="0" b="0"/>
                      <wp:wrapNone/>
                      <wp:docPr id="309" name="Frame30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0"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10870" cy="175260"/>
                      <wp:effectExtent l="0" t="0" r="0" b="0"/>
                      <wp:wrapNone/>
                      <wp:docPr id="311" name="Frame30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73075" cy="175260"/>
                      <wp:effectExtent l="0" t="0" r="0" b="0"/>
                      <wp:wrapNone/>
                      <wp:docPr id="312" name="Frame307"/>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10870" cy="175260"/>
                      <wp:effectExtent l="0" t="0" r="0" b="0"/>
                      <wp:wrapNone/>
                      <wp:docPr id="313" name="Frame308"/>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0660" cy="175260"/>
                      <wp:effectExtent l="0" t="0" r="0" b="0"/>
                      <wp:wrapNone/>
                      <wp:docPr id="314" name="Frame30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66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6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745" w:type="dxa"/>
            <w:tcBorders/>
            <w:vAlign w:val="center"/>
          </w:tcPr>
          <w:p>
            <w:pPr>
              <w:pStyle w:val="TableContents"/>
              <w:bidi w:val="0"/>
              <w:spacing w:lineRule="auto" w:line="307" w:before="0" w:after="1"/>
              <w:ind w:left="0" w:right="0" w:hanging="0"/>
              <w:jc w:val="center"/>
              <w:rPr/>
            </w:pPr>
            <w:r>
              <w:rPr/>
              <w:t>  ​ ​ ​</w:t>
            </w:r>
          </w:p>
        </w:tc>
        <w:tc>
          <w:tcPr>
            <w:tcW w:w="96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lineRule="auto" w:line="307" w:before="0" w:after="1"/>
              <w:ind w:left="0" w:right="0" w:hanging="0"/>
              <w:jc w:val="center"/>
              <w:rPr/>
            </w:pPr>
            <w:r>
              <w:rPr/>
              <w:t> </w:t>
            </w:r>
          </w:p>
        </w:tc>
      </w:tr>
      <w:tr>
        <w:trPr/>
        <w:tc>
          <w:tcPr>
            <w:tcW w:w="4487"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1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669" w:type="dxa"/>
            <w:gridSpan w:val="3"/>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proportion of total payables balance</w:t>
            </w:r>
          </w:p>
        </w:tc>
        <w:tc>
          <w:tcPr>
            <w:tcW w:w="316" w:type="dxa"/>
            <w:tcBorders/>
            <w:vAlign w:val="center"/>
          </w:tcPr>
          <w:p>
            <w:pPr>
              <w:pStyle w:val="TableContents"/>
              <w:bidi w:val="0"/>
              <w:spacing w:lineRule="auto" w:line="307" w:before="0" w:after="160"/>
              <w:ind w:left="0" w:right="0" w:hanging="0"/>
              <w:jc w:val="center"/>
              <w:rPr/>
            </w:pPr>
            <w:r>
              <w:rPr/>
              <w:t>​</w:t>
            </w:r>
          </w:p>
        </w:tc>
      </w:tr>
      <w:tr>
        <w:trPr/>
        <w:tc>
          <w:tcPr>
            <w:tcW w:w="1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Geely Group</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6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67.5</w:t>
            </w:r>
          </w:p>
        </w:tc>
        <w:tc>
          <w:tcPr>
            <w:tcW w:w="745"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6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hanging="0"/>
        <w:jc w:val="both"/>
        <w:rPr/>
      </w:pPr>
      <w:r>
        <w:rPr/>
        <w:t>​</w:t>
      </w:r>
    </w:p>
    <w:p>
      <w:pPr>
        <w:pStyle w:val="TextBody"/>
        <w:bidi w:val="0"/>
        <w:spacing w:lineRule="auto" w:line="285" w:before="0" w:after="200"/>
        <w:ind w:left="0" w:right="0" w:hanging="0"/>
        <w:jc w:val="left"/>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Financial instruments that potentially expose the Group to concentrations of credit risk consist principally of cash, cash equivalents and restricted cash, investment securities, accounts receivable, and loan receivables and other receivables included in prepayments and other current assets.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Majority of the Group’s cash at bank is held by third-party financial institutions located in Chinese mainland and UK which management believes are of high credit quality based on their credit ratings. To limit exposure to credit risk, the Group primarily places bank deposits with large financial institutions in Chinese mainland and UK with acceptable credit rating.</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Accounts receivables are primarily derived from revenue earned from sales of sports cars and EV lifestyle models, parts, and service revenues. Accounts receivable, loan receivables and other receivables included in prepayments and other current assets are unsecured. The risk is mitigated by credit evaluations performed on them.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701" w:name="Tc___P3UdJ6JE2271Xx9RCY1w_8_0"/>
      <w:bookmarkStart w:id="1702" w:name="Tc_lO_kdX-xu0qeblANYMA99Q_7_0"/>
      <w:bookmarkStart w:id="1703" w:name="Tc_jjzxTRoG6UyASajEbP47qg_6_0"/>
      <w:bookmarkStart w:id="1704" w:name="Tc_D6FKCqQ_3U2ATqYDk_L4oA_5_0"/>
      <w:bookmarkStart w:id="1705" w:name="Tc_GwFa7iyRKUqD7iTJl-cEsA_3_4"/>
      <w:bookmarkStart w:id="1706" w:name="Tc_wjs49eAdtUC2BwfQShw9mg_3_2"/>
      <w:bookmarkStart w:id="1707" w:name="Tc_20__XLAHLE2T3FE-6kLFCQ_2_4"/>
      <w:bookmarkStart w:id="1708" w:name="Tc_gyNcPKPuQU2r8R5ldZiCTg_2_2"/>
      <w:bookmarkStart w:id="1709" w:name="Tc_K85pMDfODUSRM8sbS1us0w_1_2"/>
      <w:bookmarkStart w:id="1710" w:name="Tc___P3UdJ6JE2271Xx9RCY1w_8_0"/>
      <w:bookmarkStart w:id="1711" w:name="Tc_lO_kdX-xu0qeblANYMA99Q_7_0"/>
      <w:bookmarkStart w:id="1712" w:name="Tc_jjzxTRoG6UyASajEbP47qg_6_0"/>
      <w:bookmarkStart w:id="1713" w:name="Tc_D6FKCqQ_3U2ATqYDk_L4oA_5_0"/>
      <w:bookmarkStart w:id="1714" w:name="Tc_GwFa7iyRKUqD7iTJl-cEsA_3_4"/>
      <w:bookmarkStart w:id="1715" w:name="Tc_wjs49eAdtUC2BwfQShw9mg_3_2"/>
      <w:bookmarkStart w:id="1716" w:name="Tc_20__XLAHLE2T3FE-6kLFCQ_2_4"/>
      <w:bookmarkStart w:id="1717" w:name="Tc_gyNcPKPuQU2r8R5ldZiCTg_2_2"/>
      <w:bookmarkStart w:id="1718" w:name="Tc_K85pMDfODUSRM8sbS1us0w_1_2"/>
      <w:bookmarkEnd w:id="1710"/>
      <w:bookmarkEnd w:id="1711"/>
      <w:bookmarkEnd w:id="1712"/>
      <w:bookmarkEnd w:id="1713"/>
      <w:bookmarkEnd w:id="1714"/>
      <w:bookmarkEnd w:id="1715"/>
      <w:bookmarkEnd w:id="1716"/>
      <w:bookmarkEnd w:id="1717"/>
      <w:bookmarkEnd w:id="1718"/>
    </w:p>
    <w:tbl>
      <w:tblPr>
        <w:tblW w:w="1757" w:type="dxa"/>
        <w:jc w:val="left"/>
        <w:tblInd w:w="0" w:type="dxa"/>
        <w:tblLayout w:type="fixed"/>
        <w:tblCellMar>
          <w:top w:w="0" w:type="dxa"/>
          <w:left w:w="0" w:type="dxa"/>
          <w:bottom w:w="0" w:type="dxa"/>
          <w:right w:w="0" w:type="dxa"/>
        </w:tblCellMar>
      </w:tblPr>
      <w:tblGrid>
        <w:gridCol w:w="421"/>
        <w:gridCol w:w="1336"/>
      </w:tblGrid>
      <w:tr>
        <w:trPr/>
        <w:tc>
          <w:tcPr>
            <w:tcW w:w="42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(cc)</w:t>
            </w:r>
          </w:p>
        </w:tc>
        <w:tc>
          <w:tcPr>
            <w:tcW w:w="133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Loss per share</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Basic loss per share is computed by dividing net loss attributable to ordinary shareholders, taking into consideration the accretions of redeemable convertible preferred shares, by the weighted average number of ordinary shares outstanding during the year using the two-class method. Under the two-class method, any net income is allocated between ordinary shares and other participating securities based on participating rights in undistributed earnings. The Company’s redeemable convertible preferred shares are participating securities since the holders of these securities participate in dividends on the same basis as ordinary shareholders. These participating securities are not included in the computation of basic loss per share in periods when the Company reports net loss, because these participating security holders have no obligation to share in the losses of the Company.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Diluted loss per share is calculated by dividing net loss attributable to the Company’s ordinary shareholders as adjusted for the effect of dilutive ordinary share equivalents, if any, by the weighted average number of ordinary and dilutive ordinary share equivalents outstanding during the year. Ordinary share equivalents include the ordinary shares issuable upon the exercise of the outstanding put option (using reversal treasury stock method), outstanding share options (using the treasury stock method), and the conversion of redeemable convertible preferred shares, mandatorily redeemable noncontrolling interest, warrants, exchangeable notes and convertible notes (using the as-if-converted method). Potential dilutive securities are not included in the calculation of diluted loss per share if the impact is anti-dilutive.</w:t>
      </w:r>
    </w:p>
    <w:tbl>
      <w:tblPr>
        <w:tblW w:w="2132" w:type="dxa"/>
        <w:jc w:val="left"/>
        <w:tblInd w:w="0" w:type="dxa"/>
        <w:tblLayout w:type="fixed"/>
        <w:tblCellMar>
          <w:top w:w="0" w:type="dxa"/>
          <w:left w:w="0" w:type="dxa"/>
          <w:bottom w:w="0" w:type="dxa"/>
          <w:right w:w="0" w:type="dxa"/>
        </w:tblCellMar>
      </w:tblPr>
      <w:tblGrid>
        <w:gridCol w:w="451"/>
        <w:gridCol w:w="1681"/>
      </w:tblGrid>
      <w:tr>
        <w:trPr/>
        <w:tc>
          <w:tcPr>
            <w:tcW w:w="45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(dd)</w:t>
            </w:r>
          </w:p>
        </w:tc>
        <w:tc>
          <w:tcPr>
            <w:tcW w:w="168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Segment reporting</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Group’s chief operating decision maker (“CODM”) has been identified as the chief executive officer, who reviews consolidated results when making decisions about allocating resources and assessing performance of the Group. For the purpose of internal reporting and management’s operation review, the Group’s chief executive officer and management personnel do not segregate the Group’s business by product or service. Management has determined that the Group has one operating segment. The measure of segment assets is reported on the consolidated balance sheets as total consolidated assets. The CODM evaluates performance for its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reportable segment based on total revenues, gross profit, operating expenses and the net income, which are the same as those presented on the consolidated statements of comprehensive loss. Significant segment expenses are the same as those presented in the consolidated statements of comprehensive loss. </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Long-lived assets consist of property, equipment and software and operating lease right-of-use assets. The geographic information for long-lived assets as of December 31, 2025 and 2024 was as follows:</w:t>
      </w:r>
    </w:p>
    <w:p>
      <w:pPr>
        <w:pStyle w:val="TextBody"/>
        <w:bidi w:val="0"/>
        <w:spacing w:lineRule="auto" w:line="307" w:before="0" w:after="160"/>
        <w:ind w:left="0" w:right="0" w:hanging="0"/>
        <w:jc w:val="left"/>
        <w:rPr/>
      </w:pPr>
      <w:r>
        <w:rPr/>
        <w:t>​</w:t>
      </w:r>
    </w:p>
    <w:tbl>
      <w:tblPr>
        <w:tblW w:w="4610" w:type="dxa"/>
        <w:jc w:val="left"/>
        <w:tblInd w:w="0" w:type="dxa"/>
        <w:tblLayout w:type="fixed"/>
        <w:tblCellMar>
          <w:top w:w="0" w:type="dxa"/>
          <w:left w:w="0" w:type="dxa"/>
          <w:bottom w:w="0" w:type="dxa"/>
          <w:right w:w="0" w:type="dxa"/>
        </w:tblCellMar>
      </w:tblPr>
      <w:tblGrid>
        <w:gridCol w:w="2251"/>
        <w:gridCol w:w="346"/>
        <w:gridCol w:w="781"/>
        <w:gridCol w:w="346"/>
        <w:gridCol w:w="88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429385" cy="175260"/>
                      <wp:effectExtent l="0" t="0" r="0" b="0"/>
                      <wp:wrapNone/>
                      <wp:docPr id="315" name="Frame310"/>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16"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95935" cy="175260"/>
                      <wp:effectExtent l="0" t="0" r="0" b="0"/>
                      <wp:wrapNone/>
                      <wp:docPr id="317" name="Frame3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18"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62610" cy="175260"/>
                      <wp:effectExtent l="0" t="0" r="0" b="0"/>
                      <wp:wrapNone/>
                      <wp:docPr id="319" name="Frame3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1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2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225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25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60"/>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60"/>
              <w:ind w:left="0" w:right="0" w:hanging="0"/>
              <w:jc w:val="right"/>
              <w:rPr/>
            </w:pPr>
            <w:r>
              <w:rPr/>
              <w:t>​</w:t>
            </w:r>
          </w:p>
        </w:tc>
      </w:tr>
      <w:tr>
        <w:trPr/>
        <w:tc>
          <w:tcPr>
            <w:tcW w:w="22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PRC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318,015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407,386</w:t>
            </w:r>
          </w:p>
        </w:tc>
      </w:tr>
      <w:tr>
        <w:trPr/>
        <w:tc>
          <w:tcPr>
            <w:tcW w:w="22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UK</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11,889</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31,127</w:t>
            </w:r>
          </w:p>
        </w:tc>
      </w:tr>
      <w:tr>
        <w:trPr/>
        <w:tc>
          <w:tcPr>
            <w:tcW w:w="22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European Union countries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15,832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21,963</w:t>
            </w:r>
          </w:p>
        </w:tc>
      </w:tr>
      <w:tr>
        <w:trPr/>
        <w:tc>
          <w:tcPr>
            <w:tcW w:w="225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345,736</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460,476</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Revenues segment information is included in Note 22.</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tbl>
      <w:tblPr>
        <w:tblW w:w="3632" w:type="dxa"/>
        <w:jc w:val="left"/>
        <w:tblInd w:w="0" w:type="dxa"/>
        <w:tblLayout w:type="fixed"/>
        <w:tblCellMar>
          <w:top w:w="0" w:type="dxa"/>
          <w:left w:w="0" w:type="dxa"/>
          <w:bottom w:w="0" w:type="dxa"/>
          <w:right w:w="0" w:type="dxa"/>
        </w:tblCellMar>
      </w:tblPr>
      <w:tblGrid>
        <w:gridCol w:w="421"/>
        <w:gridCol w:w="3211"/>
      </w:tblGrid>
      <w:tr>
        <w:trPr/>
        <w:tc>
          <w:tcPr>
            <w:tcW w:w="421" w:type="dxa"/>
            <w:tcBorders/>
            <w:vAlign w:val="center"/>
          </w:tcPr>
          <w:p>
            <w:pPr>
              <w:pStyle w:val="TableContents"/>
              <w:bidi w:val="0"/>
              <w:spacing w:lineRule="auto" w:line="285" w:before="0" w:after="240"/>
              <w:jc w:val="left"/>
              <w:rPr>
                <w:rFonts w:ascii="Times New Roman;Times;serif" w:hAnsi="Times New Roman;Times;serif"/>
                <w:b/>
                <w:i/>
                <w:sz w:val="20"/>
              </w:rPr>
            </w:pPr>
            <w:r>
              <w:rPr>
                <w:rFonts w:ascii="Times New Roman;Times;serif" w:hAnsi="Times New Roman;Times;serif"/>
                <w:b/>
                <w:i/>
                <w:sz w:val="20"/>
              </w:rPr>
              <w:t>(ee)</w:t>
            </w:r>
          </w:p>
        </w:tc>
        <w:tc>
          <w:tcPr>
            <w:tcW w:w="3211" w:type="dxa"/>
            <w:tcBorders/>
            <w:vAlign w:val="center"/>
          </w:tcPr>
          <w:p>
            <w:pPr>
              <w:pStyle w:val="TableContents"/>
              <w:bidi w:val="0"/>
              <w:spacing w:lineRule="auto" w:line="285" w:before="0" w:after="240"/>
              <w:jc w:val="left"/>
              <w:rPr/>
            </w:pPr>
            <w:r>
              <w:rPr/>
              <w:t> </w:t>
            </w:r>
            <w:r>
              <w:rPr>
                <w:rFonts w:ascii="Times New Roman;Times;serif" w:hAnsi="Times New Roman;Times;serif"/>
                <w:b/>
                <w:i/>
                <w:sz w:val="20"/>
              </w:rPr>
              <w:t>Recent Accounting Pronouncements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w:t>
      </w:r>
      <w:r>
        <w:rPr>
          <w:rFonts w:ascii="Times New Roman;Times;serif" w:hAnsi="Times New Roman;Times;serif"/>
          <w:sz w:val="20"/>
        </w:rPr>
        <w:t xml:space="preserve">: </w:t>
      </w:r>
      <w:r>
        <w:rPr>
          <w:rFonts w:ascii="Times New Roman;Times;serif" w:hAnsi="Times New Roman;Times;serif"/>
          <w:i/>
          <w:sz w:val="20"/>
        </w:rPr>
        <w:t>Improvements to Income Tax Disclosures</w:t>
      </w:r>
      <w:r>
        <w:rPr>
          <w:rFonts w:ascii="Times New Roman;Times;serif" w:hAnsi="Times New Roman;Times;serif"/>
          <w:sz w:val="20"/>
        </w:rPr>
        <w:t>, amending existing income tax disclosure guidance, primarily requiring more detailed disclosure for income taxes paid and the effective tax rate reconciliation. The ASU is effective for annual reporting periods beginning after December 15, 2025, with early adoption permitted and can be applied on either a prospective or retroactive basis. As the Group is an emerging growth company and elects to apply for the new and revised accounting standards at the effective date for a private company, the Group will adopt ASU 2023-09 for the fiscal year ending December 31, 2026. The Group is currently evaluating the potential impact of ASU 2023-09 on its consolidated financial statements and disclosures.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xml:space="preserve"> (“ASU 2024-03”). The intent of ASU 2024-03 is to improve financial statement disclosures regarding information about certain costs and expenses. Specifically, ASU 2024-03 requires the disaggregation of significant expenses within the income statement expense line items, including, but not limited to, purchases of inventory, employee compensation, depreciation, intangible asset amortization, and selling expenses, among others, as well as a qualitative description of the remaining amounts not separately disaggregated quantitatively. ASU 2024-03 is effective for annual fiscal years beginning after December 15, 2026, and interim periods within fiscal years beginning after December 15, 2027, with early adoption permitted. The amendments under ASU 2024-03 should be applied on a prospective basis, although retrospective application is permitted. The Group is currently evaluating the potential impact of ASU 2024-03 on its consolidated financial statements and disclosures.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July 2025, the FASB issued ASU 2025-05, Financial Instruments—Credit Losses (Topic 326): </w:t>
      </w:r>
      <w:r>
        <w:rPr>
          <w:rFonts w:ascii="Times New Roman;Times;serif" w:hAnsi="Times New Roman;Times;serif"/>
          <w:i/>
          <w:sz w:val="20"/>
        </w:rPr>
        <w:t>Measurement of Credit Losses for Accounts Receivable and Contract Assets</w:t>
      </w:r>
      <w:r>
        <w:rPr>
          <w:rFonts w:ascii="Times New Roman;Times;serif" w:hAnsi="Times New Roman;Times;serif"/>
          <w:sz w:val="20"/>
        </w:rPr>
        <w:t>, which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can elect a practical expedient to assume that the current conditions as of the balance sheet date will remain unchanged for the remaining life of the assets when estimating expected credit losses. The guidance is effective for annual fiscal years beginning after December 15, 2025, and interim reporting periods within those fiscal years. Early adoption is permitted. This ASU should be applied prospectively. The Group is currently evaluating the impact of this new standard on its consolidated financial statements and disclosures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December 2025, the FASB issued ASU No.2025-10, Government Grants (Topic 832): </w:t>
      </w:r>
      <w:r>
        <w:rPr>
          <w:rFonts w:ascii="Times New Roman;Times;serif" w:hAnsi="Times New Roman;Times;serif"/>
          <w:i/>
          <w:sz w:val="20"/>
        </w:rPr>
        <w:t>Accounting for Government Grants Received by Business Entities</w:t>
      </w:r>
      <w:r>
        <w:rPr>
          <w:rFonts w:ascii="Times New Roman;Times;serif" w:hAnsi="Times New Roman;Times;serif"/>
          <w:sz w:val="20"/>
        </w:rPr>
        <w:t>, which provides further guidance on accounting treatment for government grants. The guidance is effective for annual reporting periods beginning after December 15, 2028, and interim reporting periods within those annual reporting periods either prospectively or retrospectively. The Group is currently evaluating the potential impact of ASU 2025-10 on its consolidated financial statements and disclosures.</w:t>
      </w:r>
    </w:p>
    <w:p>
      <w:pPr>
        <w:pStyle w:val="Normal"/>
        <w:bidi w:val="0"/>
        <w:spacing w:before="0" w:after="0"/>
        <w:jc w:val="left"/>
        <w:rPr>
          <w:sz w:val="4"/>
          <w:szCs w:val="4"/>
        </w:rPr>
      </w:pPr>
      <w:r>
        <w:rPr>
          <w:sz w:val="4"/>
          <w:szCs w:val="4"/>
        </w:rPr>
      </w:r>
      <w:bookmarkStart w:id="1719" w:name="Tc_XVYMbm9k_0aCqDIX41CH6w_6_0"/>
      <w:bookmarkStart w:id="1720" w:name="Tc_kPi8ynsd-UuwiK8ZWkdYKA_5_0"/>
      <w:bookmarkStart w:id="1721" w:name="Tc_lY7NHVYSREe5EAlH_x005F_xF8EA_4_0"/>
      <w:bookmarkStart w:id="1722" w:name="Tc_RgOp2W21_kWwBlYjeX1Gzw_3_4"/>
      <w:bookmarkStart w:id="1723" w:name="Tc_we7mlDDXwECwjfu-gPVTfQ_3_2"/>
      <w:bookmarkStart w:id="1724" w:name="Tc_5YSoPfHui0qjyKOkcZqDMg_2_4"/>
      <w:bookmarkStart w:id="1725" w:name="Tc_Z7UeppBIe06Re0JuUUhxlg_2_2"/>
      <w:bookmarkStart w:id="1726" w:name="Tc_IaQh9JR_3Ee-Kn-Yz1kkdQ_1_2"/>
      <w:bookmarkStart w:id="1727" w:name="Tc_XVYMbm9k_0aCqDIX41CH6w_6_0"/>
      <w:bookmarkStart w:id="1728" w:name="Tc_kPi8ynsd-UuwiK8ZWkdYKA_5_0"/>
      <w:bookmarkStart w:id="1729" w:name="Tc_lY7NHVYSREe5EAlH_x005F_xF8EA_4_0"/>
      <w:bookmarkStart w:id="1730" w:name="Tc_RgOp2W21_kWwBlYjeX1Gzw_3_4"/>
      <w:bookmarkStart w:id="1731" w:name="Tc_we7mlDDXwECwjfu-gPVTfQ_3_2"/>
      <w:bookmarkStart w:id="1732" w:name="Tc_5YSoPfHui0qjyKOkcZqDMg_2_4"/>
      <w:bookmarkStart w:id="1733" w:name="Tc_Z7UeppBIe06Re0JuUUhxlg_2_2"/>
      <w:bookmarkStart w:id="1734" w:name="Tc_IaQh9JR_3Ee-Kn-Yz1kkdQ_1_2"/>
      <w:bookmarkEnd w:id="1727"/>
      <w:bookmarkEnd w:id="1728"/>
      <w:bookmarkEnd w:id="1729"/>
      <w:bookmarkEnd w:id="1730"/>
      <w:bookmarkEnd w:id="1731"/>
      <w:bookmarkEnd w:id="1732"/>
      <w:bookmarkEnd w:id="1733"/>
      <w:bookmarkEnd w:id="1734"/>
    </w:p>
    <w:tbl>
      <w:tblPr>
        <w:tblW w:w="4982" w:type="dxa"/>
        <w:jc w:val="left"/>
        <w:tblInd w:w="0" w:type="dxa"/>
        <w:tblLayout w:type="fixed"/>
        <w:tblCellMar>
          <w:top w:w="0" w:type="dxa"/>
          <w:left w:w="0" w:type="dxa"/>
          <w:bottom w:w="0" w:type="dxa"/>
          <w:right w:w="0" w:type="dxa"/>
        </w:tblCellMar>
      </w:tblPr>
      <w:tblGrid>
        <w:gridCol w:w="271"/>
        <w:gridCol w:w="4711"/>
      </w:tblGrid>
      <w:tr>
        <w:trPr/>
        <w:tc>
          <w:tcPr>
            <w:tcW w:w="271"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3.</w:t>
            </w:r>
          </w:p>
        </w:tc>
        <w:tc>
          <w:tcPr>
            <w:tcW w:w="4711" w:type="dxa"/>
            <w:tcBorders/>
            <w:vAlign w:val="center"/>
          </w:tcPr>
          <w:p>
            <w:pPr>
              <w:pStyle w:val="TableContents"/>
              <w:bidi w:val="0"/>
              <w:spacing w:lineRule="auto" w:line="285" w:before="0" w:after="0"/>
              <w:jc w:val="both"/>
              <w:rPr>
                <w:rFonts w:ascii="Times New Roman;Times;serif" w:hAnsi="Times New Roman;Times;serif"/>
                <w:b/>
                <w:sz w:val="20"/>
              </w:rPr>
            </w:pPr>
            <w:r>
              <w:rPr>
                <w:rFonts w:ascii="Times New Roman;Times;serif" w:hAnsi="Times New Roman;Times;serif"/>
                <w:b/>
                <w:sz w:val="20"/>
              </w:rPr>
              <w:t>ACCOUNTS RECEIVABLE - THIRD PARTIES, NET</w:t>
            </w:r>
          </w:p>
        </w:tc>
      </w:tr>
    </w:tbl>
    <w:p>
      <w:pPr>
        <w:pStyle w:val="TextBody"/>
        <w:pBdr/>
        <w:bidi w:val="0"/>
        <w:spacing w:lineRule="auto" w:line="307" w:before="0" w:after="200"/>
        <w:ind w:left="0" w:right="0" w:hanging="36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Accounts receivable – third parties, net consisted of the following:</w:t>
      </w:r>
    </w:p>
    <w:p>
      <w:pPr>
        <w:pStyle w:val="TextBody"/>
        <w:bidi w:val="0"/>
        <w:spacing w:lineRule="auto" w:line="307" w:before="0" w:after="160"/>
        <w:ind w:left="0" w:right="0" w:hanging="0"/>
        <w:jc w:val="left"/>
        <w:rPr/>
      </w:pPr>
      <w:r>
        <w:rPr/>
        <w:t>​</w:t>
      </w:r>
    </w:p>
    <w:tbl>
      <w:tblPr>
        <w:tblW w:w="5060" w:type="dxa"/>
        <w:jc w:val="left"/>
        <w:tblInd w:w="0" w:type="dxa"/>
        <w:tblLayout w:type="fixed"/>
        <w:tblCellMar>
          <w:top w:w="0" w:type="dxa"/>
          <w:left w:w="0" w:type="dxa"/>
          <w:bottom w:w="0" w:type="dxa"/>
          <w:right w:w="0" w:type="dxa"/>
        </w:tblCellMar>
      </w:tblPr>
      <w:tblGrid>
        <w:gridCol w:w="2806"/>
        <w:gridCol w:w="346"/>
        <w:gridCol w:w="676"/>
        <w:gridCol w:w="346"/>
        <w:gridCol w:w="886"/>
      </w:tblGrid>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0"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29260" cy="175260"/>
                      <wp:effectExtent l="0" t="0" r="0" b="0"/>
                      <wp:wrapNone/>
                      <wp:docPr id="321" name="Frame3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2"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62610" cy="175260"/>
                      <wp:effectExtent l="0" t="0" r="0" b="0"/>
                      <wp:wrapNone/>
                      <wp:docPr id="323" name="Frame31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90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right"/>
              <w:rPr/>
            </w:pPr>
            <w:r>
              <w:rPr/>
              <w:t>  ​ ​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2806" w:type="dxa"/>
            <w:tcBorders/>
            <w:vAlign w:val="center"/>
          </w:tcPr>
          <w:p>
            <w:pPr>
              <w:pStyle w:val="TableContents"/>
              <w:bidi w:val="0"/>
              <w:spacing w:lineRule="auto" w:line="307" w:before="0" w:after="160"/>
              <w:ind w:left="0" w:right="0" w:hanging="0"/>
              <w:jc w:val="both"/>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pPr>
            <w:r>
              <w:rPr/>
              <w:t xml:space="preserve">  </w:t>
            </w: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righ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80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Accounts receivable-third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37,603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120,631</w:t>
            </w:r>
          </w:p>
        </w:tc>
      </w:tr>
      <w:tr>
        <w:trPr/>
        <w:tc>
          <w:tcPr>
            <w:tcW w:w="280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(3,555)</w:t>
            </w:r>
          </w:p>
        </w:tc>
      </w:tr>
      <w:tr>
        <w:trPr/>
        <w:tc>
          <w:tcPr>
            <w:tcW w:w="280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36,850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117,076</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Provisions of allowance for credit losses recognized in general and administrative expenses were reversal of US$2,906 and accrual of US$3,219 and US$374 for the years ended December 31, 2025, 2024 and 2023, respectively.</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735" w:name="Tc_SK2_UGVmo0aVQaUTKJvylA_8_0"/>
      <w:bookmarkStart w:id="1736" w:name="Tc_DEwouIx9xEGswd5u6u9FQQ_7_0"/>
      <w:bookmarkStart w:id="1737" w:name="Tc_XuPounu7rUS9ftjz3rNy7g_6_0"/>
      <w:bookmarkStart w:id="1738" w:name="Tc_rsJE7Ic-x0-BYqaXEWb96g_5_0"/>
      <w:bookmarkStart w:id="1739" w:name="Tc_FVc0GGmhGkSNLuzdBW-6oQ_4_0"/>
      <w:bookmarkStart w:id="1740" w:name="Tc_99-HFv0U8kmCD9n_b_BeEA_3_4"/>
      <w:bookmarkStart w:id="1741" w:name="Tc_ZR4-RqMnr0q7kgx_B2IASA_3_2"/>
      <w:bookmarkStart w:id="1742" w:name="Tc_3YoPE0T8SEGpJ5uLpiaYxw_2_4"/>
      <w:bookmarkStart w:id="1743" w:name="Tc_pcNEBZKUwkGll1csWz_Rzw_2_2"/>
      <w:bookmarkStart w:id="1744" w:name="Tc_Uxz6l64xsU2ApowRiRrbeg_1_2"/>
      <w:bookmarkStart w:id="1745" w:name="Tc_SK2_UGVmo0aVQaUTKJvylA_8_0"/>
      <w:bookmarkStart w:id="1746" w:name="Tc_DEwouIx9xEGswd5u6u9FQQ_7_0"/>
      <w:bookmarkStart w:id="1747" w:name="Tc_XuPounu7rUS9ftjz3rNy7g_6_0"/>
      <w:bookmarkStart w:id="1748" w:name="Tc_rsJE7Ic-x0-BYqaXEWb96g_5_0"/>
      <w:bookmarkStart w:id="1749" w:name="Tc_FVc0GGmhGkSNLuzdBW-6oQ_4_0"/>
      <w:bookmarkStart w:id="1750" w:name="Tc_99-HFv0U8kmCD9n_b_BeEA_3_4"/>
      <w:bookmarkStart w:id="1751" w:name="Tc_ZR4-RqMnr0q7kgx_B2IASA_3_2"/>
      <w:bookmarkStart w:id="1752" w:name="Tc_3YoPE0T8SEGpJ5uLpiaYxw_2_4"/>
      <w:bookmarkStart w:id="1753" w:name="Tc_pcNEBZKUwkGll1csWz_Rzw_2_2"/>
      <w:bookmarkStart w:id="1754" w:name="Tc_Uxz6l64xsU2ApowRiRrbeg_1_2"/>
      <w:bookmarkEnd w:id="1745"/>
      <w:bookmarkEnd w:id="1746"/>
      <w:bookmarkEnd w:id="1747"/>
      <w:bookmarkEnd w:id="1748"/>
      <w:bookmarkEnd w:id="1749"/>
      <w:bookmarkEnd w:id="1750"/>
      <w:bookmarkEnd w:id="1751"/>
      <w:bookmarkEnd w:id="1752"/>
      <w:bookmarkEnd w:id="1753"/>
      <w:bookmarkEnd w:id="1754"/>
    </w:p>
    <w:tbl>
      <w:tblPr>
        <w:tblW w:w="1772" w:type="dxa"/>
        <w:jc w:val="left"/>
        <w:tblInd w:w="0" w:type="dxa"/>
        <w:tblLayout w:type="fixed"/>
        <w:tblCellMar>
          <w:top w:w="0" w:type="dxa"/>
          <w:left w:w="0" w:type="dxa"/>
          <w:bottom w:w="0" w:type="dxa"/>
          <w:right w:w="0" w:type="dxa"/>
        </w:tblCellMar>
      </w:tblPr>
      <w:tblGrid>
        <w:gridCol w:w="271"/>
        <w:gridCol w:w="150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4.</w:t>
            </w:r>
          </w:p>
        </w:tc>
        <w:tc>
          <w:tcPr>
            <w:tcW w:w="15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Inventories consisted of the following:</w:t>
      </w:r>
    </w:p>
    <w:p>
      <w:pPr>
        <w:pStyle w:val="TextBody"/>
        <w:bidi w:val="0"/>
        <w:spacing w:lineRule="auto" w:line="307" w:before="0" w:after="160"/>
        <w:ind w:left="0" w:right="0" w:hanging="0"/>
        <w:jc w:val="both"/>
        <w:rPr/>
      </w:pPr>
      <w:r>
        <w:rPr/>
        <w:t>​</w:t>
      </w:r>
    </w:p>
    <w:tbl>
      <w:tblPr>
        <w:tblW w:w="4610" w:type="dxa"/>
        <w:jc w:val="left"/>
        <w:tblInd w:w="0" w:type="dxa"/>
        <w:tblLayout w:type="fixed"/>
        <w:tblCellMar>
          <w:top w:w="0" w:type="dxa"/>
          <w:left w:w="0" w:type="dxa"/>
          <w:bottom w:w="0" w:type="dxa"/>
          <w:right w:w="0" w:type="dxa"/>
        </w:tblCellMar>
      </w:tblPr>
      <w:tblGrid>
        <w:gridCol w:w="2251"/>
        <w:gridCol w:w="346"/>
        <w:gridCol w:w="781"/>
        <w:gridCol w:w="346"/>
        <w:gridCol w:w="88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429385" cy="175260"/>
                      <wp:effectExtent l="0" t="0" r="0" b="0"/>
                      <wp:wrapNone/>
                      <wp:docPr id="324" name="Frame319"/>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25"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95935" cy="175260"/>
                      <wp:effectExtent l="0" t="0" r="0" b="0"/>
                      <wp:wrapNone/>
                      <wp:docPr id="326" name="Frame3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27"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62610" cy="175260"/>
                      <wp:effectExtent l="0" t="0" r="0" b="0"/>
                      <wp:wrapNone/>
                      <wp:docPr id="328" name="Frame3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01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2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22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2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Products available for sale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112,235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179,905</w:t>
            </w:r>
          </w:p>
        </w:tc>
      </w:tr>
      <w:tr>
        <w:trPr/>
        <w:tc>
          <w:tcPr>
            <w:tcW w:w="22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Goods in transit</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7,589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7,763</w:t>
            </w:r>
          </w:p>
        </w:tc>
      </w:tr>
      <w:tr>
        <w:trPr/>
        <w:tc>
          <w:tcPr>
            <w:tcW w:w="22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828</w:t>
            </w:r>
          </w:p>
        </w:tc>
      </w:tr>
      <w:tr>
        <w:trPr/>
        <w:tc>
          <w:tcPr>
            <w:tcW w:w="22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Work-in-progress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22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121,361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188,582</w:t>
            </w:r>
          </w:p>
        </w:tc>
      </w:tr>
    </w:tbl>
    <w:p>
      <w:pPr>
        <w:pStyle w:val="TextBody"/>
        <w:bidi w:val="0"/>
        <w:spacing w:lineRule="auto" w:line="307" w:before="0" w:after="20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Inventories write-downs recognized in cost of revenues for the years ended December 31, 2025, 2024 and 2023 were US$8,752, US$25,902 and US$1,668, respectively.</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Inventories of nil and US$1,243 were pledged for other short-term financing arrangements (Note 10) as of December 31, 2025 and 2024, respectively.</w:t>
      </w:r>
    </w:p>
    <w:p>
      <w:pPr>
        <w:pStyle w:val="TextBody"/>
        <w:bidi w:val="0"/>
        <w:spacing w:lineRule="auto" w:line="307" w:before="0" w:after="200"/>
        <w:ind w:left="0" w:right="0" w:hanging="0"/>
        <w:jc w:val="both"/>
        <w:rPr/>
      </w:pPr>
      <w:r>
        <w:rPr/>
        <w:t>​</w:t>
      </w:r>
    </w:p>
    <w:p>
      <w:pPr>
        <w:pStyle w:val="Normal"/>
        <w:bidi w:val="0"/>
        <w:spacing w:before="0" w:after="0"/>
        <w:jc w:val="left"/>
        <w:rPr>
          <w:sz w:val="4"/>
          <w:szCs w:val="4"/>
        </w:rPr>
      </w:pPr>
      <w:r>
        <w:rPr>
          <w:sz w:val="4"/>
          <w:szCs w:val="4"/>
        </w:rPr>
      </w:r>
      <w:bookmarkStart w:id="1755" w:name="Tc_i6mIWJTaRUG9lUAPS5oTqA_11_0"/>
      <w:bookmarkStart w:id="1756" w:name="Tc_4-bI4MDR70qXfje56tIwhA_10_0"/>
      <w:bookmarkStart w:id="1757" w:name="Tc_Ygi4xzwPRUC7bKMnxJZYCg_9_0"/>
      <w:bookmarkStart w:id="1758" w:name="Tc_BvsZw_q-XEOwaWss0G1iFw_8_0"/>
      <w:bookmarkStart w:id="1759" w:name="Tc_WPOEDXS7eEuQ5owReI824g_7_0"/>
      <w:bookmarkStart w:id="1760" w:name="Tc_8qXIe9wps0iHKhszOlNBWQ_6_0"/>
      <w:bookmarkStart w:id="1761" w:name="Tc_TL7d84b1XEKw6srysONF4Q_5_0"/>
      <w:bookmarkStart w:id="1762" w:name="Tc_dgxcx-0iGEyoFvqNYP6X-g_4_0"/>
      <w:bookmarkStart w:id="1763" w:name="Tc_IAn0dH5nMEOHZwOBBFgN4g_3_4"/>
      <w:bookmarkStart w:id="1764" w:name="Tc_a8_x2s0qiUeWoyicw2g9Xg_3_2"/>
      <w:bookmarkStart w:id="1765" w:name="Tc_3HCVSoBloEe4rU-JKdieqQ_2_4"/>
      <w:bookmarkStart w:id="1766" w:name="Tc_Esy_yUH4MUKHK54izQINxw_2_2"/>
      <w:bookmarkStart w:id="1767" w:name="Tc_00vYKsK9o06FOr44Fks3Ag_1_2"/>
      <w:bookmarkStart w:id="1768" w:name="Tc_i6mIWJTaRUG9lUAPS5oTqA_11_0"/>
      <w:bookmarkStart w:id="1769" w:name="Tc_4-bI4MDR70qXfje56tIwhA_10_0"/>
      <w:bookmarkStart w:id="1770" w:name="Tc_Ygi4xzwPRUC7bKMnxJZYCg_9_0"/>
      <w:bookmarkStart w:id="1771" w:name="Tc_BvsZw_q-XEOwaWss0G1iFw_8_0"/>
      <w:bookmarkStart w:id="1772" w:name="Tc_WPOEDXS7eEuQ5owReI824g_7_0"/>
      <w:bookmarkStart w:id="1773" w:name="Tc_8qXIe9wps0iHKhszOlNBWQ_6_0"/>
      <w:bookmarkStart w:id="1774" w:name="Tc_TL7d84b1XEKw6srysONF4Q_5_0"/>
      <w:bookmarkStart w:id="1775" w:name="Tc_dgxcx-0iGEyoFvqNYP6X-g_4_0"/>
      <w:bookmarkStart w:id="1776" w:name="Tc_IAn0dH5nMEOHZwOBBFgN4g_3_4"/>
      <w:bookmarkStart w:id="1777" w:name="Tc_a8_x2s0qiUeWoyicw2g9Xg_3_2"/>
      <w:bookmarkStart w:id="1778" w:name="Tc_3HCVSoBloEe4rU-JKdieqQ_2_4"/>
      <w:bookmarkStart w:id="1779" w:name="Tc_Esy_yUH4MUKHK54izQINxw_2_2"/>
      <w:bookmarkStart w:id="1780" w:name="Tc_00vYKsK9o06FOr44Fks3Ag_1_2"/>
      <w:bookmarkEnd w:id="1768"/>
      <w:bookmarkEnd w:id="1769"/>
      <w:bookmarkEnd w:id="1770"/>
      <w:bookmarkEnd w:id="1771"/>
      <w:bookmarkEnd w:id="1772"/>
      <w:bookmarkEnd w:id="1773"/>
      <w:bookmarkEnd w:id="1774"/>
      <w:bookmarkEnd w:id="1775"/>
      <w:bookmarkEnd w:id="1776"/>
      <w:bookmarkEnd w:id="1777"/>
      <w:bookmarkEnd w:id="1778"/>
      <w:bookmarkEnd w:id="1779"/>
      <w:bookmarkEnd w:id="1780"/>
    </w:p>
    <w:tbl>
      <w:tblPr>
        <w:tblW w:w="6647" w:type="dxa"/>
        <w:jc w:val="left"/>
        <w:tblInd w:w="0" w:type="dxa"/>
        <w:tblLayout w:type="fixed"/>
        <w:tblCellMar>
          <w:top w:w="0" w:type="dxa"/>
          <w:left w:w="0" w:type="dxa"/>
          <w:bottom w:w="0" w:type="dxa"/>
          <w:right w:w="0" w:type="dxa"/>
        </w:tblCellMar>
      </w:tblPr>
      <w:tblGrid>
        <w:gridCol w:w="271"/>
        <w:gridCol w:w="6376"/>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5.</w:t>
            </w:r>
          </w:p>
        </w:tc>
        <w:tc>
          <w:tcPr>
            <w:tcW w:w="6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PREPAYMENTS AND OTHER CURRENT ASSETS — THIRD PARTIES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Prepayments and other current assets — third parties consisted of the following:</w:t>
      </w:r>
    </w:p>
    <w:p>
      <w:pPr>
        <w:pStyle w:val="TextBody"/>
        <w:bidi w:val="0"/>
        <w:spacing w:lineRule="auto" w:line="307" w:before="0" w:after="160"/>
        <w:ind w:left="0" w:right="0" w:hanging="0"/>
        <w:jc w:val="both"/>
        <w:rPr/>
      </w:pPr>
      <w:r>
        <w:rPr/>
        <w:t>​</w:t>
      </w:r>
    </w:p>
    <w:tbl>
      <w:tblPr>
        <w:tblW w:w="5210" w:type="dxa"/>
        <w:jc w:val="left"/>
        <w:tblInd w:w="0" w:type="dxa"/>
        <w:tblLayout w:type="fixed"/>
        <w:tblCellMar>
          <w:top w:w="0" w:type="dxa"/>
          <w:left w:w="0" w:type="dxa"/>
          <w:bottom w:w="0" w:type="dxa"/>
          <w:right w:w="0" w:type="dxa"/>
        </w:tblCellMar>
      </w:tblPr>
      <w:tblGrid>
        <w:gridCol w:w="3061"/>
        <w:gridCol w:w="346"/>
        <w:gridCol w:w="676"/>
        <w:gridCol w:w="346"/>
        <w:gridCol w:w="781"/>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943735" cy="175260"/>
                      <wp:effectExtent l="0" t="0" r="0" b="0"/>
                      <wp:wrapNone/>
                      <wp:docPr id="329" name="Frame324"/>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0"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29260" cy="175260"/>
                      <wp:effectExtent l="0" t="0" r="0" b="0"/>
                      <wp:wrapNone/>
                      <wp:docPr id="331" name="Frame3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2"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5935" cy="175260"/>
                      <wp:effectExtent l="0" t="0" r="0" b="0"/>
                      <wp:wrapNone/>
                      <wp:docPr id="333" name="Frame3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80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0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0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Deductible VAT</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46,287</w:t>
            </w:r>
          </w:p>
        </w:tc>
        <w:tc>
          <w:tcPr>
            <w:tcW w:w="346" w:type="dxa"/>
            <w:tcBorders/>
            <w:shd w:fill="CCEEFF" w:val="clear"/>
            <w:vAlign w:val="center"/>
          </w:tcPr>
          <w:p>
            <w:pPr>
              <w:pStyle w:val="TableContents"/>
              <w:bidi w:val="0"/>
              <w:spacing w:lineRule="auto" w:line="307" w:before="0" w:after="160"/>
              <w:ind w:left="0" w:right="0" w:hanging="0"/>
              <w:jc w:val="center"/>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34,523</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Prepayments to third-party suppliers</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16,554</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20,903</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Contract costs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3,492</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2,726</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3,417</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4,721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5,130</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4,727</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5,222</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Less: Allowance for credit losses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77,570</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72,541</w:t>
            </w:r>
          </w:p>
        </w:tc>
      </w:tr>
    </w:tbl>
    <w:p>
      <w:pPr>
        <w:pStyle w:val="TextBody"/>
        <w:bidi w:val="0"/>
        <w:spacing w:lineRule="auto" w:line="307" w:before="0" w:after="160"/>
        <w:ind w:left="0" w:right="0" w:hanging="0"/>
        <w:jc w:val="left"/>
        <w:rPr/>
      </w:pPr>
      <w:r>
        <w:rPr/>
        <w:t>​</w:t>
      </w:r>
    </w:p>
    <w:p>
      <w:pPr>
        <w:pStyle w:val="TextBody"/>
        <w:bidi w:val="0"/>
        <w:spacing w:lineRule="auto" w:line="307" w:before="0" w:after="20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781" w:name="Tc_bYvtV8cE1ES7o4_rkxfCoQ_8_0"/>
      <w:bookmarkStart w:id="1782" w:name="Tc_TboA-1DM5UemkqGTDBfn6g_7_0"/>
      <w:bookmarkStart w:id="1783" w:name="Tc_ramdruxoakqigecQlLJWzg_6_0"/>
      <w:bookmarkStart w:id="1784" w:name="Tc_hukRnPPdgUOXw_O_ZWNJoQ_5_0"/>
      <w:bookmarkStart w:id="1785" w:name="Tc_5SBSmA1eMkKo8ziw72jp9Q_4_0"/>
      <w:bookmarkStart w:id="1786" w:name="Tc_EbBGdtGWB0W-qKikqpzxwQ_3_6"/>
      <w:bookmarkStart w:id="1787" w:name="Tc_-TkTNVpxQke4ScsqFwQ_lw_3_4"/>
      <w:bookmarkStart w:id="1788" w:name="Tc_GLi3xDCEVUuA5U8WI62k-g_3_2"/>
      <w:bookmarkStart w:id="1789" w:name="Tc_AfXI3oGltE2kYJfQDySEHQ_2_6"/>
      <w:bookmarkStart w:id="1790" w:name="Tc_sIo0ETwf-Eiw4aYK3F6Bag_2_4"/>
      <w:bookmarkStart w:id="1791" w:name="Tc_rbIeJANb50CYpxAIUWLhHA_2_2"/>
      <w:bookmarkStart w:id="1792" w:name="Tc_Z1YrfPvFuUerHPB_1Mtomg_1_2"/>
      <w:bookmarkStart w:id="1793" w:name="Tc_WsfcQzKu2kuihOkh6QQneA_14_0"/>
      <w:bookmarkStart w:id="1794" w:name="Tc_5-rjav8vtkaXd1WSHKTQ7w_13_0"/>
      <w:bookmarkStart w:id="1795" w:name="Tc_AzHWqYn9LUKxSu8HEGWYIw_12_0"/>
      <w:bookmarkStart w:id="1796" w:name="Tc_WuAmXEUF6kaNf-tuGw4i9w_11_0"/>
      <w:bookmarkStart w:id="1797" w:name="Tc_tMpwc41k-kWM6LlfCyqZlg_10_0"/>
      <w:bookmarkStart w:id="1798" w:name="Tc_y5exGbegeEK37DncXGij8w_9_0"/>
      <w:bookmarkStart w:id="1799" w:name="Tc_UDHRS_S1p0CLov-UTCj46g_8_0"/>
      <w:bookmarkStart w:id="1800" w:name="Tc_VD2CvXHE4UGuZVee47ZzEg_7_0"/>
      <w:bookmarkStart w:id="1801" w:name="Tc_aLqU0KTAjki28lpH4EEhqw_6_0"/>
      <w:bookmarkStart w:id="1802" w:name="Tc_nyP_-PfVPUKv6AyrExhs4g_5_0"/>
      <w:bookmarkStart w:id="1803" w:name="Tc_FBL4YvGc2ke1g1oylEZxew_4_0"/>
      <w:bookmarkStart w:id="1804" w:name="Tc_5DDI0aiMhUCqX9bvrSAslg_3_4"/>
      <w:bookmarkStart w:id="1805" w:name="Tc_wXBLwK3x-E6RE5AaaY95_g_3_2"/>
      <w:bookmarkStart w:id="1806" w:name="Tc_1T_y3x0VcUeWPqyQyrU_xg_2_4"/>
      <w:bookmarkStart w:id="1807" w:name="Tc_c9MoohNXbkGDr5gMhR0ZkQ_2_2"/>
      <w:bookmarkStart w:id="1808" w:name="Tc_JAvQDElEz0SFTC_I-Ll2MA_1_2"/>
      <w:bookmarkStart w:id="1809" w:name="_31d8e949_28fb_4a68_bee1_fc00bb6b2e6e"/>
      <w:bookmarkStart w:id="1810" w:name="Tc_bYvtV8cE1ES7o4_rkxfCoQ_8_0"/>
      <w:bookmarkStart w:id="1811" w:name="Tc_TboA-1DM5UemkqGTDBfn6g_7_0"/>
      <w:bookmarkStart w:id="1812" w:name="Tc_ramdruxoakqigecQlLJWzg_6_0"/>
      <w:bookmarkStart w:id="1813" w:name="Tc_hukRnPPdgUOXw_O_ZWNJoQ_5_0"/>
      <w:bookmarkStart w:id="1814" w:name="Tc_5SBSmA1eMkKo8ziw72jp9Q_4_0"/>
      <w:bookmarkStart w:id="1815" w:name="Tc_EbBGdtGWB0W-qKikqpzxwQ_3_6"/>
      <w:bookmarkStart w:id="1816" w:name="Tc_-TkTNVpxQke4ScsqFwQ_lw_3_4"/>
      <w:bookmarkStart w:id="1817" w:name="Tc_GLi3xDCEVUuA5U8WI62k-g_3_2"/>
      <w:bookmarkStart w:id="1818" w:name="Tc_AfXI3oGltE2kYJfQDySEHQ_2_6"/>
      <w:bookmarkStart w:id="1819" w:name="Tc_sIo0ETwf-Eiw4aYK3F6Bag_2_4"/>
      <w:bookmarkStart w:id="1820" w:name="Tc_rbIeJANb50CYpxAIUWLhHA_2_2"/>
      <w:bookmarkStart w:id="1821" w:name="Tc_Z1YrfPvFuUerHPB_1Mtomg_1_2"/>
      <w:bookmarkStart w:id="1822" w:name="Tc_WsfcQzKu2kuihOkh6QQneA_14_0"/>
      <w:bookmarkStart w:id="1823" w:name="Tc_5-rjav8vtkaXd1WSHKTQ7w_13_0"/>
      <w:bookmarkStart w:id="1824" w:name="Tc_AzHWqYn9LUKxSu8HEGWYIw_12_0"/>
      <w:bookmarkStart w:id="1825" w:name="Tc_WuAmXEUF6kaNf-tuGw4i9w_11_0"/>
      <w:bookmarkStart w:id="1826" w:name="Tc_tMpwc41k-kWM6LlfCyqZlg_10_0"/>
      <w:bookmarkStart w:id="1827" w:name="Tc_y5exGbegeEK37DncXGij8w_9_0"/>
      <w:bookmarkStart w:id="1828" w:name="Tc_UDHRS_S1p0CLov-UTCj46g_8_0"/>
      <w:bookmarkStart w:id="1829" w:name="Tc_VD2CvXHE4UGuZVee47ZzEg_7_0"/>
      <w:bookmarkStart w:id="1830" w:name="Tc_aLqU0KTAjki28lpH4EEhqw_6_0"/>
      <w:bookmarkStart w:id="1831" w:name="Tc_nyP_-PfVPUKv6AyrExhs4g_5_0"/>
      <w:bookmarkStart w:id="1832" w:name="Tc_FBL4YvGc2ke1g1oylEZxew_4_0"/>
      <w:bookmarkStart w:id="1833" w:name="Tc_5DDI0aiMhUCqX9bvrSAslg_3_4"/>
      <w:bookmarkStart w:id="1834" w:name="Tc_wXBLwK3x-E6RE5AaaY95_g_3_2"/>
      <w:bookmarkStart w:id="1835" w:name="Tc_1T_y3x0VcUeWPqyQyrU_xg_2_4"/>
      <w:bookmarkStart w:id="1836" w:name="Tc_c9MoohNXbkGDr5gMhR0ZkQ_2_2"/>
      <w:bookmarkStart w:id="1837" w:name="Tc_JAvQDElEz0SFTC_I-Ll2MA_1_2"/>
      <w:bookmarkStart w:id="1838" w:name="_31d8e949_28fb_4a68_bee1_fc00bb6b2e6e"/>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p>
    <w:tbl>
      <w:tblPr>
        <w:tblW w:w="4877" w:type="dxa"/>
        <w:jc w:val="left"/>
        <w:tblInd w:w="0" w:type="dxa"/>
        <w:tblLayout w:type="fixed"/>
        <w:tblCellMar>
          <w:top w:w="0" w:type="dxa"/>
          <w:left w:w="0" w:type="dxa"/>
          <w:bottom w:w="0" w:type="dxa"/>
          <w:right w:w="0" w:type="dxa"/>
        </w:tblCellMar>
      </w:tblPr>
      <w:tblGrid>
        <w:gridCol w:w="271"/>
        <w:gridCol w:w="4606"/>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6.</w:t>
            </w:r>
          </w:p>
        </w:tc>
        <w:tc>
          <w:tcPr>
            <w:tcW w:w="460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PROPERTY, EQUIPMENT AND SOFTWARE, NET</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Property, equipment and software, net, consisted of the following:</w:t>
      </w:r>
    </w:p>
    <w:p>
      <w:pPr>
        <w:pStyle w:val="TextBody"/>
        <w:bidi w:val="0"/>
        <w:spacing w:lineRule="auto" w:line="307" w:before="0" w:after="160"/>
        <w:ind w:left="0" w:right="0" w:hanging="0"/>
        <w:jc w:val="both"/>
        <w:rPr/>
      </w:pPr>
      <w:r>
        <w:rPr/>
        <w:t>​</w:t>
      </w:r>
    </w:p>
    <w:tbl>
      <w:tblPr>
        <w:tblW w:w="5870" w:type="dxa"/>
        <w:jc w:val="left"/>
        <w:tblInd w:w="0" w:type="dxa"/>
        <w:tblLayout w:type="fixed"/>
        <w:tblCellMar>
          <w:top w:w="0" w:type="dxa"/>
          <w:left w:w="0" w:type="dxa"/>
          <w:bottom w:w="0" w:type="dxa"/>
          <w:right w:w="0" w:type="dxa"/>
        </w:tblCellMar>
      </w:tblPr>
      <w:tblGrid>
        <w:gridCol w:w="3331"/>
        <w:gridCol w:w="346"/>
        <w:gridCol w:w="901"/>
        <w:gridCol w:w="346"/>
        <w:gridCol w:w="94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15185" cy="175260"/>
                      <wp:effectExtent l="0" t="0" r="0" b="0"/>
                      <wp:wrapNone/>
                      <wp:docPr id="334" name="Frame329"/>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35"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72135" cy="175260"/>
                      <wp:effectExtent l="0" t="0" r="0" b="0"/>
                      <wp:wrapNone/>
                      <wp:docPr id="336" name="Frame33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37"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00710" cy="175260"/>
                      <wp:effectExtent l="0" t="0" r="0" b="0"/>
                      <wp:wrapNone/>
                      <wp:docPr id="338" name="Frame3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19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3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Buildings and facilities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22,617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8,354</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Machinery and R&amp;D equipment</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21,361</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30,010</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Molds and tooling</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124,378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140,689</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23,222</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43,980</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Office and electronic equipment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29,045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28,412</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64,321</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73,342</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31,201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47,467</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Property, equipment and software</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316,145</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372,254</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(156,686)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(122,905)</w:t>
            </w:r>
          </w:p>
        </w:tc>
      </w:tr>
      <w:tr>
        <w:trPr/>
        <w:tc>
          <w:tcPr>
            <w:tcW w:w="33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 (i)</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67,432</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67,098</w:t>
            </w:r>
          </w:p>
        </w:tc>
      </w:tr>
      <w:tr>
        <w:trPr/>
        <w:tc>
          <w:tcPr>
            <w:tcW w:w="33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Property, equipment and software,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226,891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316,447</w:t>
            </w:r>
          </w:p>
        </w:tc>
      </w:tr>
    </w:tbl>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Represents the capitalized expenditures on the construction of corporate buildings, leasehold improvements, molds, tooling and R&amp;D equipment under construction.</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Depreciation expenses on property, equipment and software were allocated to the following expense items:</w:t>
      </w:r>
    </w:p>
    <w:p>
      <w:pPr>
        <w:pStyle w:val="TextBody"/>
        <w:bidi w:val="0"/>
        <w:spacing w:lineRule="auto" w:line="307" w:before="0" w:after="160"/>
        <w:ind w:left="0" w:right="0" w:hanging="0"/>
        <w:jc w:val="both"/>
        <w:rPr/>
      </w:pPr>
      <w:r>
        <w:rPr/>
        <w:t>​</w:t>
      </w:r>
    </w:p>
    <w:tbl>
      <w:tblPr>
        <w:tblW w:w="6262" w:type="dxa"/>
        <w:jc w:val="left"/>
        <w:tblInd w:w="0" w:type="dxa"/>
        <w:tblLayout w:type="fixed"/>
        <w:tblCellMar>
          <w:top w:w="0" w:type="dxa"/>
          <w:left w:w="0" w:type="dxa"/>
          <w:bottom w:w="0" w:type="dxa"/>
          <w:right w:w="0" w:type="dxa"/>
        </w:tblCellMar>
      </w:tblPr>
      <w:tblGrid>
        <w:gridCol w:w="3091"/>
        <w:gridCol w:w="346"/>
        <w:gridCol w:w="676"/>
        <w:gridCol w:w="346"/>
        <w:gridCol w:w="676"/>
        <w:gridCol w:w="346"/>
        <w:gridCol w:w="78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962785" cy="175260"/>
                      <wp:effectExtent l="0" t="0" r="0" b="0"/>
                      <wp:wrapNone/>
                      <wp:docPr id="339" name="Frame33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0"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9260" cy="175260"/>
                      <wp:effectExtent l="0" t="0" r="0" b="0"/>
                      <wp:wrapNone/>
                      <wp:docPr id="341" name="Frame3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2"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29260" cy="175260"/>
                      <wp:effectExtent l="0" t="0" r="0" b="0"/>
                      <wp:wrapNone/>
                      <wp:docPr id="343" name="Frame3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4"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95935" cy="175260"/>
                      <wp:effectExtent l="0" t="0" r="0" b="0"/>
                      <wp:wrapNone/>
                      <wp:docPr id="345" name="Frame3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82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28,225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27,124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16,111</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3,237</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7,158</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3,238</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7,753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22,984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18,350</w:t>
            </w:r>
          </w:p>
        </w:tc>
      </w:tr>
      <w:tr>
        <w:trPr/>
        <w:tc>
          <w:tcPr>
            <w:tcW w:w="30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15,525</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19,222</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17,258</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54,740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76,488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54,957</w:t>
            </w:r>
          </w:p>
        </w:tc>
      </w:tr>
    </w:tbl>
    <w:p>
      <w:pPr>
        <w:pStyle w:val="TextBody"/>
        <w:bidi w:val="0"/>
        <w:spacing w:lineRule="auto" w:line="307" w:before="0" w:after="200"/>
        <w:ind w:left="0" w:right="0" w:hanging="0"/>
        <w:jc w:val="both"/>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Property, equipment and software of nil and US$370 were pledged for other short-term financing arrangements (Note 10) as of December 31, 2025 and 2024, respectively.</w:t>
      </w:r>
    </w:p>
    <w:p>
      <w:pPr>
        <w:pStyle w:val="TextBody"/>
        <w:bidi w:val="0"/>
        <w:spacing w:lineRule="auto" w:line="307" w:before="0" w:after="200"/>
        <w:ind w:left="0" w:right="0" w:hanging="0"/>
        <w:jc w:val="both"/>
        <w:rPr/>
      </w:pPr>
      <w:r>
        <w:rPr/>
        <w:t>​</w:t>
      </w:r>
    </w:p>
    <w:p>
      <w:pPr>
        <w:pStyle w:val="Normal"/>
        <w:bidi w:val="0"/>
        <w:spacing w:before="0" w:after="0"/>
        <w:jc w:val="left"/>
        <w:rPr>
          <w:sz w:val="4"/>
          <w:szCs w:val="4"/>
        </w:rPr>
      </w:pPr>
      <w:r>
        <w:rPr>
          <w:sz w:val="4"/>
          <w:szCs w:val="4"/>
        </w:rPr>
      </w:r>
      <w:bookmarkStart w:id="1839" w:name="Tc_373NTG4w_UWO93l6NGNp-Q_6_0"/>
      <w:bookmarkStart w:id="1840" w:name="Tc_VMeyDabRFkG20cCS2pdZoA_5_0"/>
      <w:bookmarkStart w:id="1841" w:name="Tc_my4QHXv-d0S_x0B5Hg0KTg_4_0"/>
      <w:bookmarkStart w:id="1842" w:name="Tc_8tCpqXcN-k-VUrdPMWk3tQ_3_4"/>
      <w:bookmarkStart w:id="1843" w:name="Tc_3tz6hyH0PkmwCOsNsjO7LA_3_2"/>
      <w:bookmarkStart w:id="1844" w:name="Tc_Q96RSFbviEyqRUcSPBunjA_2_4"/>
      <w:bookmarkStart w:id="1845" w:name="Tc_E9c9QI1gFUmr89ddCVTmfA_2_2"/>
      <w:bookmarkStart w:id="1846" w:name="Tc_YhqaFSFPaEyi5mJu-N19Yw_1_2"/>
      <w:bookmarkStart w:id="1847" w:name="Tc_373NTG4w_UWO93l6NGNp-Q_6_0"/>
      <w:bookmarkStart w:id="1848" w:name="Tc_VMeyDabRFkG20cCS2pdZoA_5_0"/>
      <w:bookmarkStart w:id="1849" w:name="Tc_my4QHXv-d0S_x0B5Hg0KTg_4_0"/>
      <w:bookmarkStart w:id="1850" w:name="Tc_8tCpqXcN-k-VUrdPMWk3tQ_3_4"/>
      <w:bookmarkStart w:id="1851" w:name="Tc_3tz6hyH0PkmwCOsNsjO7LA_3_2"/>
      <w:bookmarkStart w:id="1852" w:name="Tc_Q96RSFbviEyqRUcSPBunjA_2_4"/>
      <w:bookmarkStart w:id="1853" w:name="Tc_E9c9QI1gFUmr89ddCVTmfA_2_2"/>
      <w:bookmarkStart w:id="1854" w:name="Tc_YhqaFSFPaEyi5mJu-N19Yw_1_2"/>
      <w:bookmarkEnd w:id="1847"/>
      <w:bookmarkEnd w:id="1848"/>
      <w:bookmarkEnd w:id="1849"/>
      <w:bookmarkEnd w:id="1850"/>
      <w:bookmarkEnd w:id="1851"/>
      <w:bookmarkEnd w:id="1852"/>
      <w:bookmarkEnd w:id="1853"/>
      <w:bookmarkEnd w:id="1854"/>
    </w:p>
    <w:tbl>
      <w:tblPr>
        <w:tblW w:w="2432" w:type="dxa"/>
        <w:jc w:val="left"/>
        <w:tblInd w:w="0" w:type="dxa"/>
        <w:tblLayout w:type="fixed"/>
        <w:tblCellMar>
          <w:top w:w="0" w:type="dxa"/>
          <w:left w:w="0" w:type="dxa"/>
          <w:bottom w:w="0" w:type="dxa"/>
          <w:right w:w="0" w:type="dxa"/>
        </w:tblCellMar>
      </w:tblPr>
      <w:tblGrid>
        <w:gridCol w:w="271"/>
        <w:gridCol w:w="216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7.</w:t>
            </w:r>
          </w:p>
        </w:tc>
        <w:tc>
          <w:tcPr>
            <w:tcW w:w="216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Intangible assets consisted of the following:</w:t>
      </w:r>
    </w:p>
    <w:p>
      <w:pPr>
        <w:pStyle w:val="TextBody"/>
        <w:bidi w:val="0"/>
        <w:spacing w:lineRule="auto" w:line="307" w:before="0" w:after="160"/>
        <w:ind w:left="0" w:right="0" w:hanging="0"/>
        <w:jc w:val="both"/>
        <w:rPr/>
      </w:pPr>
      <w:r>
        <w:rPr/>
        <w:t>​</w:t>
      </w:r>
    </w:p>
    <w:tbl>
      <w:tblPr>
        <w:tblW w:w="6260" w:type="dxa"/>
        <w:jc w:val="left"/>
        <w:tblInd w:w="0" w:type="dxa"/>
        <w:tblLayout w:type="fixed"/>
        <w:tblCellMar>
          <w:top w:w="0" w:type="dxa"/>
          <w:left w:w="0" w:type="dxa"/>
          <w:bottom w:w="0" w:type="dxa"/>
          <w:right w:w="0" w:type="dxa"/>
        </w:tblCellMar>
      </w:tblPr>
      <w:tblGrid>
        <w:gridCol w:w="3901"/>
        <w:gridCol w:w="346"/>
        <w:gridCol w:w="781"/>
        <w:gridCol w:w="346"/>
        <w:gridCol w:w="88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477135" cy="175260"/>
                      <wp:effectExtent l="0" t="0" r="0" b="0"/>
                      <wp:wrapNone/>
                      <wp:docPr id="346" name="Frame341"/>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47"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95935" cy="175260"/>
                      <wp:effectExtent l="0" t="0" r="0" b="0"/>
                      <wp:wrapNone/>
                      <wp:docPr id="348" name="Frame3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49"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62610" cy="175260"/>
                      <wp:effectExtent l="0" t="0" r="0" b="0"/>
                      <wp:wrapNone/>
                      <wp:docPr id="350" name="Frame34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01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Trademark licenses with indefinite useful lives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116,083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116,083</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116,475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116,500</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November 4, 2021, the Group entered into trademark licenses agreements with a related party (“Trademark Licenses Agreements”), Group Lotus Limited, a wholly owned subsidiary of LGIL, which is ultimately controlled by the controlling shareholder of the Company. Pursuant to the Trademark Licenses Agreements, the Group received the “Lotus” trademark licenses for as long as the Group conducts the business in relation to lifestyle vehicles (excluding sports car). The Group intends to market and distribute its products under the “Lotus” brand indefinitely, and the trademark licenses are expected to contribute to cash flows indefinitely. The cost of renewal in each jurisdiction is different, and the Group believes the amount of renewal costs is insignificant relative to the future cash flows from sales of lifestyle vehicles under the “Lotus” brand. Therefore, the useful lives of the trademark licenses are considered to be indefinite. The trademark licenses were initially recognized at the amount of US$116,041 as of November 4, 2021, which is the same as the carrying amount from the perspective of the entity under common control with the value determined using the relief from royalty method.</w:t>
      </w:r>
    </w:p>
    <w:p>
      <w:pPr>
        <w:pStyle w:val="Normal"/>
        <w:bidi w:val="0"/>
        <w:spacing w:before="0" w:after="0"/>
        <w:jc w:val="left"/>
        <w:rPr>
          <w:sz w:val="4"/>
          <w:szCs w:val="4"/>
        </w:rPr>
      </w:pPr>
      <w:r>
        <w:rPr>
          <w:sz w:val="4"/>
          <w:szCs w:val="4"/>
        </w:rPr>
      </w:r>
      <w:bookmarkStart w:id="1855" w:name="_1b4f55ca_2dda_4846_b936_379ac835b3e3"/>
      <w:bookmarkStart w:id="1856" w:name="Tc_hK_tO6PszkWnrEP1nqG__Q_7_0"/>
      <w:bookmarkStart w:id="1857" w:name="Tc_XMkk8N0v5Ei7gs9hFjK_dw_6_0"/>
      <w:bookmarkStart w:id="1858" w:name="Tc_FpZi5A95ekSspjBOj79Kxw_5_0"/>
      <w:bookmarkStart w:id="1859" w:name="Tc_e4HTJUFxK02HeYW5miYznQ_4_0"/>
      <w:bookmarkStart w:id="1860" w:name="Tc_RLQP1yBs6E26n2FzlizJVA_3_6"/>
      <w:bookmarkStart w:id="1861" w:name="Tc_fSLq_8kyG0ynAVqeTdKqkw_3_4"/>
      <w:bookmarkStart w:id="1862" w:name="Tc_wOTAicQymk-ScniBOc_WUg_3_2"/>
      <w:bookmarkStart w:id="1863" w:name="Tc_pkAF5RfORE6TALGwejIv9Q_2_6"/>
      <w:bookmarkStart w:id="1864" w:name="Tc_QtmctoecDk6FdnnQ_ximaw_2_4"/>
      <w:bookmarkStart w:id="1865" w:name="Tc_VFgI43KnIU6HQeRcOd0R2w_2_2"/>
      <w:bookmarkStart w:id="1866" w:name="Tc_MtvBWwSn-kyswymhK44dYg_1_2"/>
      <w:bookmarkStart w:id="1867" w:name="_25c1cc19_e49c_40ba_b7a3_06ac537050d3"/>
      <w:bookmarkStart w:id="1868" w:name="Tc_EKRa3vNQ0kmBFhrFt9n7kQ_7_0"/>
      <w:bookmarkStart w:id="1869" w:name="Tc_4dFYmTkSQESKoiPOlsjs9g_6_4"/>
      <w:bookmarkStart w:id="1870" w:name="Tc_vSCAJeOmnkejWQetv8cCZg_6_2"/>
      <w:bookmarkStart w:id="1871" w:name="Tc_8CEgXNXXjEernJqKGfHMjg_6_0"/>
      <w:bookmarkStart w:id="1872" w:name="Tc_f2PuZ0CcEUCNtdBkQ0pI_g_5_0"/>
      <w:bookmarkStart w:id="1873" w:name="Tc_2CFo56HEv02z_h1XMm8CLA_4_0"/>
      <w:bookmarkStart w:id="1874" w:name="Tc_zUFD1AO5dEq7gkXm5GDOtQ_3_6"/>
      <w:bookmarkStart w:id="1875" w:name="Tc_TKHZ-YaIWUK0lnPPAXu9YA_3_4"/>
      <w:bookmarkStart w:id="1876" w:name="Tc_sKxcaB6Rdke7ELbK6R1qOA_3_2"/>
      <w:bookmarkStart w:id="1877" w:name="Tc_xFpsseCsuEKZNtL3sR6hHA_2_6"/>
      <w:bookmarkStart w:id="1878" w:name="Tc_UZIHbndCiky9vzKoiGORXA_2_4"/>
      <w:bookmarkStart w:id="1879" w:name="Tc_nT3ISrhfrEuaKXndvw091A_2_2"/>
      <w:bookmarkStart w:id="1880" w:name="Tc_lR17wQ44hkeT7duHJJvYSQ_1_2"/>
      <w:bookmarkStart w:id="1881" w:name="_1b4f55ca_2dda_4846_b936_379ac835b3e3"/>
      <w:bookmarkStart w:id="1882" w:name="Tc_hK_tO6PszkWnrEP1nqG__Q_7_0"/>
      <w:bookmarkStart w:id="1883" w:name="Tc_XMkk8N0v5Ei7gs9hFjK_dw_6_0"/>
      <w:bookmarkStart w:id="1884" w:name="Tc_FpZi5A95ekSspjBOj79Kxw_5_0"/>
      <w:bookmarkStart w:id="1885" w:name="Tc_e4HTJUFxK02HeYW5miYznQ_4_0"/>
      <w:bookmarkStart w:id="1886" w:name="Tc_RLQP1yBs6E26n2FzlizJVA_3_6"/>
      <w:bookmarkStart w:id="1887" w:name="Tc_fSLq_8kyG0ynAVqeTdKqkw_3_4"/>
      <w:bookmarkStart w:id="1888" w:name="Tc_wOTAicQymk-ScniBOc_WUg_3_2"/>
      <w:bookmarkStart w:id="1889" w:name="Tc_pkAF5RfORE6TALGwejIv9Q_2_6"/>
      <w:bookmarkStart w:id="1890" w:name="Tc_QtmctoecDk6FdnnQ_ximaw_2_4"/>
      <w:bookmarkStart w:id="1891" w:name="Tc_VFgI43KnIU6HQeRcOd0R2w_2_2"/>
      <w:bookmarkStart w:id="1892" w:name="Tc_MtvBWwSn-kyswymhK44dYg_1_2"/>
      <w:bookmarkStart w:id="1893" w:name="_25c1cc19_e49c_40ba_b7a3_06ac537050d3"/>
      <w:bookmarkStart w:id="1894" w:name="Tc_EKRa3vNQ0kmBFhrFt9n7kQ_7_0"/>
      <w:bookmarkStart w:id="1895" w:name="Tc_4dFYmTkSQESKoiPOlsjs9g_6_4"/>
      <w:bookmarkStart w:id="1896" w:name="Tc_vSCAJeOmnkejWQetv8cCZg_6_2"/>
      <w:bookmarkStart w:id="1897" w:name="Tc_8CEgXNXXjEernJqKGfHMjg_6_0"/>
      <w:bookmarkStart w:id="1898" w:name="Tc_f2PuZ0CcEUCNtdBkQ0pI_g_5_0"/>
      <w:bookmarkStart w:id="1899" w:name="Tc_2CFo56HEv02z_h1XMm8CLA_4_0"/>
      <w:bookmarkStart w:id="1900" w:name="Tc_zUFD1AO5dEq7gkXm5GDOtQ_3_6"/>
      <w:bookmarkStart w:id="1901" w:name="Tc_TKHZ-YaIWUK0lnPPAXu9YA_3_4"/>
      <w:bookmarkStart w:id="1902" w:name="Tc_sKxcaB6Rdke7ELbK6R1qOA_3_2"/>
      <w:bookmarkStart w:id="1903" w:name="Tc_xFpsseCsuEKZNtL3sR6hHA_2_6"/>
      <w:bookmarkStart w:id="1904" w:name="Tc_UZIHbndCiky9vzKoiGORXA_2_4"/>
      <w:bookmarkStart w:id="1905" w:name="Tc_nT3ISrhfrEuaKXndvw091A_2_2"/>
      <w:bookmarkStart w:id="1906" w:name="Tc_lR17wQ44hkeT7duHJJvYSQ_1_2"/>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p>
    <w:tbl>
      <w:tblPr>
        <w:tblW w:w="1172" w:type="dxa"/>
        <w:jc w:val="left"/>
        <w:tblInd w:w="0" w:type="dxa"/>
        <w:tblLayout w:type="fixed"/>
        <w:tblCellMar>
          <w:top w:w="0" w:type="dxa"/>
          <w:left w:w="0" w:type="dxa"/>
          <w:bottom w:w="0" w:type="dxa"/>
          <w:right w:w="0" w:type="dxa"/>
        </w:tblCellMar>
      </w:tblPr>
      <w:tblGrid>
        <w:gridCol w:w="271"/>
        <w:gridCol w:w="90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8.</w:t>
            </w:r>
          </w:p>
        </w:tc>
        <w:tc>
          <w:tcPr>
            <w:tcW w:w="9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has entered into various non-cancellable operating agreements for land use rights, certain offices, warehouses, retail and service locations, parking lots and vehicles worldwide. The Group determines if an arrangement is a lease, or contains a lease, at inception and record the leases in the financial statements upon lease commencement, which is the date when the underlying asset is made available for use by the lessor.</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components of lease cost were as follows:</w:t>
      </w:r>
    </w:p>
    <w:p>
      <w:pPr>
        <w:pStyle w:val="TextBody"/>
        <w:bidi w:val="0"/>
        <w:spacing w:lineRule="auto" w:line="307" w:before="0" w:after="160"/>
        <w:ind w:left="0" w:right="0" w:hanging="0"/>
        <w:jc w:val="both"/>
        <w:rPr/>
      </w:pPr>
      <w:r>
        <w:rPr/>
        <w:t>​</w:t>
      </w:r>
    </w:p>
    <w:tbl>
      <w:tblPr>
        <w:tblW w:w="4972" w:type="dxa"/>
        <w:jc w:val="left"/>
        <w:tblInd w:w="0" w:type="dxa"/>
        <w:tblLayout w:type="fixed"/>
        <w:tblCellMar>
          <w:top w:w="0" w:type="dxa"/>
          <w:left w:w="0" w:type="dxa"/>
          <w:bottom w:w="0" w:type="dxa"/>
          <w:right w:w="0" w:type="dxa"/>
        </w:tblCellMar>
      </w:tblPr>
      <w:tblGrid>
        <w:gridCol w:w="1801"/>
        <w:gridCol w:w="346"/>
        <w:gridCol w:w="676"/>
        <w:gridCol w:w="346"/>
        <w:gridCol w:w="676"/>
        <w:gridCol w:w="346"/>
        <w:gridCol w:w="78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143635" cy="175260"/>
                      <wp:effectExtent l="0" t="0" r="0" b="0"/>
                      <wp:wrapNone/>
                      <wp:docPr id="351" name="Frame346"/>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2"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29260" cy="175260"/>
                      <wp:effectExtent l="0" t="0" r="0" b="0"/>
                      <wp:wrapNone/>
                      <wp:docPr id="353" name="Frame3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54"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29260" cy="175260"/>
                      <wp:effectExtent l="0" t="0" r="0" b="0"/>
                      <wp:wrapNone/>
                      <wp:docPr id="355" name="Frame3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56"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95935" cy="175260"/>
                      <wp:effectExtent l="0" t="0" r="0" b="0"/>
                      <wp:wrapNone/>
                      <wp:docPr id="357" name="Frame3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8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18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18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14,061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25,198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27,815</w:t>
            </w:r>
          </w:p>
        </w:tc>
      </w:tr>
      <w:tr>
        <w:trPr/>
        <w:tc>
          <w:tcPr>
            <w:tcW w:w="18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15,058</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10,020</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4,288</w:t>
            </w:r>
          </w:p>
        </w:tc>
      </w:tr>
      <w:tr>
        <w:trPr/>
        <w:tc>
          <w:tcPr>
            <w:tcW w:w="18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180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29,119</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35,218</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32,244</w:t>
            </w:r>
          </w:p>
        </w:tc>
      </w:tr>
    </w:tbl>
    <w:p>
      <w:pPr>
        <w:pStyle w:val="TextBody"/>
        <w:bidi w:val="0"/>
        <w:spacing w:lineRule="auto" w:line="307" w:before="0" w:after="160"/>
        <w:ind w:left="0" w:right="0" w:hanging="0"/>
        <w:jc w:val="both"/>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Certain leases have annual rent escalations based on subsequent year-to-year changes in the consumer price index (“CPI”). While operating lease liabilities are not remeasured as a result of changes to the CPI, the year-to-year changes to the CPI are treated as variable lease payments and recognized in the period in which they are incurred.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above lease costs are recognized as cost of revenues, research and development expenses, selling and marketing expenses and general and administrative expenses.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Supplemental cash flows information related to leases was as follows:</w:t>
      </w:r>
    </w:p>
    <w:p>
      <w:pPr>
        <w:pStyle w:val="TextBody"/>
        <w:bidi w:val="0"/>
        <w:spacing w:lineRule="auto" w:line="307" w:before="0" w:after="160"/>
        <w:ind w:left="0" w:right="0" w:hanging="0"/>
        <w:jc w:val="both"/>
        <w:rPr/>
      </w:pPr>
      <w:r>
        <w:rPr/>
        <w:t>​</w:t>
      </w:r>
    </w:p>
    <w:tbl>
      <w:tblPr>
        <w:tblW w:w="9172" w:type="dxa"/>
        <w:jc w:val="left"/>
        <w:tblInd w:w="0" w:type="dxa"/>
        <w:tblLayout w:type="fixed"/>
        <w:tblCellMar>
          <w:top w:w="0" w:type="dxa"/>
          <w:left w:w="0" w:type="dxa"/>
          <w:bottom w:w="0" w:type="dxa"/>
          <w:right w:w="0" w:type="dxa"/>
        </w:tblCellMar>
      </w:tblPr>
      <w:tblGrid>
        <w:gridCol w:w="6001"/>
        <w:gridCol w:w="346"/>
        <w:gridCol w:w="676"/>
        <w:gridCol w:w="346"/>
        <w:gridCol w:w="676"/>
        <w:gridCol w:w="346"/>
        <w:gridCol w:w="781"/>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810635" cy="175260"/>
                      <wp:effectExtent l="0" t="0" r="0" b="0"/>
                      <wp:wrapNone/>
                      <wp:docPr id="358" name="Frame353"/>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59"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29260" cy="175260"/>
                      <wp:effectExtent l="0" t="0" r="0" b="0"/>
                      <wp:wrapNone/>
                      <wp:docPr id="360" name="Frame3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1"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29260" cy="175260"/>
                      <wp:effectExtent l="0" t="0" r="0" b="0"/>
                      <wp:wrapNone/>
                      <wp:docPr id="362" name="Frame3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3"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95935" cy="175260"/>
                      <wp:effectExtent l="0" t="0" r="0" b="0"/>
                      <wp:wrapNone/>
                      <wp:docPr id="364" name="Frame3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0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82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0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60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0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Cash paid for amounts included in the measurement of lease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60"/>
              <w:ind w:left="0" w:right="0" w:hanging="0"/>
              <w:jc w:val="right"/>
              <w:rPr/>
            </w:pPr>
            <w:r>
              <w:rPr/>
              <w:t>​</w:t>
            </w:r>
          </w:p>
        </w:tc>
      </w:tr>
      <w:tr>
        <w:trPr/>
        <w:tc>
          <w:tcPr>
            <w:tcW w:w="60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17,420</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22,260</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34,752</w:t>
            </w:r>
          </w:p>
        </w:tc>
      </w:tr>
      <w:tr>
        <w:trPr/>
        <w:tc>
          <w:tcPr>
            <w:tcW w:w="60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Right-of-use assets obtained in exchange for lease obligations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7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7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60"/>
              <w:ind w:left="0" w:right="0" w:hanging="0"/>
              <w:jc w:val="right"/>
              <w:rPr/>
            </w:pPr>
            <w:r>
              <w:rPr/>
              <w:t>​</w:t>
            </w:r>
          </w:p>
        </w:tc>
      </w:tr>
      <w:tr>
        <w:trPr/>
        <w:tc>
          <w:tcPr>
            <w:tcW w:w="60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leases </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3,245</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8,013</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42,707</w:t>
            </w:r>
          </w:p>
        </w:tc>
      </w:tr>
    </w:tbl>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9"/>
        </w:rPr>
        <w:t>*</w:t>
      </w:r>
      <w:r>
        <w:rPr>
          <w:rFonts w:ascii="Times New Roman;Times;serif" w:hAnsi="Times New Roman;Times;serif"/>
          <w:sz w:val="20"/>
        </w:rPr>
        <w:t>For the years ended December 31, 2025, 2024 and 2023, this amount includes prepayments for land use rights of nil, nil and US$10,900, respectively, with lease terms of 40 years to 50 years.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1907" w:name="Tc_hf0HkOnAXECBF-yw3fjksQ_12_0"/>
      <w:bookmarkStart w:id="1908" w:name="Tc_f938zhhTWkiuxO602nEVSw_11_0"/>
      <w:bookmarkStart w:id="1909" w:name="Tc_QOvT06_kuUSWLesE3lnSfw_10_0"/>
      <w:bookmarkStart w:id="1910" w:name="Tc_mUNhpCyzDU-TPjPEmQKcyQ_9_0"/>
      <w:bookmarkStart w:id="1911" w:name="Tc_paQAkVe1JkarnFt3zkaYoA_8_0"/>
      <w:bookmarkStart w:id="1912" w:name="Tc_w8b11S6-ZkqH8_FQT2TtmQ_7_0"/>
      <w:bookmarkStart w:id="1913" w:name="Tc_g_hxqcYI3UWIX3FVgwPLiA_6_0"/>
      <w:bookmarkStart w:id="1914" w:name="Tc_wWGhPVqap0GzE4VafuirCA_5_0"/>
      <w:bookmarkStart w:id="1915" w:name="Tc_B6yR4SFUKEOd7Li9hGnh4g_4_0"/>
      <w:bookmarkStart w:id="1916" w:name="Tc_D_sceDvmrkq1C7ZzKfH8Ng_3_2"/>
      <w:bookmarkStart w:id="1917" w:name="Tc_avT78sXohEGia3OfstmOXw_2_2"/>
      <w:bookmarkStart w:id="1918" w:name="Tc_d0xMyxcDhUeJeuENW6Hgjw_1_2"/>
      <w:bookmarkStart w:id="1919" w:name="Tc_K1ua4ExspkiMFag1gdfn1w_6_7"/>
      <w:bookmarkStart w:id="1920" w:name="Tc_9A1j-h_NGEWeJDZMTt3Feg_6_5"/>
      <w:bookmarkStart w:id="1921" w:name="Tc_QbN3uNamokOpcI0Y34sfwA_6_3"/>
      <w:bookmarkStart w:id="1922" w:name="Tc_qdvElCTpSE-ywbKvny5NBg_6_0"/>
      <w:bookmarkStart w:id="1923" w:name="Tc_ejOzFYx6O0-2WuT9_bm6mg_5_0"/>
      <w:bookmarkStart w:id="1924" w:name="Tc_CS6Y8LoyLECPYfV4OwzIkg_4_6"/>
      <w:bookmarkStart w:id="1925" w:name="Tc_t-qluUH49kS3UYUlrU8YUw_4_4"/>
      <w:bookmarkStart w:id="1926" w:name="Tc_764d5sk9LkC_ZMY3IW44yQ_4_2"/>
      <w:bookmarkStart w:id="1927" w:name="Tc_wJP3l8hvgU2lrxZSUsAbKQ_4_0"/>
      <w:bookmarkStart w:id="1928" w:name="Tc_9m0uPBliyE6ADOQ23iRa2g_3_0"/>
      <w:bookmarkStart w:id="1929" w:name="Tc_2nxS7Sr-yEm8c8SIv7S0Iw_2_6"/>
      <w:bookmarkStart w:id="1930" w:name="Tc_J0zmSostIUuVQcUIz3_jjQ_2_4"/>
      <w:bookmarkStart w:id="1931" w:name="Tc_USqeseNxNk241HOH8MvcrA_2_2"/>
      <w:bookmarkStart w:id="1932" w:name="Tc_jy2pF02ecUOxdGNByrrpfA_1_2"/>
      <w:bookmarkStart w:id="1933" w:name="Tc_Kimou-19CEWl6np6Zdjwpg_12_0"/>
      <w:bookmarkStart w:id="1934" w:name="Tc_k5h3UyXKPEylkUdFpaWvyw_11_0"/>
      <w:bookmarkStart w:id="1935" w:name="Tc_k3madw4a9EqbkgSrsZnrpA_10_0"/>
      <w:bookmarkStart w:id="1936" w:name="Tc_JPyOcuPTFUyEIx8oLiZzbg_9_0"/>
      <w:bookmarkStart w:id="1937" w:name="Tc_AB6WNq65DkGwk3ufz9EngA_8_0"/>
      <w:bookmarkStart w:id="1938" w:name="Tc_Cca4cymwX0ycdzAA70nyNA_7_0"/>
      <w:bookmarkStart w:id="1939" w:name="Tc_xurEG-_160WO6oOsfOYehg_6_0"/>
      <w:bookmarkStart w:id="1940" w:name="Tc_wP4tVqFReUimLAC7ghFb0g_5_0"/>
      <w:bookmarkStart w:id="1941" w:name="Tc_-Bypsc4RFUOMfGBUoduufg_4_0"/>
      <w:bookmarkStart w:id="1942" w:name="Tc_BATsNHCEGkewqwZsg1L9lw_3_4"/>
      <w:bookmarkStart w:id="1943" w:name="Tc_5DXToxV0tkOTzkrmB5ow5g_3_2"/>
      <w:bookmarkStart w:id="1944" w:name="Tc_IS0-uaCEN0ej6WvfxMjHwQ_2_4"/>
      <w:bookmarkStart w:id="1945" w:name="Tc_BLxCM7aDg0m40OAwlkNczQ_2_2"/>
      <w:bookmarkStart w:id="1946" w:name="Tc_8TZRKZLU90e5kjq8vL0u8w_1_2"/>
      <w:bookmarkStart w:id="1947" w:name="_7d1f1468_2839_44c5_b946_54d46d563ea8"/>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r>
        <w:rPr>
          <w:rFonts w:ascii="Times New Roman;Times;serif" w:hAnsi="Times New Roman;Times;serif"/>
          <w:sz w:val="20"/>
        </w:rPr>
        <w:t>Supplemental balance sheet information related to leases was as follows:</w:t>
      </w:r>
    </w:p>
    <w:p>
      <w:pPr>
        <w:pStyle w:val="TextBody"/>
        <w:bidi w:val="0"/>
        <w:spacing w:lineRule="auto" w:line="307" w:before="0" w:after="160"/>
        <w:ind w:left="0" w:right="0" w:hanging="0"/>
        <w:jc w:val="both"/>
        <w:rPr/>
      </w:pPr>
      <w:r>
        <w:rPr/>
        <w:t>​</w:t>
      </w:r>
    </w:p>
    <w:tbl>
      <w:tblPr>
        <w:tblW w:w="6005" w:type="dxa"/>
        <w:jc w:val="left"/>
        <w:tblInd w:w="0" w:type="dxa"/>
        <w:tblLayout w:type="fixed"/>
        <w:tblCellMar>
          <w:top w:w="0" w:type="dxa"/>
          <w:left w:w="0" w:type="dxa"/>
          <w:bottom w:w="0" w:type="dxa"/>
          <w:right w:w="0" w:type="dxa"/>
        </w:tblCellMar>
      </w:tblPr>
      <w:tblGrid>
        <w:gridCol w:w="3706"/>
        <w:gridCol w:w="346"/>
        <w:gridCol w:w="781"/>
        <w:gridCol w:w="346"/>
        <w:gridCol w:w="82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353310" cy="175260"/>
                      <wp:effectExtent l="0" t="0" r="0" b="0"/>
                      <wp:wrapNone/>
                      <wp:docPr id="365" name="Frame360"/>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66"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5935" cy="175260"/>
                      <wp:effectExtent l="0" t="0" r="0" b="0"/>
                      <wp:wrapNone/>
                      <wp:docPr id="367" name="Frame3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68"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24510" cy="175260"/>
                      <wp:effectExtent l="0" t="0" r="0" b="0"/>
                      <wp:wrapNone/>
                      <wp:docPr id="369" name="Frame36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95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7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7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Leases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  ​</w:t>
            </w:r>
          </w:p>
        </w:tc>
      </w:tr>
      <w:tr>
        <w:trPr/>
        <w:tc>
          <w:tcPr>
            <w:tcW w:w="37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118,845</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144,029</w:t>
            </w:r>
          </w:p>
        </w:tc>
      </w:tr>
      <w:tr>
        <w:trPr/>
        <w:tc>
          <w:tcPr>
            <w:tcW w:w="37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60"/>
              <w:ind w:left="0" w:right="0" w:hanging="0"/>
              <w:jc w:val="right"/>
              <w:rPr/>
            </w:pPr>
            <w:r>
              <w:rPr/>
              <w:t>​</w:t>
            </w:r>
          </w:p>
        </w:tc>
      </w:tr>
      <w:tr>
        <w:trPr/>
        <w:tc>
          <w:tcPr>
            <w:tcW w:w="3706" w:type="dxa"/>
            <w:tcBorders/>
            <w:vAlign w:val="center"/>
          </w:tcPr>
          <w:p>
            <w:pPr>
              <w:pStyle w:val="TableContents"/>
              <w:bidi w:val="0"/>
              <w:spacing w:lineRule="auto" w:line="307" w:before="0" w:after="1"/>
              <w:ind w:left="0" w:right="0" w:hanging="0"/>
              <w:jc w:val="left"/>
              <w:rPr/>
            </w:pPr>
            <w:r>
              <w:rPr/>
              <w:t xml:space="preserve">− </w:t>
            </w:r>
            <w:r>
              <w:rPr>
                <w:rFonts w:ascii="Times New Roman;Times;serif" w:hAnsi="Times New Roman;Times;serif"/>
                <w:sz w:val="20"/>
              </w:rPr>
              <w:t>Operating lease liabilities-third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11,598</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14,094</w:t>
            </w:r>
          </w:p>
        </w:tc>
      </w:tr>
      <w:tr>
        <w:trPr/>
        <w:tc>
          <w:tcPr>
            <w:tcW w:w="3706" w:type="dxa"/>
            <w:tcBorders/>
            <w:shd w:fill="CCEEFF" w:val="clear"/>
            <w:vAlign w:val="center"/>
          </w:tcPr>
          <w:p>
            <w:pPr>
              <w:pStyle w:val="TableContents"/>
              <w:bidi w:val="0"/>
              <w:spacing w:lineRule="auto" w:line="307" w:before="0" w:after="1"/>
              <w:ind w:left="0" w:right="0" w:hanging="0"/>
              <w:jc w:val="left"/>
              <w:rPr/>
            </w:pPr>
            <w:r>
              <w:rPr/>
              <w:t xml:space="preserve">− </w:t>
            </w:r>
            <w:r>
              <w:rPr>
                <w:rFonts w:ascii="Times New Roman;Times;serif" w:hAnsi="Times New Roman;Times;serif"/>
                <w:sz w:val="20"/>
              </w:rPr>
              <w:t>Operating lease liabilities-related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1,636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37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60"/>
              <w:ind w:left="0" w:right="0" w:hanging="0"/>
              <w:jc w:val="right"/>
              <w:rPr/>
            </w:pPr>
            <w:r>
              <w:rPr/>
              <w:t>​</w:t>
            </w:r>
          </w:p>
        </w:tc>
      </w:tr>
      <w:tr>
        <w:trPr/>
        <w:tc>
          <w:tcPr>
            <w:tcW w:w="3706" w:type="dxa"/>
            <w:tcBorders/>
            <w:shd w:fill="CCEEFF" w:val="clear"/>
            <w:vAlign w:val="center"/>
          </w:tcPr>
          <w:p>
            <w:pPr>
              <w:pStyle w:val="TableContents"/>
              <w:bidi w:val="0"/>
              <w:spacing w:lineRule="auto" w:line="307" w:before="0" w:after="1"/>
              <w:ind w:left="0" w:right="0" w:hanging="0"/>
              <w:jc w:val="left"/>
              <w:rPr/>
            </w:pPr>
            <w:r>
              <w:rPr/>
              <w:t xml:space="preserve">− </w:t>
            </w:r>
            <w:r>
              <w:rPr>
                <w:rFonts w:ascii="Times New Roman;Times;serif" w:hAnsi="Times New Roman;Times;serif"/>
                <w:sz w:val="20"/>
              </w:rPr>
              <w:t>Operating lease liabilities-third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57,576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68,331</w:t>
            </w:r>
          </w:p>
        </w:tc>
      </w:tr>
      <w:tr>
        <w:trPr/>
        <w:tc>
          <w:tcPr>
            <w:tcW w:w="3706" w:type="dxa"/>
            <w:tcBorders/>
            <w:vAlign w:val="center"/>
          </w:tcPr>
          <w:p>
            <w:pPr>
              <w:pStyle w:val="TableContents"/>
              <w:bidi w:val="0"/>
              <w:spacing w:lineRule="auto" w:line="307" w:before="0" w:after="1"/>
              <w:ind w:left="0" w:right="0" w:hanging="0"/>
              <w:jc w:val="left"/>
              <w:rPr/>
            </w:pPr>
            <w:r>
              <w:rPr/>
              <w:t xml:space="preserve">− </w:t>
            </w:r>
            <w:r>
              <w:rPr>
                <w:rFonts w:ascii="Times New Roman;Times;serif" w:hAnsi="Times New Roman;Times;serif"/>
                <w:sz w:val="20"/>
              </w:rPr>
              <w:t>Operating lease liabilities-related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3,105</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10,729</w:t>
            </w:r>
          </w:p>
        </w:tc>
      </w:tr>
      <w:tr>
        <w:trPr/>
        <w:tc>
          <w:tcPr>
            <w:tcW w:w="37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operating lease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73,915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94,182</w:t>
            </w:r>
          </w:p>
        </w:tc>
      </w:tr>
    </w:tbl>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This item is included in accrued expenses and other current liabilities – related parties in the consolidated balance sheets as of December 31, 2025 and 2024, respectively.</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Weighted average remaining lease term and weighted average discount rate for leases, excluding prepaid land use rights, were as follows:</w:t>
      </w:r>
    </w:p>
    <w:p>
      <w:pPr>
        <w:pStyle w:val="TextBody"/>
        <w:bidi w:val="0"/>
        <w:spacing w:lineRule="auto" w:line="307" w:before="0" w:after="160"/>
        <w:ind w:left="0" w:right="0" w:firstLine="720"/>
        <w:jc w:val="left"/>
        <w:rPr/>
      </w:pPr>
      <w:r>
        <w:rPr/>
        <w:t>​</w:t>
      </w:r>
    </w:p>
    <w:tbl>
      <w:tblPr>
        <w:tblW w:w="7838" w:type="dxa"/>
        <w:jc w:val="left"/>
        <w:tblInd w:w="0" w:type="dxa"/>
        <w:tblLayout w:type="fixed"/>
        <w:tblCellMar>
          <w:top w:w="0" w:type="dxa"/>
          <w:left w:w="0" w:type="dxa"/>
          <w:bottom w:w="0" w:type="dxa"/>
          <w:right w:w="0" w:type="dxa"/>
        </w:tblCellMar>
      </w:tblPr>
      <w:tblGrid>
        <w:gridCol w:w="3526"/>
        <w:gridCol w:w="346"/>
        <w:gridCol w:w="946"/>
        <w:gridCol w:w="361"/>
        <w:gridCol w:w="946"/>
        <w:gridCol w:w="361"/>
        <w:gridCol w:w="946"/>
        <w:gridCol w:w="40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239010" cy="175260"/>
                      <wp:effectExtent l="0" t="0" r="0" b="0"/>
                      <wp:wrapNone/>
                      <wp:docPr id="370" name="Frame365"/>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1"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00710" cy="175260"/>
                      <wp:effectExtent l="0" t="0" r="0" b="0"/>
                      <wp:wrapNone/>
                      <wp:docPr id="372" name="Frame36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29235" cy="175260"/>
                      <wp:effectExtent l="0" t="0" r="0" b="0"/>
                      <wp:wrapNone/>
                      <wp:docPr id="373" name="Frame3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00710" cy="175260"/>
                      <wp:effectExtent l="0" t="0" r="0" b="0"/>
                      <wp:wrapNone/>
                      <wp:docPr id="374" name="Frame36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29235" cy="175260"/>
                      <wp:effectExtent l="0" t="0" r="0" b="0"/>
                      <wp:wrapNone/>
                      <wp:docPr id="375" name="Frame3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00710" cy="175260"/>
                      <wp:effectExtent l="0" t="0" r="0" b="0"/>
                      <wp:wrapNone/>
                      <wp:docPr id="376" name="Frame37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57810" cy="175260"/>
                      <wp:effectExtent l="0" t="0" r="0" b="0"/>
                      <wp:wrapNone/>
                      <wp:docPr id="377" name="Frame37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56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406" w:type="dxa"/>
            <w:tcBorders/>
            <w:vAlign w:val="center"/>
          </w:tcPr>
          <w:p>
            <w:pPr>
              <w:pStyle w:val="TableContents"/>
              <w:bidi w:val="0"/>
              <w:spacing w:lineRule="auto" w:line="307" w:before="0" w:after="160"/>
              <w:ind w:left="0" w:right="0" w:hanging="0"/>
              <w:jc w:val="center"/>
              <w:rPr/>
            </w:pPr>
            <w:r>
              <w:rPr/>
              <w:t>​</w:t>
            </w:r>
          </w:p>
        </w:tc>
      </w:tr>
      <w:tr>
        <w:trPr/>
        <w:tc>
          <w:tcPr>
            <w:tcW w:w="35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lineRule="auto" w:line="307"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lineRule="auto" w:line="307"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lineRule="auto" w:line="307" w:before="0" w:after="160"/>
              <w:ind w:left="0" w:right="0" w:hanging="0"/>
              <w:jc w:val="center"/>
              <w:rPr/>
            </w:pPr>
            <w:r>
              <w:rPr/>
              <w:t>​</w:t>
            </w:r>
          </w:p>
        </w:tc>
      </w:tr>
      <w:tr>
        <w:trPr/>
        <w:tc>
          <w:tcPr>
            <w:tcW w:w="35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Weighted-average remaining lease term</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c>
          <w:tcPr>
            <w:tcW w:w="361"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c>
          <w:tcPr>
            <w:tcW w:w="361"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c>
          <w:tcPr>
            <w:tcW w:w="406" w:type="dxa"/>
            <w:tcBorders/>
            <w:shd w:fill="CCEEFF" w:val="clear"/>
            <w:vAlign w:val="center"/>
          </w:tcPr>
          <w:p>
            <w:pPr>
              <w:pStyle w:val="TableContents"/>
              <w:bidi w:val="0"/>
              <w:spacing w:lineRule="auto" w:line="307" w:before="0" w:after="1"/>
              <w:ind w:left="0" w:right="0" w:hanging="0"/>
              <w:jc w:val="left"/>
              <w:rPr/>
            </w:pPr>
            <w:r>
              <w:rPr/>
              <w:t> </w:t>
            </w:r>
          </w:p>
        </w:tc>
      </w:tr>
      <w:tr>
        <w:trPr/>
        <w:tc>
          <w:tcPr>
            <w:tcW w:w="35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6.32</w:t>
            </w:r>
            <w:r>
              <w:rPr>
                <w:rFonts w:ascii="Times New Roman;Times;serif" w:hAnsi="Times New Roman;Times;serif"/>
                <w:sz w:val="22"/>
              </w:rPr>
              <w:t xml:space="preserve"> </w:t>
            </w:r>
            <w:r>
              <w:rPr>
                <w:rFonts w:ascii="Times New Roman;Times;serif" w:hAnsi="Times New Roman;Times;serif"/>
                <w:sz w:val="20"/>
              </w:rPr>
              <w:t>years</w:t>
            </w:r>
          </w:p>
        </w:tc>
        <w:tc>
          <w:tcPr>
            <w:tcW w:w="361"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7.33</w:t>
            </w:r>
            <w:r>
              <w:rPr>
                <w:rFonts w:ascii="Times New Roman;Times;serif" w:hAnsi="Times New Roman;Times;serif"/>
                <w:sz w:val="22"/>
              </w:rPr>
              <w:t xml:space="preserve"> </w:t>
            </w:r>
            <w:r>
              <w:rPr>
                <w:rFonts w:ascii="Times New Roman;Times;serif" w:hAnsi="Times New Roman;Times;serif"/>
                <w:sz w:val="20"/>
              </w:rPr>
              <w:t>years</w:t>
            </w:r>
          </w:p>
        </w:tc>
        <w:tc>
          <w:tcPr>
            <w:tcW w:w="361" w:type="dxa"/>
            <w:tcBorders/>
            <w:vAlign w:val="center"/>
          </w:tcPr>
          <w:p>
            <w:pPr>
              <w:pStyle w:val="TableContents"/>
              <w:bidi w:val="0"/>
              <w:spacing w:lineRule="auto" w:line="307" w:before="0" w:after="16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8.01</w:t>
            </w:r>
            <w:r>
              <w:rPr>
                <w:rFonts w:ascii="Times New Roman;Times;serif" w:hAnsi="Times New Roman;Times;serif"/>
                <w:sz w:val="22"/>
              </w:rPr>
              <w:t xml:space="preserve"> </w:t>
            </w:r>
            <w:r>
              <w:rPr>
                <w:rFonts w:ascii="Times New Roman;Times;serif" w:hAnsi="Times New Roman;Times;serif"/>
                <w:sz w:val="20"/>
              </w:rPr>
              <w:t>years</w:t>
            </w:r>
          </w:p>
        </w:tc>
        <w:tc>
          <w:tcPr>
            <w:tcW w:w="406" w:type="dxa"/>
            <w:tcBorders/>
            <w:vAlign w:val="center"/>
          </w:tcPr>
          <w:p>
            <w:pPr>
              <w:pStyle w:val="TableContents"/>
              <w:bidi w:val="0"/>
              <w:spacing w:lineRule="auto" w:line="307" w:before="0" w:after="160"/>
              <w:ind w:left="0" w:right="0" w:hanging="0"/>
              <w:jc w:val="left"/>
              <w:rPr/>
            </w:pPr>
            <w:r>
              <w:rPr/>
              <w:t>​</w:t>
            </w:r>
          </w:p>
        </w:tc>
      </w:tr>
      <w:tr>
        <w:trPr/>
        <w:tc>
          <w:tcPr>
            <w:tcW w:w="35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Weighted-average discount rate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c>
          <w:tcPr>
            <w:tcW w:w="406" w:type="dxa"/>
            <w:tcBorders/>
            <w:shd w:fill="CCEEFF" w:val="clear"/>
            <w:vAlign w:val="center"/>
          </w:tcPr>
          <w:p>
            <w:pPr>
              <w:pStyle w:val="TableContents"/>
              <w:bidi w:val="0"/>
              <w:spacing w:lineRule="auto" w:line="307" w:before="0" w:after="1"/>
              <w:ind w:left="0" w:right="0" w:hanging="0"/>
              <w:jc w:val="right"/>
              <w:rPr/>
            </w:pPr>
            <w:r>
              <w:rPr/>
              <w:t>  ​</w:t>
            </w:r>
          </w:p>
        </w:tc>
      </w:tr>
      <w:tr>
        <w:trPr/>
        <w:tc>
          <w:tcPr>
            <w:tcW w:w="35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6.27</w:t>
            </w:r>
          </w:p>
        </w:tc>
        <w:tc>
          <w:tcPr>
            <w:tcW w:w="3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6.80</w:t>
            </w:r>
          </w:p>
        </w:tc>
        <w:tc>
          <w:tcPr>
            <w:tcW w:w="3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6.60</w:t>
            </w:r>
          </w:p>
        </w:tc>
        <w:tc>
          <w:tcPr>
            <w:tcW w:w="4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pBdr/>
        <w:bidi w:val="0"/>
        <w:spacing w:lineRule="auto" w:line="307" w:before="0" w:after="160"/>
        <w:ind w:left="0" w:right="0" w:hanging="360"/>
        <w:jc w:val="left"/>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Because the leases do not provide an implicit rate of return, the Group used the incremental borrowing rate based on the information available at lease commencement date in determining the present value of lease payments.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Maturities of operating lease liabilities were as follows:</w:t>
      </w:r>
    </w:p>
    <w:p>
      <w:pPr>
        <w:pStyle w:val="TextBody"/>
        <w:pBdr/>
        <w:bidi w:val="0"/>
        <w:spacing w:lineRule="auto" w:line="307" w:before="0" w:after="160"/>
        <w:ind w:left="0" w:right="0" w:hanging="360"/>
        <w:jc w:val="left"/>
        <w:rPr/>
      </w:pPr>
      <w:r>
        <w:rPr/>
        <w:t>​</w:t>
      </w:r>
    </w:p>
    <w:tbl>
      <w:tblPr>
        <w:tblW w:w="4753" w:type="dxa"/>
        <w:jc w:val="left"/>
        <w:tblInd w:w="0" w:type="dxa"/>
        <w:tblLayout w:type="fixed"/>
        <w:tblCellMar>
          <w:top w:w="0" w:type="dxa"/>
          <w:left w:w="0" w:type="dxa"/>
          <w:bottom w:w="0" w:type="dxa"/>
          <w:right w:w="0" w:type="dxa"/>
        </w:tblCellMar>
      </w:tblPr>
      <w:tblGrid>
        <w:gridCol w:w="3061"/>
        <w:gridCol w:w="146"/>
        <w:gridCol w:w="154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943735" cy="175260"/>
                      <wp:effectExtent l="0" t="0" r="0" b="0"/>
                      <wp:wrapNone/>
                      <wp:docPr id="378" name="Frame373"/>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92710" cy="175260"/>
                      <wp:effectExtent l="0" t="0" r="0" b="0"/>
                      <wp:wrapNone/>
                      <wp:docPr id="379" name="Frame3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981710" cy="175260"/>
                      <wp:effectExtent l="0" t="0" r="0" b="0"/>
                      <wp:wrapNone/>
                      <wp:docPr id="380" name="Frame37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lineRule="auto" w:line="307" w:before="0" w:after="160"/>
              <w:ind w:left="0" w:right="0" w:hanging="0"/>
              <w:jc w:val="left"/>
              <w:rPr/>
            </w:pPr>
            <w:r>
              <w:rPr/>
              <w:t>​</w:t>
            </w:r>
          </w:p>
        </w:tc>
        <w:tc>
          <w:tcPr>
            <w:tcW w:w="146" w:type="dxa"/>
            <w:tcBorders/>
            <w:vAlign w:val="center"/>
          </w:tcPr>
          <w:p>
            <w:pPr>
              <w:pStyle w:val="TableContents"/>
              <w:bidi w:val="0"/>
              <w:spacing w:lineRule="auto" w:line="307" w:before="0" w:after="160"/>
              <w:ind w:left="0" w:right="0" w:hanging="0"/>
              <w:jc w:val="center"/>
              <w:rPr/>
            </w:pPr>
            <w:r>
              <w:rPr/>
              <w:t>​</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 of</w:t>
            </w:r>
          </w:p>
        </w:tc>
      </w:tr>
      <w:tr>
        <w:trPr/>
        <w:tc>
          <w:tcPr>
            <w:tcW w:w="306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December 31, 2025</w:t>
            </w:r>
          </w:p>
        </w:tc>
      </w:tr>
      <w:tr>
        <w:trPr/>
        <w:tc>
          <w:tcPr>
            <w:tcW w:w="3061" w:type="dxa"/>
            <w:tcBorders/>
            <w:vAlign w:val="center"/>
          </w:tcPr>
          <w:p>
            <w:pPr>
              <w:pStyle w:val="TableContents"/>
              <w:bidi w:val="0"/>
              <w:spacing w:lineRule="auto" w:line="307" w:before="0" w:after="160"/>
              <w:ind w:left="0" w:right="0" w:hanging="0"/>
              <w:jc w:val="right"/>
              <w:rPr/>
            </w:pPr>
            <w:r>
              <w:rPr/>
              <w:t>​</w:t>
            </w:r>
          </w:p>
        </w:tc>
        <w:tc>
          <w:tcPr>
            <w:tcW w:w="146" w:type="dxa"/>
            <w:tcBorders/>
            <w:vAlign w:val="center"/>
          </w:tcPr>
          <w:p>
            <w:pPr>
              <w:pStyle w:val="TableContents"/>
              <w:bidi w:val="0"/>
              <w:spacing w:lineRule="auto" w:line="307" w:before="0" w:after="1"/>
              <w:ind w:left="0" w:right="0" w:hanging="0"/>
              <w:jc w:val="left"/>
              <w:rPr/>
            </w:pPr>
            <w:r>
              <w:rPr/>
              <w:t> </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15,876</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46" w:type="dxa"/>
            <w:tcBorders/>
            <w:vAlign w:val="center"/>
          </w:tcPr>
          <w:p>
            <w:pPr>
              <w:pStyle w:val="TableContents"/>
              <w:bidi w:val="0"/>
              <w:spacing w:lineRule="auto" w:line="307" w:before="0" w:after="1"/>
              <w:ind w:left="0" w:right="0" w:hanging="0"/>
              <w:jc w:val="left"/>
              <w:rPr/>
            </w:pPr>
            <w:r>
              <w:rPr/>
              <w:t> </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15,666</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14,486</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46" w:type="dxa"/>
            <w:tcBorders/>
            <w:vAlign w:val="center"/>
          </w:tcPr>
          <w:p>
            <w:pPr>
              <w:pStyle w:val="TableContents"/>
              <w:bidi w:val="0"/>
              <w:spacing w:lineRule="auto" w:line="307" w:before="0" w:after="1"/>
              <w:ind w:left="0" w:right="0" w:hanging="0"/>
              <w:jc w:val="left"/>
              <w:rPr/>
            </w:pPr>
            <w:r>
              <w:rPr/>
              <w:t> </w:t>
            </w:r>
          </w:p>
        </w:tc>
        <w:tc>
          <w:tcPr>
            <w:tcW w:w="15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11,617</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46" w:type="dxa"/>
            <w:tcBorders/>
            <w:shd w:fill="CCEEFF" w:val="clear"/>
            <w:vAlign w:val="center"/>
          </w:tcPr>
          <w:p>
            <w:pPr>
              <w:pStyle w:val="TableContents"/>
              <w:bidi w:val="0"/>
              <w:spacing w:lineRule="auto" w:line="307" w:before="0" w:after="160"/>
              <w:ind w:left="0" w:right="0" w:hanging="0"/>
              <w:jc w:val="left"/>
              <w:rPr/>
            </w:pPr>
            <w:r>
              <w:rPr/>
              <w:t>​</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11,278</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46" w:type="dxa"/>
            <w:tcBorders/>
            <w:vAlign w:val="center"/>
          </w:tcPr>
          <w:p>
            <w:pPr>
              <w:pStyle w:val="TableContents"/>
              <w:bidi w:val="0"/>
              <w:spacing w:lineRule="auto" w:line="307"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19,350</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undiscounted lease payments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88,273</w:t>
            </w:r>
          </w:p>
        </w:tc>
      </w:tr>
      <w:tr>
        <w:trPr/>
        <w:tc>
          <w:tcPr>
            <w:tcW w:w="30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46" w:type="dxa"/>
            <w:tcBorders/>
            <w:vAlign w:val="center"/>
          </w:tcPr>
          <w:p>
            <w:pPr>
              <w:pStyle w:val="TableContents"/>
              <w:bidi w:val="0"/>
              <w:spacing w:lineRule="auto" w:line="307"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(14,358)</w:t>
            </w:r>
          </w:p>
        </w:tc>
      </w:tr>
      <w:tr>
        <w:trPr/>
        <w:tc>
          <w:tcPr>
            <w:tcW w:w="30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lease liabilities</w:t>
            </w:r>
          </w:p>
        </w:tc>
        <w:tc>
          <w:tcPr>
            <w:tcW w:w="146" w:type="dxa"/>
            <w:tcBorders/>
            <w:shd w:fill="CCEEFF" w:val="clear"/>
            <w:vAlign w:val="center"/>
          </w:tcPr>
          <w:p>
            <w:pPr>
              <w:pStyle w:val="TableContents"/>
              <w:bidi w:val="0"/>
              <w:spacing w:lineRule="auto" w:line="307" w:before="0" w:after="1"/>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73,915</w:t>
            </w:r>
          </w:p>
        </w:tc>
      </w:tr>
    </w:tbl>
    <w:p>
      <w:pPr>
        <w:pStyle w:val="TextBody"/>
        <w:pBdr/>
        <w:bidi w:val="0"/>
        <w:spacing w:lineRule="auto" w:line="307" w:before="0" w:after="160"/>
        <w:ind w:left="0" w:right="0" w:hanging="360"/>
        <w:jc w:val="left"/>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2025, the Group had future minimum lease payments for non-cancelable short-term operating leases of US$426.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948" w:name="Tc_GqElXzUEY06DQaikrjxIiQ_8_0"/>
      <w:bookmarkStart w:id="1949" w:name="Tc_lB8CSLol_EC-pjW9KcNe5Q_7_0"/>
      <w:bookmarkStart w:id="1950" w:name="Tc_hkxu-V_wekKdk8P-iVMx8w_6_0"/>
      <w:bookmarkStart w:id="1951" w:name="Tc_w3D0c9nTu0mlbyr4dlfQBg_5_0"/>
      <w:bookmarkStart w:id="1952" w:name="Tc_whaU67N9z0WfjCreK6030A_4_0"/>
      <w:bookmarkStart w:id="1953" w:name="Tc_a5o44y_N4kyC3rxFFzfhyg_3_4"/>
      <w:bookmarkStart w:id="1954" w:name="Tc_DJXoRxMo0Um12fie4zeBEA_3_2"/>
      <w:bookmarkStart w:id="1955" w:name="Tc_-5OM_TpQekSS5yWOzZVy1w_2_4"/>
      <w:bookmarkStart w:id="1956" w:name="Tc_5GjfsMNh3ESFAE7w33BYzA_2_2"/>
      <w:bookmarkStart w:id="1957" w:name="Tc_RpW_K273vkqJa8XD7SQabQ_1_2"/>
      <w:bookmarkStart w:id="1958" w:name="Tc_GqElXzUEY06DQaikrjxIiQ_8_0"/>
      <w:bookmarkStart w:id="1959" w:name="Tc_lB8CSLol_EC-pjW9KcNe5Q_7_0"/>
      <w:bookmarkStart w:id="1960" w:name="Tc_hkxu-V_wekKdk8P-iVMx8w_6_0"/>
      <w:bookmarkStart w:id="1961" w:name="Tc_w3D0c9nTu0mlbyr4dlfQBg_5_0"/>
      <w:bookmarkStart w:id="1962" w:name="Tc_whaU67N9z0WfjCreK6030A_4_0"/>
      <w:bookmarkStart w:id="1963" w:name="Tc_a5o44y_N4kyC3rxFFzfhyg_3_4"/>
      <w:bookmarkStart w:id="1964" w:name="Tc_DJXoRxMo0Um12fie4zeBEA_3_2"/>
      <w:bookmarkStart w:id="1965" w:name="Tc_-5OM_TpQekSS5yWOzZVy1w_2_4"/>
      <w:bookmarkStart w:id="1966" w:name="Tc_5GjfsMNh3ESFAE7w33BYzA_2_2"/>
      <w:bookmarkStart w:id="1967" w:name="Tc_RpW_K273vkqJa8XD7SQabQ_1_2"/>
      <w:bookmarkEnd w:id="1958"/>
      <w:bookmarkEnd w:id="1959"/>
      <w:bookmarkEnd w:id="1960"/>
      <w:bookmarkEnd w:id="1961"/>
      <w:bookmarkEnd w:id="1962"/>
      <w:bookmarkEnd w:id="1963"/>
      <w:bookmarkEnd w:id="1964"/>
      <w:bookmarkEnd w:id="1965"/>
      <w:bookmarkEnd w:id="1966"/>
      <w:bookmarkEnd w:id="1967"/>
    </w:p>
    <w:tbl>
      <w:tblPr>
        <w:tblW w:w="5072" w:type="dxa"/>
        <w:jc w:val="left"/>
        <w:tblInd w:w="0" w:type="dxa"/>
        <w:tblLayout w:type="fixed"/>
        <w:tblCellMar>
          <w:top w:w="0" w:type="dxa"/>
          <w:left w:w="0" w:type="dxa"/>
          <w:bottom w:w="0" w:type="dxa"/>
          <w:right w:w="0" w:type="dxa"/>
        </w:tblCellMar>
      </w:tblPr>
      <w:tblGrid>
        <w:gridCol w:w="271"/>
        <w:gridCol w:w="4801"/>
      </w:tblGrid>
      <w:tr>
        <w:trPr/>
        <w:tc>
          <w:tcPr>
            <w:tcW w:w="2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9.</w:t>
            </w:r>
          </w:p>
        </w:tc>
        <w:tc>
          <w:tcPr>
            <w:tcW w:w="48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OTHER NON-CURRENT ASSETS – THIRD PARTIES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Other non-current assets consisted of the following:</w:t>
      </w:r>
    </w:p>
    <w:p>
      <w:pPr>
        <w:pStyle w:val="TextBody"/>
        <w:pBdr/>
        <w:bidi w:val="0"/>
        <w:spacing w:lineRule="auto" w:line="307" w:before="0" w:after="160"/>
        <w:ind w:left="0" w:right="0" w:hanging="360"/>
        <w:jc w:val="left"/>
        <w:rPr/>
      </w:pPr>
      <w:r>
        <w:rPr/>
        <w:t>​</w:t>
      </w:r>
    </w:p>
    <w:tbl>
      <w:tblPr>
        <w:tblW w:w="7385" w:type="dxa"/>
        <w:jc w:val="left"/>
        <w:tblInd w:w="0" w:type="dxa"/>
        <w:tblLayout w:type="fixed"/>
        <w:tblCellMar>
          <w:top w:w="0" w:type="dxa"/>
          <w:left w:w="0" w:type="dxa"/>
          <w:bottom w:w="0" w:type="dxa"/>
          <w:right w:w="0" w:type="dxa"/>
        </w:tblCellMar>
      </w:tblPr>
      <w:tblGrid>
        <w:gridCol w:w="5236"/>
        <w:gridCol w:w="346"/>
        <w:gridCol w:w="676"/>
        <w:gridCol w:w="346"/>
        <w:gridCol w:w="781"/>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324860" cy="175260"/>
                      <wp:effectExtent l="0" t="0" r="0" b="0"/>
                      <wp:wrapNone/>
                      <wp:docPr id="381" name="Frame376"/>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2"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29260" cy="175260"/>
                      <wp:effectExtent l="0" t="0" r="0" b="0"/>
                      <wp:wrapNone/>
                      <wp:docPr id="383" name="Frame3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84"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95935" cy="175260"/>
                      <wp:effectExtent l="0" t="0" r="0" b="0"/>
                      <wp:wrapNone/>
                      <wp:docPr id="385" name="Frame3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80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2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52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52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Deposits for long-term operating leases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2,557</w:t>
            </w:r>
          </w:p>
        </w:tc>
      </w:tr>
      <w:tr>
        <w:trPr/>
        <w:tc>
          <w:tcPr>
            <w:tcW w:w="52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Prepayments for purchases of property, equipment and software</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10,612</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8,899</w:t>
            </w:r>
          </w:p>
        </w:tc>
      </w:tr>
      <w:tr>
        <w:trPr/>
        <w:tc>
          <w:tcPr>
            <w:tcW w:w="52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Deductible VAT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65,149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54,951</w:t>
            </w:r>
          </w:p>
        </w:tc>
      </w:tr>
      <w:tr>
        <w:trPr/>
        <w:tc>
          <w:tcPr>
            <w:tcW w:w="52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617</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52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78,408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67,009</w:t>
            </w:r>
          </w:p>
        </w:tc>
      </w:tr>
    </w:tbl>
    <w:p>
      <w:pPr>
        <w:pStyle w:val="TextBody"/>
        <w:bidi w:val="0"/>
        <w:spacing w:lineRule="auto" w:line="307" w:before="0" w:after="160"/>
        <w:ind w:left="0" w:right="0" w:firstLine="720"/>
        <w:jc w:val="left"/>
        <w:rPr/>
      </w:pPr>
      <w:r>
        <w:rPr/>
        <w:t>​</w:t>
      </w:r>
    </w:p>
    <w:p>
      <w:pPr>
        <w:pStyle w:val="TextBody"/>
        <w:bidi w:val="0"/>
        <w:spacing w:lineRule="auto" w:line="307" w:before="0" w:after="160"/>
        <w:ind w:left="0" w:right="0" w:firstLine="720"/>
        <w:jc w:val="left"/>
        <w:rPr/>
      </w:pPr>
      <w:r>
        <w:rPr/>
        <w:t>​</w:t>
      </w:r>
    </w:p>
    <w:p>
      <w:pPr>
        <w:pStyle w:val="Normal"/>
        <w:bidi w:val="0"/>
        <w:spacing w:before="0" w:after="0"/>
        <w:jc w:val="left"/>
        <w:rPr>
          <w:sz w:val="4"/>
          <w:szCs w:val="4"/>
        </w:rPr>
      </w:pPr>
      <w:r>
        <w:rPr>
          <w:sz w:val="4"/>
          <w:szCs w:val="4"/>
        </w:rPr>
      </w:r>
      <w:bookmarkStart w:id="1968" w:name="Tc_RGVcO-E-ikWkfXnZxa_eVg_10_4"/>
      <w:bookmarkStart w:id="1969" w:name="Tc_btjBkvqJw02SW1qGmHsEdA_10_0"/>
      <w:bookmarkStart w:id="1970" w:name="Tc_lcb-HbWNYUa1I_WSKbeb7A_9_0"/>
      <w:bookmarkStart w:id="1971" w:name="Tc_y3qJYDT6o0aRoWLmPTG4IQ_8_0"/>
      <w:bookmarkStart w:id="1972" w:name="Tc_mjcF3GHIr0uk1LgO_il0RA_7_2"/>
      <w:bookmarkStart w:id="1973" w:name="Tc_bJgzL5LRuE-DHKZrRuuxXA_7_0"/>
      <w:bookmarkStart w:id="1974" w:name="Tc_ZCWdI8VtbEu8FflhvUpGuA_6_0"/>
      <w:bookmarkStart w:id="1975" w:name="Tc_XctoWAL2SkCG_0ipf1vOEA_5_0"/>
      <w:bookmarkStart w:id="1976" w:name="Tc_wpT1ZTJutUGPhQnrpPpJlw_4_0"/>
      <w:bookmarkStart w:id="1977" w:name="Tc_aoFot0BFck6iZASMJlK2WQ_3_4"/>
      <w:bookmarkStart w:id="1978" w:name="Tc_HBR3-NUQIUOSh82AdMETjw_3_2"/>
      <w:bookmarkStart w:id="1979" w:name="Tc_GPRZzqAgLkah_M4HeuR5sQ_2_4"/>
      <w:bookmarkStart w:id="1980" w:name="Tc_ZyKiGmVkoUC3e9dlo5jaYg_2_2"/>
      <w:bookmarkStart w:id="1981" w:name="Tc_5t1R6ULRv0uNpP1Nlt5pWg_1_2"/>
      <w:bookmarkStart w:id="1982" w:name="_7e345338_f420_4b75_be13_c3f45efc5e42"/>
      <w:bookmarkStart w:id="1983" w:name="Tc_RGVcO-E-ikWkfXnZxa_eVg_10_4"/>
      <w:bookmarkStart w:id="1984" w:name="Tc_btjBkvqJw02SW1qGmHsEdA_10_0"/>
      <w:bookmarkStart w:id="1985" w:name="Tc_lcb-HbWNYUa1I_WSKbeb7A_9_0"/>
      <w:bookmarkStart w:id="1986" w:name="Tc_y3qJYDT6o0aRoWLmPTG4IQ_8_0"/>
      <w:bookmarkStart w:id="1987" w:name="Tc_mjcF3GHIr0uk1LgO_il0RA_7_2"/>
      <w:bookmarkStart w:id="1988" w:name="Tc_bJgzL5LRuE-DHKZrRuuxXA_7_0"/>
      <w:bookmarkStart w:id="1989" w:name="Tc_ZCWdI8VtbEu8FflhvUpGuA_6_0"/>
      <w:bookmarkStart w:id="1990" w:name="Tc_XctoWAL2SkCG_0ipf1vOEA_5_0"/>
      <w:bookmarkStart w:id="1991" w:name="Tc_wpT1ZTJutUGPhQnrpPpJlw_4_0"/>
      <w:bookmarkStart w:id="1992" w:name="Tc_aoFot0BFck6iZASMJlK2WQ_3_4"/>
      <w:bookmarkStart w:id="1993" w:name="Tc_HBR3-NUQIUOSh82AdMETjw_3_2"/>
      <w:bookmarkStart w:id="1994" w:name="Tc_GPRZzqAgLkah_M4HeuR5sQ_2_4"/>
      <w:bookmarkStart w:id="1995" w:name="Tc_ZyKiGmVkoUC3e9dlo5jaYg_2_2"/>
      <w:bookmarkStart w:id="1996" w:name="Tc_5t1R6ULRv0uNpP1Nlt5pWg_1_2"/>
      <w:bookmarkStart w:id="1997" w:name="_7e345338_f420_4b75_be13_c3f45efc5e4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p>
    <w:tbl>
      <w:tblPr>
        <w:tblW w:w="1892" w:type="dxa"/>
        <w:jc w:val="left"/>
        <w:tblInd w:w="0" w:type="dxa"/>
        <w:tblLayout w:type="fixed"/>
        <w:tblCellMar>
          <w:top w:w="0" w:type="dxa"/>
          <w:left w:w="0" w:type="dxa"/>
          <w:bottom w:w="0" w:type="dxa"/>
          <w:right w:w="0" w:type="dxa"/>
        </w:tblCellMar>
      </w:tblPr>
      <w:tblGrid>
        <w:gridCol w:w="376"/>
        <w:gridCol w:w="151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10.</w:t>
            </w:r>
          </w:p>
        </w:tc>
        <w:tc>
          <w:tcPr>
            <w:tcW w:w="151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BORROWINGS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Group’s borrowings consisted of the following:</w:t>
      </w:r>
    </w:p>
    <w:p>
      <w:pPr>
        <w:pStyle w:val="TextBody"/>
        <w:pBdr/>
        <w:bidi w:val="0"/>
        <w:spacing w:lineRule="auto" w:line="307" w:before="0" w:after="160"/>
        <w:ind w:left="0" w:right="0" w:hanging="360"/>
        <w:jc w:val="left"/>
        <w:rPr/>
      </w:pPr>
      <w:r>
        <w:rPr/>
        <w:t>​</w:t>
      </w:r>
    </w:p>
    <w:tbl>
      <w:tblPr>
        <w:tblW w:w="6545" w:type="dxa"/>
        <w:jc w:val="left"/>
        <w:tblInd w:w="0" w:type="dxa"/>
        <w:tblLayout w:type="fixed"/>
        <w:tblCellMar>
          <w:top w:w="0" w:type="dxa"/>
          <w:left w:w="0" w:type="dxa"/>
          <w:bottom w:w="0" w:type="dxa"/>
          <w:right w:w="0" w:type="dxa"/>
        </w:tblCellMar>
      </w:tblPr>
      <w:tblGrid>
        <w:gridCol w:w="4096"/>
        <w:gridCol w:w="346"/>
        <w:gridCol w:w="931"/>
        <w:gridCol w:w="346"/>
        <w:gridCol w:w="82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600960" cy="175260"/>
                      <wp:effectExtent l="0" t="0" r="0" b="0"/>
                      <wp:wrapNone/>
                      <wp:docPr id="386" name="Frame381"/>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87"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91185" cy="175260"/>
                      <wp:effectExtent l="0" t="0" r="0" b="0"/>
                      <wp:wrapNone/>
                      <wp:docPr id="388" name="Frame3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89"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24510" cy="175260"/>
                      <wp:effectExtent l="0" t="0" r="0" b="0"/>
                      <wp:wrapNone/>
                      <wp:docPr id="390" name="Frame38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10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0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0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60"/>
              <w:ind w:left="0" w:right="0" w:hanging="0"/>
              <w:jc w:val="right"/>
              <w:rPr/>
            </w:pPr>
            <w:r>
              <w:rPr/>
              <w:t>​</w:t>
            </w:r>
          </w:p>
        </w:tc>
      </w:tr>
      <w:tr>
        <w:trPr/>
        <w:tc>
          <w:tcPr>
            <w:tcW w:w="40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Borrowings from banks (i)</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479,419</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601,165</w:t>
            </w:r>
          </w:p>
        </w:tc>
      </w:tr>
      <w:tr>
        <w:trPr/>
        <w:tc>
          <w:tcPr>
            <w:tcW w:w="40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Borrowings from related parties (Note 26(vii))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784,288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199,570</w:t>
            </w:r>
          </w:p>
        </w:tc>
      </w:tr>
      <w:tr>
        <w:trPr/>
        <w:tc>
          <w:tcPr>
            <w:tcW w:w="40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short-term financing arrangements (Note 4)</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1,784</w:t>
            </w:r>
          </w:p>
        </w:tc>
      </w:tr>
      <w:tr>
        <w:trPr/>
        <w:tc>
          <w:tcPr>
            <w:tcW w:w="40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1,263,707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802,519</w:t>
            </w:r>
          </w:p>
        </w:tc>
      </w:tr>
      <w:tr>
        <w:trPr/>
        <w:tc>
          <w:tcPr>
            <w:tcW w:w="40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60"/>
              <w:ind w:left="0" w:right="0" w:hanging="0"/>
              <w:jc w:val="right"/>
              <w:rPr/>
            </w:pPr>
            <w:r>
              <w:rPr/>
              <w:t>​</w:t>
            </w:r>
          </w:p>
        </w:tc>
      </w:tr>
      <w:tr>
        <w:trPr/>
        <w:tc>
          <w:tcPr>
            <w:tcW w:w="40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Borrowings from bank (ii)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98,254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pPr>
            <w:r>
              <w:rPr/>
              <w:t>—</w:t>
            </w:r>
          </w:p>
        </w:tc>
      </w:tr>
    </w:tbl>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 xml:space="preserve">(i)During the year ended December 31, 2025, the Group borrowed loans due within one year or less with aggregated principal amounts of US$587,785 from banks in Chinese mainland, bearing an interest rate of one-year </w:t>
      </w:r>
      <w:r>
        <w:rPr>
          <w:rFonts w:ascii="Times New Roman;Times;serif" w:hAnsi="Times New Roman;Times;serif"/>
          <w:b w:val="false"/>
          <w:i w:val="false"/>
          <w:caps w:val="false"/>
          <w:smallCaps w:val="false"/>
          <w:sz w:val="20"/>
        </w:rPr>
        <w:t>loan prime rate</w:t>
      </w:r>
      <w:r>
        <w:rPr>
          <w:rFonts w:ascii="Times New Roman;Times;serif" w:hAnsi="Times New Roman;Times;serif"/>
          <w:sz w:val="20"/>
        </w:rPr>
        <w:t xml:space="preserve"> published by China Foreign Exchange Trade System (“LPR”) at the date of utilization plus 0.40% to 0.75% per annum. The interests shall be repaid quarterly or upon maturity.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During the year ended December 31, 2024, the Group borrowed loans due within one year or less with aggregated principal amounts of US$644,914 from banks in Chinese mainland, bearing an interest rate of one-year </w:t>
      </w:r>
      <w:r>
        <w:rPr>
          <w:rFonts w:ascii="Times New Roman;Times;serif" w:hAnsi="Times New Roman;Times;serif"/>
          <w:b w:val="false"/>
          <w:i w:val="false"/>
          <w:caps w:val="false"/>
          <w:smallCaps w:val="false"/>
          <w:sz w:val="20"/>
        </w:rPr>
        <w:t>LPR</w:t>
      </w:r>
      <w:r>
        <w:rPr>
          <w:rFonts w:ascii="Times New Roman;Times;serif" w:hAnsi="Times New Roman;Times;serif"/>
          <w:sz w:val="20"/>
        </w:rPr>
        <w:t xml:space="preserve"> at the date of utilization plus 0.30% to 3.50% per annum. The interests shall be repaid quarterly or monthly. </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(ii)During the year ended December 31, 2025, the Group borrowed a two-year long-term loan with aggregated principal amounts of US$98,153, bearing an interest rate of 2.4% per annum from a bank in Chinese mainland, which was pledged with a long-term restricted cash of US$98,960. As of December 31, 2025, US$84,765 and US$13,489 are due in August 2027 and December 2027, respectively. The interest shall be repaid quarterly.</w:t>
      </w:r>
    </w:p>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(iii)The weighted average interest rate on short-term borrowings outstanding as of December 31, 2025 and 2024 is 4.65% and 4.32%, respectively.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2025 and 2024, the Group had a total line of credit in the amount of US$347,143 and US$916,748, of which the unused portion was US$82,091 and US$241,918, respectively.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2025 and 2024, certain of the Group’s borrowings were pledged with restricted cash of US$387,185 and US$368,382, respectively.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1998" w:name="Tc_CmhJRbVDMEyleR4T9s5B-g_13_0"/>
      <w:bookmarkStart w:id="1999" w:name="Tc_DMF8OiA1t0OXPPF6M0rNFg_12_0"/>
      <w:bookmarkStart w:id="2000" w:name="Tc_hu_4-xvDNkGTa8AJeUE53A_11_0"/>
      <w:bookmarkStart w:id="2001" w:name="Tc_1S1elIqHa02Z9zeMzgndWw_10_0"/>
      <w:bookmarkStart w:id="2002" w:name="Tc_pCgHeTvr-EqbEb23HEnVXQ_9_0"/>
      <w:bookmarkStart w:id="2003" w:name="Tc_LPnDBstyi062XdzuRR1oNA_8_0"/>
      <w:bookmarkStart w:id="2004" w:name="Tc_ytu_tpQ2WUemas_xt-vXxw_7_0"/>
      <w:bookmarkStart w:id="2005" w:name="Tc_tneWm9bECUyz5wlD6StjEA_6_0"/>
      <w:bookmarkStart w:id="2006" w:name="Tc_ER-nAsvuBkajQx10seVQnA_5_0"/>
      <w:bookmarkStart w:id="2007" w:name="Tc_E2xogHZERkqEGE98hDkdOA_4_0"/>
      <w:bookmarkStart w:id="2008" w:name="Tc_UffPc-vJPk2gGqC9BfLroQ_3_4"/>
      <w:bookmarkStart w:id="2009" w:name="Tc_dp9v3k0xDE-wQOGyNzsxIw_3_2"/>
      <w:bookmarkStart w:id="2010" w:name="Tc_OyJztQv9L0C7bHHeeXCNdw_2_4"/>
      <w:bookmarkStart w:id="2011" w:name="Tc_U3t3Tp1L6Uu1YFMXbZsz_g_2_2"/>
      <w:bookmarkStart w:id="2012" w:name="Tc_rcgKLGL2zk-9aYHeLWhxIw_1_2"/>
      <w:bookmarkStart w:id="2013" w:name="Tc_CmhJRbVDMEyleR4T9s5B-g_13_0"/>
      <w:bookmarkStart w:id="2014" w:name="Tc_DMF8OiA1t0OXPPF6M0rNFg_12_0"/>
      <w:bookmarkStart w:id="2015" w:name="Tc_hu_4-xvDNkGTa8AJeUE53A_11_0"/>
      <w:bookmarkStart w:id="2016" w:name="Tc_1S1elIqHa02Z9zeMzgndWw_10_0"/>
      <w:bookmarkStart w:id="2017" w:name="Tc_pCgHeTvr-EqbEb23HEnVXQ_9_0"/>
      <w:bookmarkStart w:id="2018" w:name="Tc_LPnDBstyi062XdzuRR1oNA_8_0"/>
      <w:bookmarkStart w:id="2019" w:name="Tc_ytu_tpQ2WUemas_xt-vXxw_7_0"/>
      <w:bookmarkStart w:id="2020" w:name="Tc_tneWm9bECUyz5wlD6StjEA_6_0"/>
      <w:bookmarkStart w:id="2021" w:name="Tc_ER-nAsvuBkajQx10seVQnA_5_0"/>
      <w:bookmarkStart w:id="2022" w:name="Tc_E2xogHZERkqEGE98hDkdOA_4_0"/>
      <w:bookmarkStart w:id="2023" w:name="Tc_UffPc-vJPk2gGqC9BfLroQ_3_4"/>
      <w:bookmarkStart w:id="2024" w:name="Tc_dp9v3k0xDE-wQOGyNzsxIw_3_2"/>
      <w:bookmarkStart w:id="2025" w:name="Tc_OyJztQv9L0C7bHHeeXCNdw_2_4"/>
      <w:bookmarkStart w:id="2026" w:name="Tc_U3t3Tp1L6Uu1YFMXbZsz_g_2_2"/>
      <w:bookmarkStart w:id="2027" w:name="Tc_rcgKLGL2zk-9aYHeLWhxIw_1_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p>
    <w:tbl>
      <w:tblPr>
        <w:tblW w:w="7772" w:type="dxa"/>
        <w:jc w:val="left"/>
        <w:tblInd w:w="0" w:type="dxa"/>
        <w:tblLayout w:type="fixed"/>
        <w:tblCellMar>
          <w:top w:w="0" w:type="dxa"/>
          <w:left w:w="0" w:type="dxa"/>
          <w:bottom w:w="0" w:type="dxa"/>
          <w:right w:w="0" w:type="dxa"/>
        </w:tblCellMar>
      </w:tblPr>
      <w:tblGrid>
        <w:gridCol w:w="376"/>
        <w:gridCol w:w="739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11.</w:t>
            </w:r>
          </w:p>
        </w:tc>
        <w:tc>
          <w:tcPr>
            <w:tcW w:w="739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ACCRUED EXPENSES AND OTHER CURRENT LIABILITIES — THIRD PARTIES</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Accrued expenses and other current liabilities — third parties consisted of the following:</w:t>
      </w:r>
    </w:p>
    <w:p>
      <w:pPr>
        <w:pStyle w:val="TextBody"/>
        <w:bidi w:val="0"/>
        <w:spacing w:lineRule="auto" w:line="307" w:before="0" w:after="160"/>
        <w:ind w:left="0" w:right="0" w:hanging="0"/>
        <w:jc w:val="left"/>
        <w:rPr/>
      </w:pPr>
      <w:r>
        <w:rPr/>
        <w:t>​</w:t>
      </w:r>
    </w:p>
    <w:tbl>
      <w:tblPr>
        <w:tblW w:w="7205" w:type="dxa"/>
        <w:jc w:val="left"/>
        <w:tblInd w:w="0" w:type="dxa"/>
        <w:tblLayout w:type="fixed"/>
        <w:tblCellMar>
          <w:top w:w="0" w:type="dxa"/>
          <w:left w:w="0" w:type="dxa"/>
          <w:bottom w:w="0" w:type="dxa"/>
          <w:right w:w="0" w:type="dxa"/>
        </w:tblCellMar>
      </w:tblPr>
      <w:tblGrid>
        <w:gridCol w:w="4846"/>
        <w:gridCol w:w="346"/>
        <w:gridCol w:w="781"/>
        <w:gridCol w:w="346"/>
        <w:gridCol w:w="88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077210" cy="175260"/>
                      <wp:effectExtent l="0" t="0" r="0" b="0"/>
                      <wp:wrapNone/>
                      <wp:docPr id="391" name="Frame386"/>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2"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5935" cy="175260"/>
                      <wp:effectExtent l="0" t="0" r="0" b="0"/>
                      <wp:wrapNone/>
                      <wp:docPr id="393" name="Frame3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4"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62610" cy="175260"/>
                      <wp:effectExtent l="0" t="0" r="0" b="0"/>
                      <wp:wrapNone/>
                      <wp:docPr id="395" name="Frame39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01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salaries and benefits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55,135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60,450</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Payables for R&amp;D expenses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30,124</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50,176</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Payables for marketing events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49,781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84,423</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Payables for purchase of property, equipment and software</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24,534</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68,238</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Advance from customers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3,881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3,624</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Deposits from third parties suppliers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9,950</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22,615</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VAT and other taxes payables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11,782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27,649</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Payables for service fees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31,754</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50,470</w:t>
            </w:r>
          </w:p>
        </w:tc>
      </w:tr>
      <w:tr>
        <w:trPr/>
        <w:tc>
          <w:tcPr>
            <w:tcW w:w="4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34,420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22,146</w:t>
            </w:r>
          </w:p>
        </w:tc>
      </w:tr>
      <w:tr>
        <w:trPr/>
        <w:tc>
          <w:tcPr>
            <w:tcW w:w="484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251,361</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389,791</w:t>
            </w:r>
          </w:p>
        </w:tc>
      </w:tr>
    </w:tbl>
    <w:p>
      <w:pPr>
        <w:pStyle w:val="TextBody"/>
        <w:bidi w:val="0"/>
        <w:spacing w:lineRule="auto" w:line="307" w:before="0" w:after="200"/>
        <w:ind w:left="720" w:right="0" w:hanging="0"/>
        <w:jc w:val="both"/>
        <w:rPr/>
      </w:pPr>
      <w:r>
        <w:rPr/>
        <w:t>​</w:t>
      </w:r>
    </w:p>
    <w:p>
      <w:pPr>
        <w:pStyle w:val="TextBody"/>
        <w:bidi w:val="0"/>
        <w:spacing w:lineRule="auto" w:line="307" w:before="0" w:after="200"/>
        <w:ind w:left="720" w:right="0" w:hanging="0"/>
        <w:jc w:val="both"/>
        <w:rPr/>
      </w:pPr>
      <w:r>
        <w:rPr/>
        <w:t>​</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2028" w:name="Tc_Fte1Blk2h0SCKgcCtTPiag_8_0"/>
      <w:bookmarkStart w:id="2029" w:name="Tc_2AAuVc4vbEWER-_Td03Mmg_7_0"/>
      <w:bookmarkStart w:id="2030" w:name="Tc_hVgxJnEO7EuuvcOBBkC9Ng_6_2"/>
      <w:bookmarkStart w:id="2031" w:name="Tc_q7UoR6JN4UG1onW-uYKf9A_6_0"/>
      <w:bookmarkStart w:id="2032" w:name="Tc_rfmtiCULREunaKBSDfkgzQ_5_2"/>
      <w:bookmarkStart w:id="2033" w:name="Tc_K8-YoBjaLU6rawNTtqQPcQ_5_0"/>
      <w:bookmarkStart w:id="2034" w:name="Tc_MBZG_v60PUmzPecjyreo0g_4_4"/>
      <w:bookmarkStart w:id="2035" w:name="Tc_Ts9B2Bl0M0m2nWg0m3x7Gw_4_0"/>
      <w:bookmarkStart w:id="2036" w:name="Tc_RIwRwA45kkmEhvZNHxXuzA_3_4"/>
      <w:bookmarkStart w:id="2037" w:name="Tc_6X2F58g85kqv-tU5SxRPqw_3_2"/>
      <w:bookmarkStart w:id="2038" w:name="Tc_5Sa4LMaGSEKN5uDcxFM0NQ_2_4"/>
      <w:bookmarkStart w:id="2039" w:name="Tc_43_cCqfeZk-nmCCEw8Lt3A_2_2"/>
      <w:bookmarkStart w:id="2040" w:name="Tc_dtI6vKws3kue8t-9ibK7qA_1_2"/>
      <w:bookmarkStart w:id="2041" w:name="Tc_Fte1Blk2h0SCKgcCtTPiag_8_0"/>
      <w:bookmarkStart w:id="2042" w:name="Tc_2AAuVc4vbEWER-_Td03Mmg_7_0"/>
      <w:bookmarkStart w:id="2043" w:name="Tc_hVgxJnEO7EuuvcOBBkC9Ng_6_2"/>
      <w:bookmarkStart w:id="2044" w:name="Tc_q7UoR6JN4UG1onW-uYKf9A_6_0"/>
      <w:bookmarkStart w:id="2045" w:name="Tc_rfmtiCULREunaKBSDfkgzQ_5_2"/>
      <w:bookmarkStart w:id="2046" w:name="Tc_K8-YoBjaLU6rawNTtqQPcQ_5_0"/>
      <w:bookmarkStart w:id="2047" w:name="Tc_MBZG_v60PUmzPecjyreo0g_4_4"/>
      <w:bookmarkStart w:id="2048" w:name="Tc_Ts9B2Bl0M0m2nWg0m3x7Gw_4_0"/>
      <w:bookmarkStart w:id="2049" w:name="Tc_RIwRwA45kkmEhvZNHxXuzA_3_4"/>
      <w:bookmarkStart w:id="2050" w:name="Tc_6X2F58g85kqv-tU5SxRPqw_3_2"/>
      <w:bookmarkStart w:id="2051" w:name="Tc_5Sa4LMaGSEKN5uDcxFM0NQ_2_4"/>
      <w:bookmarkStart w:id="2052" w:name="Tc_43_cCqfeZk-nmCCEw8Lt3A_2_2"/>
      <w:bookmarkStart w:id="2053" w:name="Tc_dtI6vKws3kue8t-9ibK7qA_1_2"/>
      <w:bookmarkEnd w:id="2041"/>
      <w:bookmarkEnd w:id="2042"/>
      <w:bookmarkEnd w:id="2043"/>
      <w:bookmarkEnd w:id="2044"/>
      <w:bookmarkEnd w:id="2045"/>
      <w:bookmarkEnd w:id="2046"/>
      <w:bookmarkEnd w:id="2047"/>
      <w:bookmarkEnd w:id="2048"/>
      <w:bookmarkEnd w:id="2049"/>
      <w:bookmarkEnd w:id="2050"/>
      <w:bookmarkEnd w:id="2051"/>
      <w:bookmarkEnd w:id="2052"/>
      <w:bookmarkEnd w:id="2053"/>
    </w:p>
    <w:tbl>
      <w:tblPr>
        <w:tblW w:w="2792" w:type="dxa"/>
        <w:jc w:val="left"/>
        <w:tblInd w:w="0" w:type="dxa"/>
        <w:tblLayout w:type="fixed"/>
        <w:tblCellMar>
          <w:top w:w="0" w:type="dxa"/>
          <w:left w:w="0" w:type="dxa"/>
          <w:bottom w:w="0" w:type="dxa"/>
          <w:right w:w="0" w:type="dxa"/>
        </w:tblCellMar>
      </w:tblPr>
      <w:tblGrid>
        <w:gridCol w:w="376"/>
        <w:gridCol w:w="2416"/>
      </w:tblGrid>
      <w:tr>
        <w:trPr/>
        <w:tc>
          <w:tcPr>
            <w:tcW w:w="376"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12.</w:t>
            </w:r>
          </w:p>
        </w:tc>
        <w:tc>
          <w:tcPr>
            <w:tcW w:w="2416"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WARRANT LIABILITIES</w:t>
            </w:r>
          </w:p>
        </w:tc>
      </w:tr>
    </w:tbl>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shows the movement of warrant liabilities:</w:t>
      </w:r>
    </w:p>
    <w:p>
      <w:pPr>
        <w:pStyle w:val="TextBody"/>
        <w:bidi w:val="0"/>
        <w:spacing w:lineRule="auto" w:line="307" w:before="0" w:after="160"/>
        <w:ind w:left="0" w:right="0" w:hanging="0"/>
        <w:jc w:val="left"/>
        <w:rPr/>
      </w:pPr>
      <w:r>
        <w:rPr/>
        <w:t>​</w:t>
      </w:r>
    </w:p>
    <w:tbl>
      <w:tblPr>
        <w:tblW w:w="5146" w:type="dxa"/>
        <w:jc w:val="left"/>
        <w:tblInd w:w="0" w:type="dxa"/>
        <w:tblLayout w:type="fixed"/>
        <w:tblCellMar>
          <w:top w:w="0" w:type="dxa"/>
          <w:left w:w="0" w:type="dxa"/>
          <w:bottom w:w="0" w:type="dxa"/>
          <w:right w:w="0" w:type="dxa"/>
        </w:tblCellMar>
      </w:tblPr>
      <w:tblGrid>
        <w:gridCol w:w="2761"/>
        <w:gridCol w:w="346"/>
        <w:gridCol w:w="918"/>
        <w:gridCol w:w="144"/>
        <w:gridCol w:w="977"/>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753235" cy="175260"/>
                      <wp:effectExtent l="0" t="0" r="0" b="0"/>
                      <wp:wrapNone/>
                      <wp:docPr id="396" name="Frame39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397"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82930" cy="175260"/>
                      <wp:effectExtent l="0" t="0" r="0" b="0"/>
                      <wp:wrapNone/>
                      <wp:docPr id="398" name="Frame393"/>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91440" cy="175260"/>
                      <wp:effectExtent l="0" t="0" r="0" b="0"/>
                      <wp:wrapNone/>
                      <wp:docPr id="399" name="Frame394"/>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20395" cy="175260"/>
                      <wp:effectExtent l="0" t="0" r="0" b="0"/>
                      <wp:wrapNone/>
                      <wp:docPr id="400" name="Frame395"/>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
              <w:ind w:left="0" w:right="0" w:hanging="0"/>
              <w:jc w:val="left"/>
              <w:rPr/>
            </w:pPr>
            <w:r>
              <w:rPr/>
              <w:t>  ​ ​ ​</w:t>
            </w:r>
          </w:p>
        </w:tc>
        <w:tc>
          <w:tcPr>
            <w:tcW w:w="2039"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27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144" w:type="dxa"/>
            <w:tcBorders/>
            <w:vAlign w:val="center"/>
          </w:tcPr>
          <w:p>
            <w:pPr>
              <w:pStyle w:val="TableContents"/>
              <w:bidi w:val="0"/>
              <w:spacing w:lineRule="auto" w:line="307" w:before="0" w:after="16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27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8"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144" w:type="dxa"/>
            <w:tcBorders/>
            <w:vAlign w:val="center"/>
          </w:tcPr>
          <w:p>
            <w:pPr>
              <w:pStyle w:val="TableContents"/>
              <w:bidi w:val="0"/>
              <w:spacing w:lineRule="auto" w:line="307" w:before="0" w:after="160"/>
              <w:ind w:left="0" w:right="0" w:hanging="0"/>
              <w:jc w:val="left"/>
              <w:rPr/>
            </w:pPr>
            <w:r>
              <w:rPr/>
              <w:t>​</w:t>
            </w:r>
          </w:p>
        </w:tc>
        <w:tc>
          <w:tcPr>
            <w:tcW w:w="977"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7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the year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1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3,340</w:t>
            </w:r>
          </w:p>
        </w:tc>
        <w:tc>
          <w:tcPr>
            <w:tcW w:w="144" w:type="dxa"/>
            <w:tcBorders/>
            <w:shd w:fill="CCEEFF" w:val="clear"/>
            <w:vAlign w:val="center"/>
          </w:tcPr>
          <w:p>
            <w:pPr>
              <w:pStyle w:val="TableContents"/>
              <w:bidi w:val="0"/>
              <w:spacing w:lineRule="auto" w:line="307" w:before="0" w:after="160"/>
              <w:ind w:left="0" w:right="0" w:hanging="0"/>
              <w:jc w:val="left"/>
              <w:rPr/>
            </w:pPr>
            <w:r>
              <w:rPr/>
              <w:t>​</w:t>
            </w:r>
          </w:p>
        </w:tc>
        <w:tc>
          <w:tcPr>
            <w:tcW w:w="977" w:type="dxa"/>
            <w:tcBorders/>
            <w:shd w:fill="CCEEFF" w:val="clear"/>
            <w:vAlign w:val="center"/>
          </w:tcPr>
          <w:p>
            <w:pPr>
              <w:pStyle w:val="TableContents"/>
              <w:bidi w:val="0"/>
              <w:spacing w:lineRule="auto" w:line="307" w:before="0" w:after="1"/>
              <w:ind w:left="0" w:right="0" w:hanging="0"/>
              <w:jc w:val="right"/>
              <w:rPr/>
            </w:pPr>
            <w:r>
              <w:rPr/>
              <w:t>—</w:t>
            </w:r>
          </w:p>
        </w:tc>
      </w:tr>
      <w:tr>
        <w:trPr/>
        <w:tc>
          <w:tcPr>
            <w:tcW w:w="27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Issuance of warrant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18" w:type="dxa"/>
            <w:tcBorders/>
            <w:vAlign w:val="center"/>
          </w:tcPr>
          <w:p>
            <w:pPr>
              <w:pStyle w:val="TableContents"/>
              <w:bidi w:val="0"/>
              <w:spacing w:lineRule="auto" w:line="307" w:before="0" w:after="1"/>
              <w:ind w:left="0" w:right="0" w:hanging="0"/>
              <w:jc w:val="right"/>
              <w:rPr/>
            </w:pPr>
            <w:r>
              <w:rPr/>
              <w:t>—</w:t>
            </w:r>
          </w:p>
        </w:tc>
        <w:tc>
          <w:tcPr>
            <w:tcW w:w="144" w:type="dxa"/>
            <w:tcBorders/>
            <w:vAlign w:val="center"/>
          </w:tcPr>
          <w:p>
            <w:pPr>
              <w:pStyle w:val="TableContents"/>
              <w:bidi w:val="0"/>
              <w:spacing w:lineRule="auto" w:line="307" w:before="0" w:after="160"/>
              <w:ind w:left="0" w:right="0" w:hanging="0"/>
              <w:jc w:val="left"/>
              <w:rPr/>
            </w:pPr>
            <w:r>
              <w:rPr/>
              <w:t>​</w:t>
            </w:r>
          </w:p>
        </w:tc>
        <w:tc>
          <w:tcPr>
            <w:tcW w:w="97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12,141</w:t>
            </w:r>
          </w:p>
        </w:tc>
      </w:tr>
      <w:tr>
        <w:trPr/>
        <w:tc>
          <w:tcPr>
            <w:tcW w:w="27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Conversion to ordinary shares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18" w:type="dxa"/>
            <w:tcBorders/>
            <w:shd w:fill="CCEEFF" w:val="clear"/>
            <w:vAlign w:val="center"/>
          </w:tcPr>
          <w:p>
            <w:pPr>
              <w:pStyle w:val="TableContents"/>
              <w:bidi w:val="0"/>
              <w:spacing w:lineRule="auto" w:line="307" w:before="0" w:after="1"/>
              <w:ind w:left="0" w:right="0" w:hanging="0"/>
              <w:jc w:val="right"/>
              <w:rPr/>
            </w:pPr>
            <w:r>
              <w:rPr/>
              <w:t>—</w:t>
            </w:r>
          </w:p>
        </w:tc>
        <w:tc>
          <w:tcPr>
            <w:tcW w:w="144" w:type="dxa"/>
            <w:tcBorders/>
            <w:shd w:fill="CCEEFF" w:val="clear"/>
            <w:vAlign w:val="center"/>
          </w:tcPr>
          <w:p>
            <w:pPr>
              <w:pStyle w:val="TableContents"/>
              <w:bidi w:val="0"/>
              <w:spacing w:lineRule="auto" w:line="307" w:before="0" w:after="160"/>
              <w:ind w:left="0" w:right="0" w:hanging="0"/>
              <w:jc w:val="left"/>
              <w:rPr/>
            </w:pPr>
            <w:r>
              <w:rPr/>
              <w:t>​</w:t>
            </w:r>
          </w:p>
        </w:tc>
        <w:tc>
          <w:tcPr>
            <w:tcW w:w="97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27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w:t>
            </w:r>
          </w:p>
        </w:tc>
        <w:tc>
          <w:tcPr>
            <w:tcW w:w="346" w:type="dxa"/>
            <w:tcBorders/>
            <w:vAlign w:val="center"/>
          </w:tcPr>
          <w:p>
            <w:pPr>
              <w:pStyle w:val="TableContents"/>
              <w:bidi w:val="0"/>
              <w:spacing w:lineRule="auto" w:line="307" w:before="0" w:after="1"/>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(2,540)</w:t>
            </w:r>
          </w:p>
        </w:tc>
        <w:tc>
          <w:tcPr>
            <w:tcW w:w="144" w:type="dxa"/>
            <w:tcBorders/>
            <w:vAlign w:val="center"/>
          </w:tcPr>
          <w:p>
            <w:pPr>
              <w:pStyle w:val="TableContents"/>
              <w:bidi w:val="0"/>
              <w:spacing w:lineRule="auto" w:line="307" w:before="0" w:after="16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(8,526)</w:t>
            </w:r>
          </w:p>
        </w:tc>
      </w:tr>
      <w:tr>
        <w:trPr/>
        <w:tc>
          <w:tcPr>
            <w:tcW w:w="27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the year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18"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144" w:type="dxa"/>
            <w:tcBorders/>
            <w:shd w:fill="CCEEFF" w:val="clear"/>
            <w:vAlign w:val="center"/>
          </w:tcPr>
          <w:p>
            <w:pPr>
              <w:pStyle w:val="TableContents"/>
              <w:bidi w:val="0"/>
              <w:spacing w:lineRule="auto" w:line="307" w:before="0" w:after="160"/>
              <w:ind w:left="0" w:right="0" w:hanging="0"/>
              <w:jc w:val="left"/>
              <w:rPr/>
            </w:pPr>
            <w:r>
              <w:rPr/>
              <w:t>​</w:t>
            </w:r>
          </w:p>
        </w:tc>
        <w:tc>
          <w:tcPr>
            <w:tcW w:w="977"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3,340</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stated in Note 1(b), 9,550,246 Public Warrants were issued to the then public shareholders of LCAA in exchange for the warrants held by public shareholders of LCAA, and 5,486,784 Sponsor Warrants were issued to the Sponsor in exchange for warrants held by the Sponsor.</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Given the Public Warrants are publicly traded on Nasdaq, the liability is measured at fair value using observable inputs and categorized in Level 1 of the fair value hierarchy, while the Sponsor Warrants liability is measured at fair value using unobservable inputs and categorized in Level 3 of the fair value hierarchy. The Binomial Option Pricing Model is used for estimating the fair value of the Sponsor Warrants as of December 31, 2024, using the following assumptions: i) risk-free interest rate of 4.33%, ii) expected dividend rate of 0.00%, iii) expected term of 4.14 years, iv) expected volatility of 39.76%, and v) spot price of US$3.61. As of December 31, 2025, the management determined fair value of Public Warrants and Sponsor Warrants were approximate, and used fair value of Public Warrants to estimate fair value of Sponsor Warrants.</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tbl>
      <w:tblPr>
        <w:tblW w:w="2672" w:type="dxa"/>
        <w:jc w:val="left"/>
        <w:tblInd w:w="0" w:type="dxa"/>
        <w:tblLayout w:type="fixed"/>
        <w:tblCellMar>
          <w:top w:w="0" w:type="dxa"/>
          <w:left w:w="0" w:type="dxa"/>
          <w:bottom w:w="0" w:type="dxa"/>
          <w:right w:w="0" w:type="dxa"/>
        </w:tblCellMar>
      </w:tblPr>
      <w:tblGrid>
        <w:gridCol w:w="376"/>
        <w:gridCol w:w="2296"/>
      </w:tblGrid>
      <w:tr>
        <w:trPr/>
        <w:tc>
          <w:tcPr>
            <w:tcW w:w="376"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13.</w:t>
            </w:r>
          </w:p>
        </w:tc>
        <w:tc>
          <w:tcPr>
            <w:tcW w:w="2296" w:type="dxa"/>
            <w:tcBorders/>
            <w:vAlign w:val="center"/>
          </w:tcPr>
          <w:p>
            <w:pPr>
              <w:pStyle w:val="TableContents"/>
              <w:bidi w:val="0"/>
              <w:spacing w:lineRule="auto" w:line="285" w:before="0" w:after="240"/>
              <w:jc w:val="left"/>
              <w:rPr>
                <w:rFonts w:ascii="Times New Roman;Times;serif" w:hAnsi="Times New Roman;Times;serif"/>
                <w:b/>
                <w:sz w:val="20"/>
              </w:rPr>
            </w:pPr>
            <w:r>
              <w:rPr>
                <w:rFonts w:ascii="Times New Roman;Times;serif" w:hAnsi="Times New Roman;Times;serif"/>
                <w:b/>
                <w:sz w:val="20"/>
              </w:rPr>
              <w:t>MERITZ INVESTMENT</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22, 2024, the Company issued 50,000,000 ordinary shares to Meritz (“Meritz Subscription Shares”) at an aggregate subscription price equal to US$500,000 (“Meritz Investment”). Pursuant to the Meritz subscription agreement (“Meritz Subscription Agreement”), the Company deposited into a restricted securities account consisting of: (i) certain U.S. treasury bonds with an aggregate outstanding principal amount of US$325,000 at fair value of US$312,616 on February 26, 2024, and (ii) certain U.S. treasury bills with an aggregate outstanding principal amount of US$189,613 at fair value of US$187,384 on February 26, 2024. During the year ended December 31, 2024, following the effectiveness of registration statement (F-1) on May 23, 2024, the Company withdrew U.S. treasury bonds and/or U.S. treasury bills with outstanding principal amount of US$189,613 at cash receipt of US$189,630. During the year ended December 31, 2025, following the share buyback agreement entered into on August 27, 2025, the Company redeemed the remaining U.S. treasury bonds and/or U.S. treasury bills with outstanding principal amount of US$326,891, receiving cash proceeds of US$326,891.</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October 15, 2024, Yin Qing Holdings Limited, which is wholly owned by Mr. Qingfeng Feng, the CEO and director of the Company, pledged all of its rights and interests in 7,000,000 Company’s ordinary shares (“Pledged Shares”) in favor of Meritz, served as security for the Company’s full and timely fulfillment of its obligation under the Meritz Subscription Agreement.</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On March 28, 2025, the Company entered into an amended and restated share buyback agreement (the “A&amp;R SBA”) with Meritz to amend and restate in its entirety a share buyback agreement dated November 29, 2024 previously entered between the Company and Meritz. Pursuant to the A&amp;R SBA, Meritz agrees to sell, and the Company agrees to repurchase 17,500,000 ADSs (“Share Buyback Transaction”) and the default interest, with cumulative accrued amount of US$22,261 as of March 28, 2025, stopped accruing since March 28, 2025.</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Upon the completion of the Share Buyback Transaction (the “Closing”), certain provisions under the subscription agreement terminated, including: (i) the obligation for the Company to maintain US$175,000 of unrestricted cash as of the last date of each fiscal quarter; (ii) the Company’s call option to acquire certain Meritz shares at US$14.00 per share if the closing price of the ADSs for a five-trading-day period exceeds US$14.00; and (iii) the Company’s obligation to deposit additional cash as collateral in the restricted cash account to secure its obligations due to changes in the closing price of the ADSs. After the Closing, Meritz has the option to sell all or part of the remaining 32,500,000 ordinary shares to the Company upon the third anniversary of the closing of the Meritz Investment.</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Pursuant to the A&amp;R SBA, the Company agreed to complete the full payment of a deposit of US$150,938 (“SBA Deposit”) to Meritz on or before April 30, 2025 and the remaining repurchase price (an amount that provides Meritz with a 12.5% annualized interest rate on US$48,109, calculated for the period between March 28, 2025 and the date of Closing), together with any accrued default interest (to the extent not waived by Meritz in accordance with the A&amp;R SBA), at the Closing to take place on or before September 30, 2025. Closing is subject to customary closing conditions. In the event that the SBA Deposit is not paid on or before April 30, 2025 or the Closing does not take place on or prior to September 30, 2025 (except due to Meritz’s failure to satisfy certain closing conditions, provided that the Company is not in breach of any representation or warranty, covenant or other agreement and is otherwise ready, willing and able to consummate the Closing), (i) an event of default will be deemed to occur under the subscription agreement; (ii) to the extent that the event of default occurs on September 30, 2025, Meritz shall transfer 12,689,058 ADSs to Lotus EV Limited, the Company’s subsidiary. Lotus EV Limited shall pledge such shares to Meritz, and such pledged ADSs will become immediately enforceable and shall be enforced by Meritz; (iii) Meritz shall enforce the security under the Subscription Agreement; (iv) Meritz shall enforce the Pledged Shares in favor of Meritz; and (v) Meritz will have the right to terminate the A&amp;R SBA. The aforementioned SBA Deposit was fully settled on April 30, 2025.</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On July 31, 2025, the remaining repurchase price of US$50,090 was fully paid by the Company, and all default interest was waived in accordance with the A&amp;R SBA. On August 4, 2025, 17,500,000 ADSs were transferred from Meritz to the Company. On August 5, 2025, the Pledged Shares were fully released.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160"/>
        <w:ind w:left="0" w:right="0" w:firstLine="720"/>
        <w:jc w:val="both"/>
        <w:rPr>
          <w:rFonts w:ascii="Times New Roman;Times;serif" w:hAnsi="Times New Roman;Times;serif"/>
          <w:sz w:val="20"/>
        </w:rPr>
      </w:pPr>
      <w:bookmarkStart w:id="2054" w:name="Tc_l6yGKir0Q0uBT9zLVQhtow_13_4"/>
      <w:bookmarkStart w:id="2055" w:name="Tc_vI2EgaacBE2_WXFlosHKSA_13_2"/>
      <w:bookmarkStart w:id="2056" w:name="Tc_BzkZtvUQZEe4Dwvp24NdkA_13_0"/>
      <w:bookmarkStart w:id="2057" w:name="Tc_XoXtHyzYq024bvxKQjiqcA_12_2"/>
      <w:bookmarkStart w:id="2058" w:name="Tc_u4NL0996f0a9qD295jyrgg_12_0"/>
      <w:bookmarkStart w:id="2059" w:name="Tc_jFY_ZttC_UaombuLN1pyCA_11_0"/>
      <w:bookmarkStart w:id="2060" w:name="Tc_Btx4MpqrWU-7YMTVJ4kYJQ_10_2"/>
      <w:bookmarkStart w:id="2061" w:name="Tc_mbbi--dwQ0KbtU3YBWnXKw_10_0"/>
      <w:bookmarkStart w:id="2062" w:name="Tc_-6_L75ek4USoGAA40-gnQg_9_4"/>
      <w:bookmarkStart w:id="2063" w:name="Tc_B19h7ly6SEWftw9WKPzcOg_9_0"/>
      <w:bookmarkStart w:id="2064" w:name="Tc_cUdGXV1wp0aQENZYrJoODA_8_2"/>
      <w:bookmarkStart w:id="2065" w:name="Tc_zWzxEsZoIka8RmQojFNFLg_8_0"/>
      <w:bookmarkStart w:id="2066" w:name="Tc_faWP3Frbvk-dhdtMEmxiKw_7_4"/>
      <w:bookmarkStart w:id="2067" w:name="Tc_xZsSJJaFV0iiYzfcTHJFKg_7_0"/>
      <w:bookmarkStart w:id="2068" w:name="Tc_qucDn4LZS0ep_5d_FtBfHA_6_0"/>
      <w:bookmarkStart w:id="2069" w:name="Tc_9twyMS4FcUy9C6JQC_Au-Q_5_2"/>
      <w:bookmarkStart w:id="2070" w:name="Tc_M9Yz5lMXUkKej7v9CDNTgw_5_0"/>
      <w:bookmarkStart w:id="2071" w:name="Tc_VHzFMvNz-EyBdfwj_wJaHw_4_4"/>
      <w:bookmarkStart w:id="2072" w:name="Tc_iodDMWry5Uih-sZGl33Uiw_4_0"/>
      <w:bookmarkStart w:id="2073" w:name="Tc_Ywh_L7qAg0GVALj_xkkPdw_3_4"/>
      <w:bookmarkStart w:id="2074" w:name="Tc_qcTWnWjGIUWmLdmLzKUpGw_3_2"/>
      <w:bookmarkStart w:id="2075" w:name="Tc_0xwSv9_KC0CZzIcBM96uYw_2_4"/>
      <w:bookmarkStart w:id="2076" w:name="Tc_8vjpyY7UNUe7BJHm-MFOCg_2_2"/>
      <w:bookmarkStart w:id="2077" w:name="Tc_GuNwXJdXl0Wgf5FK87SuOQ_1_2"/>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r>
        <w:rPr>
          <w:rFonts w:ascii="Times New Roman;Times;serif" w:hAnsi="Times New Roman;Times;serif"/>
          <w:sz w:val="20"/>
        </w:rPr>
        <w:t>On August 27, 2025, the Company entered into a new share buyback agreement with Meritz pursuant to which Meritz agreed to sell, and the Company agreed to repurchase 32,500,000 ADSs of the Company for an aggregate purchase price of US$387,366 plus additional depositary fee of US$1,000. On September 5, 2025, purchase price and additional depositary fee was fully paid by the Company and the transaction was closed. Upon closing, Meritz Subscription Agreement and A&amp;R SBA, including all obligations of the Company thereunder, were terminated and of no further force or effect.</w:t>
      </w:r>
    </w:p>
    <w:p>
      <w:pPr>
        <w:pStyle w:val="TextBody"/>
        <w:bidi w:val="0"/>
        <w:spacing w:lineRule="auto" w:line="307" w:before="0" w:after="160"/>
        <w:ind w:left="0" w:right="0" w:hanging="0"/>
        <w:jc w:val="left"/>
        <w:rPr>
          <w:rFonts w:ascii="Times New Roman;Times;serif" w:hAnsi="Times New Roman;Times;serif"/>
          <w:i/>
          <w:sz w:val="20"/>
        </w:rPr>
      </w:pPr>
      <w:r>
        <w:rPr>
          <w:rFonts w:ascii="Times New Roman;Times;serif" w:hAnsi="Times New Roman;Times;serif"/>
          <w:i/>
          <w:sz w:val="20"/>
        </w:rPr>
        <w:t>Accounting for the Meritz Investment</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 xml:space="preserve">At initial recognition, the Meritz put option liability is determined to be a freestanding financial instrument that is accounted for as a liability in the scope of ASC Topic 480, </w:t>
      </w:r>
      <w:r>
        <w:rPr>
          <w:rFonts w:ascii="Times New Roman;Times;serif" w:hAnsi="Times New Roman;Times;serif"/>
          <w:i/>
          <w:sz w:val="20"/>
        </w:rPr>
        <w:t>Distinguishing Liabilities from Equity</w:t>
      </w:r>
      <w:r>
        <w:rPr>
          <w:rFonts w:ascii="Times New Roman;Times;serif" w:hAnsi="Times New Roman;Times;serif"/>
          <w:sz w:val="20"/>
        </w:rPr>
        <w:t>, because the put options embody an obligation to repurchase equity shares by transferring assets. The Company initially measured the Meritz put option liability at fair value and subsequently remeasured to fair value with changes in fair value of recognized as “Changes in fair values of liabilities, excluding impact of instrument-specific credit risk”.</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Since the Share Buyback Agreement is entered into separately and apart from the issuance of the underlying 17,500,000 Meritz Subscription Shares, the Share Buyback Agreement is a freestanding financial instrument. The share buyback obligation is unconditional and requires the Company to repurchase a fixed number of its own equity shares for cash. Accordingly, the Company accounts for the share buyback obligation as a physically settled forward purchase contract in the scope of ASC Topic 480. On April 30, 2025, the Company paid the remaining SBA Deposit of US$74,469, which can be used to settle the repurchase obligation. On September 5, 2025, all of 50,000,000 ADSs under Meritz Investment were fully repurchased. The repurchased ordinary shares were accounted for using the cost method and recorded as treasury stock as a component of the shareholders’ deficit.</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Since the Meritz Put Option was triggered as of December 31, 2024, the put option liabilities of US$309,115 was classified as current liabilities in the consolidated balance sheet as of December 31, 2024. The fair value of the put option liability as of December 31, 2024 was estimated using the scenario-weighted average method with binomial model, with the following assumptions: i) risk</w:t>
        <w:noBreakHyphen/>
        <w:t>free interest rate of 4.25%, ii) expected volatility of 55.07%, iii) expected dividend yield of 0.00%, and iv) remaining term of 2.14 years.</w:t>
      </w:r>
    </w:p>
    <w:p>
      <w:pPr>
        <w:pStyle w:val="TextBody"/>
        <w:bidi w:val="0"/>
        <w:spacing w:lineRule="auto" w:line="285" w:before="0" w:after="160"/>
        <w:ind w:left="0" w:right="0" w:firstLine="720"/>
        <w:jc w:val="both"/>
        <w:rPr>
          <w:rFonts w:ascii="Times New Roman;Times;serif" w:hAnsi="Times New Roman;Times;serif"/>
          <w:sz w:val="20"/>
        </w:rPr>
      </w:pPr>
      <w:r>
        <w:rPr>
          <w:rFonts w:ascii="Times New Roman;Times;serif" w:hAnsi="Times New Roman;Times;serif"/>
          <w:sz w:val="20"/>
        </w:rPr>
        <w:t>The movement of Meritz put option during the years ended December 31, 2025 and 2024 consisted of the following:</w:t>
      </w:r>
    </w:p>
    <w:p>
      <w:pPr>
        <w:pStyle w:val="TextBody"/>
        <w:bidi w:val="0"/>
        <w:spacing w:lineRule="auto" w:line="307" w:before="0" w:after="160"/>
        <w:ind w:left="0" w:right="0" w:hanging="0"/>
        <w:jc w:val="left"/>
        <w:rPr/>
      </w:pPr>
      <w:r>
        <w:rPr/>
        <w:t>​</w:t>
      </w:r>
    </w:p>
    <w:tbl>
      <w:tblPr>
        <w:tblW w:w="6230" w:type="dxa"/>
        <w:jc w:val="left"/>
        <w:tblInd w:w="0" w:type="dxa"/>
        <w:tblLayout w:type="fixed"/>
        <w:tblCellMar>
          <w:top w:w="0" w:type="dxa"/>
          <w:left w:w="0" w:type="dxa"/>
          <w:bottom w:w="0" w:type="dxa"/>
          <w:right w:w="0" w:type="dxa"/>
        </w:tblCellMar>
      </w:tblPr>
      <w:tblGrid>
        <w:gridCol w:w="3691"/>
        <w:gridCol w:w="346"/>
        <w:gridCol w:w="901"/>
        <w:gridCol w:w="346"/>
        <w:gridCol w:w="94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343785" cy="175260"/>
                      <wp:effectExtent l="0" t="0" r="0" b="0"/>
                      <wp:wrapNone/>
                      <wp:docPr id="401" name="Frame396"/>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2"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72135" cy="175260"/>
                      <wp:effectExtent l="0" t="0" r="0" b="0"/>
                      <wp:wrapNone/>
                      <wp:docPr id="403" name="Frame39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04"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00710" cy="175260"/>
                      <wp:effectExtent l="0" t="0" r="0" b="0"/>
                      <wp:wrapNone/>
                      <wp:docPr id="405" name="Frame40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19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6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6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69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Balance at beginning of the year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309,115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r>
      <w:tr>
        <w:trPr/>
        <w:tc>
          <w:tcPr>
            <w:tcW w:w="369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Issuance of put options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130,082</w:t>
            </w:r>
          </w:p>
        </w:tc>
      </w:tr>
      <w:tr>
        <w:trPr/>
        <w:tc>
          <w:tcPr>
            <w:tcW w:w="369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Change in fair values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8,726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299,593</w:t>
            </w:r>
          </w:p>
        </w:tc>
      </w:tr>
      <w:tr>
        <w:trPr/>
        <w:tc>
          <w:tcPr>
            <w:tcW w:w="369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Repurchased and recorded as treasury stock</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70,525</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pPr>
            <w:r>
              <w:rPr/>
              <w:t>—</w:t>
            </w:r>
          </w:p>
        </w:tc>
      </w:tr>
      <w:tr>
        <w:trPr/>
        <w:tc>
          <w:tcPr>
            <w:tcW w:w="369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Transfer to share buyback forward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(120,560)</w:t>
            </w:r>
          </w:p>
        </w:tc>
      </w:tr>
      <w:tr>
        <w:trPr/>
        <w:tc>
          <w:tcPr>
            <w:tcW w:w="369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Settlement of put options</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(388,366)</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369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b/>
                <w:sz w:val="20"/>
              </w:rPr>
            </w:pPr>
            <w:r>
              <w:rPr>
                <w:rFonts w:ascii="Times New Roman;Times;serif" w:hAnsi="Times New Roman;Times;serif"/>
                <w:b/>
                <w:sz w:val="20"/>
              </w:rPr>
              <w:t>Balance at end of the year</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309,115</w:t>
            </w:r>
          </w:p>
        </w:tc>
      </w:tr>
      <w:tr>
        <w:trPr/>
        <w:tc>
          <w:tcPr>
            <w:tcW w:w="369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60"/>
              <w:ind w:left="0" w:right="0" w:hanging="0"/>
              <w:jc w:val="right"/>
              <w:rPr/>
            </w:pPr>
            <w:r>
              <w:rPr/>
              <w:t>​</w:t>
            </w:r>
          </w:p>
        </w:tc>
      </w:tr>
      <w:tr>
        <w:trPr/>
        <w:tc>
          <w:tcPr>
            <w:tcW w:w="36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Current portion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309,115</w:t>
            </w:r>
          </w:p>
        </w:tc>
      </w:tr>
      <w:tr>
        <w:trPr/>
        <w:tc>
          <w:tcPr>
            <w:tcW w:w="36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Non-current portion</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2078" w:name="Tc_xLtYevqWMUiG90ZzGEco9A_25_2"/>
      <w:bookmarkStart w:id="2079" w:name="Tc_233i8O11YUShoyBLovth7A_25_0"/>
      <w:bookmarkStart w:id="2080" w:name="Tc_6CxvCu_dNEaRWDvyvWiBcQ_24_8"/>
      <w:bookmarkStart w:id="2081" w:name="Tc_zlq4Qcu4t06_qBh28nL-xw_24_6"/>
      <w:bookmarkStart w:id="2082" w:name="Tc_4c1H06MaKE6Iy6BaGeE64g_24_4"/>
      <w:bookmarkStart w:id="2083" w:name="Tc_ym-x3NeoVEmOLWHJjiyPGQ_24_2"/>
      <w:bookmarkStart w:id="2084" w:name="Tc_ByjMsK2L30aCzpU0X-Sixw_24_0"/>
      <w:bookmarkStart w:id="2085" w:name="Tc_s0gAO-aREEysDVWq0q3R9A_23_0"/>
      <w:bookmarkStart w:id="2086" w:name="Tc_p1IHzfnSmUaMdjO5FZ5wHw_22_2"/>
      <w:bookmarkStart w:id="2087" w:name="Tc_CGK1erjU4EOavUuB-6RXhA_22_0"/>
      <w:bookmarkStart w:id="2088" w:name="Tc_DdT3r-0oPUycwI0MQhn4_w_21_2"/>
      <w:bookmarkStart w:id="2089" w:name="Tc_OB46od5tyUizO8oIt6dAXA_21_0"/>
      <w:bookmarkStart w:id="2090" w:name="Tc_9tOsfCu7Y0ysMThRybvzLg_20_2"/>
      <w:bookmarkStart w:id="2091" w:name="Tc_5fTXJmANPECmqV_o5YRGhQ_20_0"/>
      <w:bookmarkStart w:id="2092" w:name="Tc_PIy0_0qiVUi-mIDjQVpGxA_19_2"/>
      <w:bookmarkStart w:id="2093" w:name="Tc_T6SzjTos7EOIZYTT4SU7wQ_19_0"/>
      <w:bookmarkStart w:id="2094" w:name="Tc_KNN-AX04jUqJVATADbAplg_18_4"/>
      <w:bookmarkStart w:id="2095" w:name="Tc_0QPTy1UP_ki2Zf6SXuV7DQ_18_2"/>
      <w:bookmarkStart w:id="2096" w:name="Tc_ZxXOWnLN90i7MdPQq_4qmQ_18_0"/>
      <w:bookmarkStart w:id="2097" w:name="Tc_Rdf0o5osQ0CVLzzUotJ00Q_17_2"/>
      <w:bookmarkStart w:id="2098" w:name="Tc_rBBf02A_E0C4u6ZjoRnIAA_17_0"/>
      <w:bookmarkStart w:id="2099" w:name="Tc_BgYZ6_meK0O3LlK6H0mHnA_16_0"/>
      <w:bookmarkStart w:id="2100" w:name="Tc_U3YB45o7JUOQ5kvpGksblQ_15_6"/>
      <w:bookmarkStart w:id="2101" w:name="Tc_IVJY3SfZY0WuU0DzYG-F1g_15_4"/>
      <w:bookmarkStart w:id="2102" w:name="Tc_UHRvZORy30e0wTmB26lYcw_15_0"/>
      <w:bookmarkStart w:id="2103" w:name="Tc_v0QH6fXv9kCaExSrYlNomg_14_2"/>
      <w:bookmarkStart w:id="2104" w:name="Tc_YA8UJoQwg0yvbzT42KGiRg_14_0"/>
      <w:bookmarkStart w:id="2105" w:name="Tc_7fa1uHUoqUas1_oBydG6Zg_13_0"/>
      <w:bookmarkStart w:id="2106" w:name="Tc_SKY5aNhez0iM6I0YJNilBQ_12_4"/>
      <w:bookmarkStart w:id="2107" w:name="Tc_JlFdfAGiMUS8tgWt0gVj2g_12_2"/>
      <w:bookmarkStart w:id="2108" w:name="Tc_r5I5s8QN70idI28IL7TLnQ_12_0"/>
      <w:bookmarkStart w:id="2109" w:name="Tc_SUZLRU15X0CL832M8b7iLA_11_6"/>
      <w:bookmarkStart w:id="2110" w:name="Tc_nU1OYZRlZkSJ8mfZ1Io99Q_11_0"/>
      <w:bookmarkStart w:id="2111" w:name="Tc_BYGKAD-aTUiiVXwt0Ik2rA_10_6"/>
      <w:bookmarkStart w:id="2112" w:name="Tc_ERo8PrQ7lk-Nyn2ySi-v8Q_10_0"/>
      <w:bookmarkStart w:id="2113" w:name="Tc_iuQHqNt6LEuAmR0g-Zkq8g_9_6"/>
      <w:bookmarkStart w:id="2114" w:name="Tc_Yes83CwWjE60uyu9Bf4MKg_9_0"/>
      <w:bookmarkStart w:id="2115" w:name="Tc_lmssX49wOUO5r-XOjyp3ww_8_6"/>
      <w:bookmarkStart w:id="2116" w:name="Tc_JfMJk61j8kWUrQakfYo2Ew_8_0"/>
      <w:bookmarkStart w:id="2117" w:name="Tc_YVib9u4JtEydn5Q82KPzqQ_7_6"/>
      <w:bookmarkStart w:id="2118" w:name="Tc_jCqKqWz2hEO2IkkC-Fy5JQ_7_4"/>
      <w:bookmarkStart w:id="2119" w:name="Tc_WUFGAZWQJk-mH4cSAM1hOg_7_0"/>
      <w:bookmarkStart w:id="2120" w:name="Tc_JGUxh34XyEa9vpXbnkz9mg_6_6"/>
      <w:bookmarkStart w:id="2121" w:name="Tc_HMqIUdXsBUGOn5Tu3LaGTA_6_0"/>
      <w:bookmarkStart w:id="2122" w:name="Tc_Vi5OkttBbUeWlu4_ZXXdxg_5_8"/>
      <w:bookmarkStart w:id="2123" w:name="Tc_iliUvceLyEiJKmIWinNh6w_5_6"/>
      <w:bookmarkStart w:id="2124" w:name="Tc_8cmOf7aZ902KLQrYqXCYcg_5_4"/>
      <w:bookmarkStart w:id="2125" w:name="Tc_GLbqG_uA606sYG7ptWWzdA_5_2"/>
      <w:bookmarkStart w:id="2126" w:name="Tc_xCkYMOPTp0GyMIRMHiTsUw_4_8"/>
      <w:bookmarkStart w:id="2127" w:name="Tc_ZzEVG3ANI0u_3XSFzAJtlQ_4_6"/>
      <w:bookmarkStart w:id="2128" w:name="Tc_Ij1WYr_Sgkqlp-X5TorEng_4_4"/>
      <w:bookmarkStart w:id="2129" w:name="Tc_JTZz003uA06vpItFMrg2aw_4_2"/>
      <w:bookmarkStart w:id="2130" w:name="Tc_7j694NHxS02VKWJBtvs8jQ_3_6"/>
      <w:bookmarkStart w:id="2131" w:name="Tc_UjWkWjw0DEmYkNZmRFfxow_3_4"/>
      <w:bookmarkStart w:id="2132" w:name="Tc_ZzqHo7p-CkKdiELZLSGsEw_3_2"/>
      <w:bookmarkStart w:id="2133" w:name="Tc_9lvz-Y0dLECjcVGHreBXYw_2_6"/>
      <w:bookmarkStart w:id="2134" w:name="Tc_J4Pj8oNFPUSRIo-pNcE9EA_2_4"/>
      <w:bookmarkStart w:id="2135" w:name="Tc_4Ex-YxYeMkCw8mU2xHsOFQ_2_2"/>
      <w:bookmarkStart w:id="2136" w:name="Tc_qg9w4Tj1EUauCB5MU3VXhQ_1_4"/>
      <w:bookmarkStart w:id="2137" w:name="Tc_xLtYevqWMUiG90ZzGEco9A_25_2"/>
      <w:bookmarkStart w:id="2138" w:name="Tc_233i8O11YUShoyBLovth7A_25_0"/>
      <w:bookmarkStart w:id="2139" w:name="Tc_6CxvCu_dNEaRWDvyvWiBcQ_24_8"/>
      <w:bookmarkStart w:id="2140" w:name="Tc_zlq4Qcu4t06_qBh28nL-xw_24_6"/>
      <w:bookmarkStart w:id="2141" w:name="Tc_4c1H06MaKE6Iy6BaGeE64g_24_4"/>
      <w:bookmarkStart w:id="2142" w:name="Tc_ym-x3NeoVEmOLWHJjiyPGQ_24_2"/>
      <w:bookmarkStart w:id="2143" w:name="Tc_ByjMsK2L30aCzpU0X-Sixw_24_0"/>
      <w:bookmarkStart w:id="2144" w:name="Tc_s0gAO-aREEysDVWq0q3R9A_23_0"/>
      <w:bookmarkStart w:id="2145" w:name="Tc_p1IHzfnSmUaMdjO5FZ5wHw_22_2"/>
      <w:bookmarkStart w:id="2146" w:name="Tc_CGK1erjU4EOavUuB-6RXhA_22_0"/>
      <w:bookmarkStart w:id="2147" w:name="Tc_DdT3r-0oPUycwI0MQhn4_w_21_2"/>
      <w:bookmarkStart w:id="2148" w:name="Tc_OB46od5tyUizO8oIt6dAXA_21_0"/>
      <w:bookmarkStart w:id="2149" w:name="Tc_9tOsfCu7Y0ysMThRybvzLg_20_2"/>
      <w:bookmarkStart w:id="2150" w:name="Tc_5fTXJmANPECmqV_o5YRGhQ_20_0"/>
      <w:bookmarkStart w:id="2151" w:name="Tc_PIy0_0qiVUi-mIDjQVpGxA_19_2"/>
      <w:bookmarkStart w:id="2152" w:name="Tc_T6SzjTos7EOIZYTT4SU7wQ_19_0"/>
      <w:bookmarkStart w:id="2153" w:name="Tc_KNN-AX04jUqJVATADbAplg_18_4"/>
      <w:bookmarkStart w:id="2154" w:name="Tc_0QPTy1UP_ki2Zf6SXuV7DQ_18_2"/>
      <w:bookmarkStart w:id="2155" w:name="Tc_ZxXOWnLN90i7MdPQq_4qmQ_18_0"/>
      <w:bookmarkStart w:id="2156" w:name="Tc_Rdf0o5osQ0CVLzzUotJ00Q_17_2"/>
      <w:bookmarkStart w:id="2157" w:name="Tc_rBBf02A_E0C4u6ZjoRnIAA_17_0"/>
      <w:bookmarkStart w:id="2158" w:name="Tc_BgYZ6_meK0O3LlK6H0mHnA_16_0"/>
      <w:bookmarkStart w:id="2159" w:name="Tc_U3YB45o7JUOQ5kvpGksblQ_15_6"/>
      <w:bookmarkStart w:id="2160" w:name="Tc_IVJY3SfZY0WuU0DzYG-F1g_15_4"/>
      <w:bookmarkStart w:id="2161" w:name="Tc_UHRvZORy30e0wTmB26lYcw_15_0"/>
      <w:bookmarkStart w:id="2162" w:name="Tc_v0QH6fXv9kCaExSrYlNomg_14_2"/>
      <w:bookmarkStart w:id="2163" w:name="Tc_YA8UJoQwg0yvbzT42KGiRg_14_0"/>
      <w:bookmarkStart w:id="2164" w:name="Tc_7fa1uHUoqUas1_oBydG6Zg_13_0"/>
      <w:bookmarkStart w:id="2165" w:name="Tc_SKY5aNhez0iM6I0YJNilBQ_12_4"/>
      <w:bookmarkStart w:id="2166" w:name="Tc_JlFdfAGiMUS8tgWt0gVj2g_12_2"/>
      <w:bookmarkStart w:id="2167" w:name="Tc_r5I5s8QN70idI28IL7TLnQ_12_0"/>
      <w:bookmarkStart w:id="2168" w:name="Tc_SUZLRU15X0CL832M8b7iLA_11_6"/>
      <w:bookmarkStart w:id="2169" w:name="Tc_nU1OYZRlZkSJ8mfZ1Io99Q_11_0"/>
      <w:bookmarkStart w:id="2170" w:name="Tc_BYGKAD-aTUiiVXwt0Ik2rA_10_6"/>
      <w:bookmarkStart w:id="2171" w:name="Tc_ERo8PrQ7lk-Nyn2ySi-v8Q_10_0"/>
      <w:bookmarkStart w:id="2172" w:name="Tc_iuQHqNt6LEuAmR0g-Zkq8g_9_6"/>
      <w:bookmarkStart w:id="2173" w:name="Tc_Yes83CwWjE60uyu9Bf4MKg_9_0"/>
      <w:bookmarkStart w:id="2174" w:name="Tc_lmssX49wOUO5r-XOjyp3ww_8_6"/>
      <w:bookmarkStart w:id="2175" w:name="Tc_JfMJk61j8kWUrQakfYo2Ew_8_0"/>
      <w:bookmarkStart w:id="2176" w:name="Tc_YVib9u4JtEydn5Q82KPzqQ_7_6"/>
      <w:bookmarkStart w:id="2177" w:name="Tc_jCqKqWz2hEO2IkkC-Fy5JQ_7_4"/>
      <w:bookmarkStart w:id="2178" w:name="Tc_WUFGAZWQJk-mH4cSAM1hOg_7_0"/>
      <w:bookmarkStart w:id="2179" w:name="Tc_JGUxh34XyEa9vpXbnkz9mg_6_6"/>
      <w:bookmarkStart w:id="2180" w:name="Tc_HMqIUdXsBUGOn5Tu3LaGTA_6_0"/>
      <w:bookmarkStart w:id="2181" w:name="Tc_Vi5OkttBbUeWlu4_ZXXdxg_5_8"/>
      <w:bookmarkStart w:id="2182" w:name="Tc_iliUvceLyEiJKmIWinNh6w_5_6"/>
      <w:bookmarkStart w:id="2183" w:name="Tc_8cmOf7aZ902KLQrYqXCYcg_5_4"/>
      <w:bookmarkStart w:id="2184" w:name="Tc_GLbqG_uA606sYG7ptWWzdA_5_2"/>
      <w:bookmarkStart w:id="2185" w:name="Tc_xCkYMOPTp0GyMIRMHiTsUw_4_8"/>
      <w:bookmarkStart w:id="2186" w:name="Tc_ZzEVG3ANI0u_3XSFzAJtlQ_4_6"/>
      <w:bookmarkStart w:id="2187" w:name="Tc_Ij1WYr_Sgkqlp-X5TorEng_4_4"/>
      <w:bookmarkStart w:id="2188" w:name="Tc_JTZz003uA06vpItFMrg2aw_4_2"/>
      <w:bookmarkStart w:id="2189" w:name="Tc_7j694NHxS02VKWJBtvs8jQ_3_6"/>
      <w:bookmarkStart w:id="2190" w:name="Tc_UjWkWjw0DEmYkNZmRFfxow_3_4"/>
      <w:bookmarkStart w:id="2191" w:name="Tc_ZzqHo7p-CkKdiELZLSGsEw_3_2"/>
      <w:bookmarkStart w:id="2192" w:name="Tc_9lvz-Y0dLECjcVGHreBXYw_2_6"/>
      <w:bookmarkStart w:id="2193" w:name="Tc_J4Pj8oNFPUSRIo-pNcE9EA_2_4"/>
      <w:bookmarkStart w:id="2194" w:name="Tc_4Ex-YxYeMkCw8mU2xHsOFQ_2_2"/>
      <w:bookmarkStart w:id="2195" w:name="Tc_qg9w4Tj1EUauCB5MU3VXhQ_1_4"/>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p>
    <w:tbl>
      <w:tblPr>
        <w:tblW w:w="2882" w:type="dxa"/>
        <w:jc w:val="left"/>
        <w:tblInd w:w="0" w:type="dxa"/>
        <w:tblLayout w:type="fixed"/>
        <w:tblCellMar>
          <w:top w:w="0" w:type="dxa"/>
          <w:left w:w="0" w:type="dxa"/>
          <w:bottom w:w="0" w:type="dxa"/>
          <w:right w:w="0" w:type="dxa"/>
        </w:tblCellMar>
      </w:tblPr>
      <w:tblGrid>
        <w:gridCol w:w="376"/>
        <w:gridCol w:w="250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14.</w:t>
            </w:r>
          </w:p>
        </w:tc>
        <w:tc>
          <w:tcPr>
            <w:tcW w:w="250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EXCHANGEABLE NOTES</w:t>
            </w:r>
          </w:p>
        </w:tc>
      </w:tr>
    </w:tbl>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74"/>
        <w:gridCol w:w="346"/>
        <w:gridCol w:w="1111"/>
        <w:gridCol w:w="346"/>
        <w:gridCol w:w="1111"/>
        <w:gridCol w:w="346"/>
        <w:gridCol w:w="1111"/>
        <w:gridCol w:w="346"/>
        <w:gridCol w:w="914"/>
      </w:tblGrid>
      <w:tr>
        <w:trPr/>
        <w:tc>
          <w:tcPr>
            <w:tcW w:w="4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904490" cy="175260"/>
                      <wp:effectExtent l="0" t="0" r="0" b="0"/>
                      <wp:wrapNone/>
                      <wp:docPr id="406" name="Frame401"/>
                      <a:graphic xmlns:a="http://schemas.openxmlformats.org/drawingml/2006/main">
                        <a:graphicData uri="http://schemas.microsoft.com/office/word/2010/wordprocessingShape">
                          <wps:wsp>
                            <wps:cNvSpPr txBox="1"/>
                            <wps:spPr>
                              <a:xfrm>
                                <a:off x="0" y="0"/>
                                <a:ext cx="29044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07"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705485" cy="175260"/>
                      <wp:effectExtent l="0" t="0" r="0" b="0"/>
                      <wp:wrapNone/>
                      <wp:docPr id="408" name="Frame40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09"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705485" cy="175260"/>
                      <wp:effectExtent l="0" t="0" r="0" b="0"/>
                      <wp:wrapNone/>
                      <wp:docPr id="410" name="Frame40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1"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705485" cy="175260"/>
                      <wp:effectExtent l="0" t="0" r="0" b="0"/>
                      <wp:wrapNone/>
                      <wp:docPr id="412" name="Frame40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3"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80390" cy="175260"/>
                      <wp:effectExtent l="0" t="0" r="0" b="0"/>
                      <wp:wrapNone/>
                      <wp:docPr id="414" name="Frame409"/>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57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1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Lightning</w:t>
            </w:r>
          </w:p>
        </w:tc>
        <w:tc>
          <w:tcPr>
            <w:tcW w:w="346" w:type="dxa"/>
            <w:tcBorders/>
            <w:vAlign w:val="center"/>
          </w:tcPr>
          <w:p>
            <w:pPr>
              <w:pStyle w:val="TableContents"/>
              <w:bidi w:val="0"/>
              <w:spacing w:lineRule="auto" w:line="307" w:before="0" w:after="1"/>
              <w:ind w:left="0" w:right="0" w:hanging="0"/>
              <w:jc w:val="center"/>
              <w:rPr/>
            </w:pPr>
            <w:r>
              <w:rPr/>
              <w:t>  ​ ​ ​</w:t>
            </w:r>
          </w:p>
        </w:tc>
        <w:tc>
          <w:tcPr>
            <w:tcW w:w="111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914" w:type="dxa"/>
            <w:tcBorders/>
            <w:vAlign w:val="center"/>
          </w:tcPr>
          <w:p>
            <w:pPr>
              <w:pStyle w:val="TableContents"/>
              <w:bidi w:val="0"/>
              <w:spacing w:lineRule="auto" w:line="307" w:before="0" w:after="160"/>
              <w:ind w:left="0" w:right="0" w:hanging="0"/>
              <w:jc w:val="center"/>
              <w:rPr/>
            </w:pPr>
            <w:r>
              <w:rPr/>
              <w:t>​</w:t>
            </w:r>
          </w:p>
        </w:tc>
      </w:tr>
      <w:tr>
        <w:trPr/>
        <w:tc>
          <w:tcPr>
            <w:tcW w:w="457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WFOE</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Speed</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Kingway</w:t>
            </w:r>
          </w:p>
        </w:tc>
        <w:tc>
          <w:tcPr>
            <w:tcW w:w="346" w:type="dxa"/>
            <w:tcBorders/>
            <w:vAlign w:val="center"/>
          </w:tcPr>
          <w:p>
            <w:pPr>
              <w:pStyle w:val="TableContents"/>
              <w:bidi w:val="0"/>
              <w:spacing w:lineRule="auto" w:line="307" w:before="0" w:after="160"/>
              <w:ind w:left="0" w:right="0" w:hanging="0"/>
              <w:jc w:val="center"/>
              <w:rPr/>
            </w:pPr>
            <w:r>
              <w:rPr/>
              <w:t>​</w:t>
            </w:r>
          </w:p>
        </w:tc>
        <w:tc>
          <w:tcPr>
            <w:tcW w:w="914" w:type="dxa"/>
            <w:tcBorders/>
            <w:vAlign w:val="center"/>
          </w:tcPr>
          <w:p>
            <w:pPr>
              <w:pStyle w:val="TableContents"/>
              <w:bidi w:val="0"/>
              <w:spacing w:lineRule="auto" w:line="307" w:before="0" w:after="160"/>
              <w:ind w:left="0" w:right="0" w:hanging="0"/>
              <w:jc w:val="center"/>
              <w:rPr/>
            </w:pPr>
            <w:r>
              <w:rPr/>
              <w:t>​</w:t>
            </w:r>
          </w:p>
        </w:tc>
      </w:tr>
      <w:tr>
        <w:trPr/>
        <w:tc>
          <w:tcPr>
            <w:tcW w:w="457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346" w:type="dxa"/>
            <w:tcBorders/>
            <w:vAlign w:val="center"/>
          </w:tcPr>
          <w:p>
            <w:pPr>
              <w:pStyle w:val="TableContents"/>
              <w:bidi w:val="0"/>
              <w:spacing w:lineRule="auto" w:line="307" w:before="0" w:after="160"/>
              <w:ind w:left="0" w:right="0" w:hanging="0"/>
              <w:jc w:val="center"/>
              <w:rPr/>
            </w:pPr>
            <w:r>
              <w:rPr/>
              <w:t>​</w:t>
            </w:r>
          </w:p>
        </w:tc>
        <w:tc>
          <w:tcPr>
            <w:tcW w:w="914" w:type="dxa"/>
            <w:tcBorders/>
            <w:vAlign w:val="center"/>
          </w:tcPr>
          <w:p>
            <w:pPr>
              <w:pStyle w:val="TableContents"/>
              <w:bidi w:val="0"/>
              <w:spacing w:lineRule="auto" w:line="307" w:before="0" w:after="160"/>
              <w:ind w:left="0" w:right="0" w:hanging="0"/>
              <w:jc w:val="center"/>
              <w:rPr/>
            </w:pPr>
            <w:r>
              <w:rPr/>
              <w:t>​</w:t>
            </w:r>
          </w:p>
        </w:tc>
      </w:tr>
      <w:tr>
        <w:trPr/>
        <w:tc>
          <w:tcPr>
            <w:tcW w:w="457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lineRule="auto" w:line="307" w:before="0" w:after="160"/>
              <w:ind w:left="0" w:right="0" w:hanging="0"/>
              <w:jc w:val="center"/>
              <w:rPr/>
            </w:pPr>
            <w:r>
              <w:rPr/>
              <w:t>​</w:t>
            </w:r>
          </w:p>
        </w:tc>
        <w:tc>
          <w:tcPr>
            <w:tcW w:w="9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457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14"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57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355,320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71,792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427,112</w:t>
            </w:r>
          </w:p>
        </w:tc>
      </w:tr>
      <w:tr>
        <w:trPr/>
        <w:tc>
          <w:tcPr>
            <w:tcW w:w="4574"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Issuance of exchangeable notes</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27,883</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27,883</w:t>
            </w:r>
          </w:p>
        </w:tc>
      </w:tr>
      <w:tr>
        <w:trPr/>
        <w:tc>
          <w:tcPr>
            <w:tcW w:w="457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exchangeable notes, excluding impact of instrument-specific credit risk</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3,711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4,448</w:t>
            </w:r>
          </w:p>
        </w:tc>
      </w:tr>
      <w:tr>
        <w:trPr/>
        <w:tc>
          <w:tcPr>
            <w:tcW w:w="4574"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exchangeable notes due to the instrument-specific credit risk</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1,398</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1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1,670</w:t>
            </w:r>
          </w:p>
        </w:tc>
      </w:tr>
      <w:tr>
        <w:trPr/>
        <w:tc>
          <w:tcPr>
            <w:tcW w:w="457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(5,574)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(6,797)</w:t>
            </w:r>
          </w:p>
        </w:tc>
      </w:tr>
      <w:tr>
        <w:trPr/>
        <w:tc>
          <w:tcPr>
            <w:tcW w:w="4574"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378,638</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75,678</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454,316</w:t>
            </w:r>
          </w:p>
        </w:tc>
      </w:tr>
      <w:tr>
        <w:trPr/>
        <w:tc>
          <w:tcPr>
            <w:tcW w:w="457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Issuance of exchangeable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28,541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28,541</w:t>
            </w:r>
          </w:p>
        </w:tc>
      </w:tr>
      <w:tr>
        <w:trPr/>
        <w:tc>
          <w:tcPr>
            <w:tcW w:w="4574"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exchangeable notes, excluding impact of instrument-specific credit risk</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(11,509)</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2,606</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918</w:t>
            </w:r>
          </w:p>
        </w:tc>
        <w:tc>
          <w:tcPr>
            <w:tcW w:w="346" w:type="dxa"/>
            <w:tcBorders/>
            <w:vAlign w:val="center"/>
          </w:tcPr>
          <w:p>
            <w:pPr>
              <w:pStyle w:val="TableContents"/>
              <w:bidi w:val="0"/>
              <w:spacing w:lineRule="auto" w:line="307" w:before="0" w:after="160"/>
              <w:ind w:left="0" w:right="0" w:hanging="0"/>
              <w:jc w:val="left"/>
              <w:rPr/>
            </w:pPr>
            <w:r>
              <w:rPr/>
              <w:t>​</w:t>
            </w:r>
          </w:p>
        </w:tc>
        <w:tc>
          <w:tcPr>
            <w:tcW w:w="91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(7,985)</w:t>
            </w:r>
          </w:p>
        </w:tc>
      </w:tr>
      <w:tr>
        <w:trPr/>
        <w:tc>
          <w:tcPr>
            <w:tcW w:w="457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exchangeable notes due to the instrument-specific credit risk</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(1,996)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(2,901)</w:t>
            </w:r>
          </w:p>
        </w:tc>
      </w:tr>
      <w:tr>
        <w:trPr/>
        <w:tc>
          <w:tcPr>
            <w:tcW w:w="4574"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(365,994)</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(365,994)</w:t>
            </w:r>
          </w:p>
        </w:tc>
      </w:tr>
      <w:tr>
        <w:trPr/>
        <w:tc>
          <w:tcPr>
            <w:tcW w:w="457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(1,135)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(719)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(2,978)</w:t>
            </w:r>
          </w:p>
        </w:tc>
      </w:tr>
      <w:tr>
        <w:trPr/>
        <w:tc>
          <w:tcPr>
            <w:tcW w:w="4574"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75,164</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27,835</w:t>
            </w:r>
          </w:p>
        </w:tc>
        <w:tc>
          <w:tcPr>
            <w:tcW w:w="346" w:type="dxa"/>
            <w:tcBorders/>
            <w:vAlign w:val="center"/>
          </w:tcPr>
          <w:p>
            <w:pPr>
              <w:pStyle w:val="TableContents"/>
              <w:bidi w:val="0"/>
              <w:spacing w:lineRule="auto" w:line="307" w:before="0" w:after="16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102,999</w:t>
            </w:r>
          </w:p>
        </w:tc>
      </w:tr>
      <w:tr>
        <w:trPr/>
        <w:tc>
          <w:tcPr>
            <w:tcW w:w="457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Issuance of exchangeable notes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27,842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27,842</w:t>
            </w:r>
          </w:p>
        </w:tc>
      </w:tr>
      <w:tr>
        <w:trPr/>
        <w:tc>
          <w:tcPr>
            <w:tcW w:w="4574"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exchangeable notes, excluding impact of instrument-specific credit risk</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826</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lineRule="auto" w:line="307" w:before="0" w:after="160"/>
              <w:ind w:left="0" w:right="0" w:hanging="0"/>
              <w:jc w:val="left"/>
              <w:rPr/>
            </w:pPr>
            <w:r>
              <w:rPr/>
              <w:t>​</w:t>
            </w:r>
          </w:p>
        </w:tc>
        <w:tc>
          <w:tcPr>
            <w:tcW w:w="91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457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exchangeable notes due to the instrument-specific credit risk</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(5,598)</w:t>
            </w:r>
          </w:p>
        </w:tc>
      </w:tr>
      <w:tr>
        <w:trPr/>
        <w:tc>
          <w:tcPr>
            <w:tcW w:w="4574"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1,640</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1,218</w:t>
            </w:r>
          </w:p>
        </w:tc>
        <w:tc>
          <w:tcPr>
            <w:tcW w:w="346" w:type="dxa"/>
            <w:tcBorders/>
            <w:vAlign w:val="center"/>
          </w:tcPr>
          <w:p>
            <w:pPr>
              <w:pStyle w:val="TableContents"/>
              <w:bidi w:val="0"/>
              <w:spacing w:lineRule="auto" w:line="307" w:before="0" w:after="16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2,858</w:t>
            </w:r>
          </w:p>
        </w:tc>
      </w:tr>
      <w:tr>
        <w:trPr/>
        <w:tc>
          <w:tcPr>
            <w:tcW w:w="4574"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73,046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55,806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4"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128,852</w:t>
            </w:r>
          </w:p>
        </w:tc>
      </w:tr>
      <w:tr>
        <w:trPr/>
        <w:tc>
          <w:tcPr>
            <w:tcW w:w="4574"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Including:</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4" w:type="dxa"/>
            <w:tcBorders/>
            <w:vAlign w:val="center"/>
          </w:tcPr>
          <w:p>
            <w:pPr>
              <w:pStyle w:val="TableContents"/>
              <w:bidi w:val="0"/>
              <w:spacing w:lineRule="auto" w:line="307" w:before="0" w:after="160"/>
              <w:ind w:left="0" w:right="0" w:hanging="0"/>
              <w:jc w:val="right"/>
              <w:rPr/>
            </w:pPr>
            <w:r>
              <w:rPr/>
              <w:t>​</w:t>
            </w:r>
          </w:p>
        </w:tc>
      </w:tr>
      <w:tr>
        <w:trPr/>
        <w:tc>
          <w:tcPr>
            <w:tcW w:w="4574" w:type="dxa"/>
            <w:tcBorders/>
            <w:shd w:fill="CCEEFF" w:val="clear"/>
            <w:vAlign w:val="center"/>
          </w:tcPr>
          <w:p>
            <w:pPr>
              <w:pStyle w:val="TableContents"/>
              <w:pBdr/>
              <w:bidi w:val="0"/>
              <w:spacing w:lineRule="auto" w:line="307" w:before="0" w:after="1"/>
              <w:ind w:left="0" w:right="0" w:hanging="0"/>
              <w:jc w:val="left"/>
              <w:rPr/>
            </w:pPr>
            <w:r>
              <w:rPr/>
              <w:t xml:space="preserve">– </w:t>
            </w:r>
            <w:r>
              <w:rPr>
                <w:rFonts w:ascii="Times New Roman;Times;serif" w:hAnsi="Times New Roman;Times;serif"/>
                <w:sz w:val="20"/>
              </w:rPr>
              <w:t>Current portion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1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4" w:type="dxa"/>
            <w:tcBorders/>
            <w:shd w:fill="CCEEFF" w:val="clear"/>
            <w:vAlign w:val="center"/>
          </w:tcPr>
          <w:p>
            <w:pPr>
              <w:pStyle w:val="TableContents"/>
              <w:bidi w:val="0"/>
              <w:spacing w:lineRule="auto" w:line="307" w:before="0" w:after="1"/>
              <w:ind w:left="0" w:right="0" w:hanging="0"/>
              <w:jc w:val="right"/>
              <w:rPr/>
            </w:pPr>
            <w:r>
              <w:rPr/>
              <w:t>—</w:t>
            </w:r>
          </w:p>
        </w:tc>
      </w:tr>
      <w:tr>
        <w:trPr/>
        <w:tc>
          <w:tcPr>
            <w:tcW w:w="4574" w:type="dxa"/>
            <w:tcBorders/>
            <w:vAlign w:val="center"/>
          </w:tcPr>
          <w:p>
            <w:pPr>
              <w:pStyle w:val="TableContents"/>
              <w:pBdr/>
              <w:bidi w:val="0"/>
              <w:spacing w:lineRule="auto" w:line="307" w:before="0" w:after="1"/>
              <w:ind w:left="0" w:right="0" w:hanging="0"/>
              <w:jc w:val="left"/>
              <w:rPr/>
            </w:pPr>
            <w:r>
              <w:rPr/>
              <w:t xml:space="preserve">– </w:t>
            </w:r>
            <w:r>
              <w:rPr>
                <w:rFonts w:ascii="Times New Roman;Times;serif" w:hAnsi="Times New Roman;Times;serif"/>
                <w:sz w:val="20"/>
              </w:rPr>
              <w:t>Non-current portion</w:t>
            </w:r>
          </w:p>
        </w:tc>
        <w:tc>
          <w:tcPr>
            <w:tcW w:w="346" w:type="dxa"/>
            <w:tcBorders/>
            <w:vAlign w:val="center"/>
          </w:tcPr>
          <w:p>
            <w:pPr>
              <w:pStyle w:val="TableContents"/>
              <w:bidi w:val="0"/>
              <w:spacing w:lineRule="auto" w:line="307" w:before="0" w:after="1"/>
              <w:ind w:left="0" w:right="0" w:hanging="0"/>
              <w:jc w:val="left"/>
              <w:rPr/>
            </w:pPr>
            <w:r>
              <w:rPr/>
              <w:t> </w:t>
            </w:r>
          </w:p>
        </w:tc>
        <w:tc>
          <w:tcPr>
            <w:tcW w:w="111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73,046</w:t>
            </w:r>
          </w:p>
        </w:tc>
        <w:tc>
          <w:tcPr>
            <w:tcW w:w="346"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55,806</w:t>
            </w:r>
          </w:p>
        </w:tc>
        <w:tc>
          <w:tcPr>
            <w:tcW w:w="346" w:type="dxa"/>
            <w:tcBorders/>
            <w:vAlign w:val="center"/>
          </w:tcPr>
          <w:p>
            <w:pPr>
              <w:pStyle w:val="TableContents"/>
              <w:bidi w:val="0"/>
              <w:spacing w:lineRule="auto" w:line="307" w:before="0" w:after="160"/>
              <w:ind w:left="0" w:right="0" w:hanging="0"/>
              <w:jc w:val="left"/>
              <w:rPr/>
            </w:pPr>
            <w:r>
              <w:rPr/>
              <w:t>​</w:t>
            </w:r>
          </w:p>
        </w:tc>
        <w:tc>
          <w:tcPr>
            <w:tcW w:w="914"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128,852</w:t>
            </w:r>
          </w:p>
        </w:tc>
      </w:tr>
    </w:tbl>
    <w:p>
      <w:pPr>
        <w:pStyle w:val="TextBody"/>
        <w:pBdr/>
        <w:bidi w:val="0"/>
        <w:spacing w:lineRule="auto" w:line="307" w:before="0" w:after="160"/>
        <w:ind w:left="0" w:right="0" w:hanging="360"/>
        <w:jc w:val="left"/>
        <w:rPr/>
      </w:pPr>
      <w:r>
        <w:rPr/>
        <w:t>​</w:t>
      </w:r>
    </w:p>
    <w:p>
      <w:pPr>
        <w:pStyle w:val="TextBody"/>
        <w:bidi w:val="0"/>
        <w:spacing w:lineRule="auto" w:line="285" w:before="40" w:after="200"/>
        <w:ind w:left="0" w:right="0" w:hanging="0"/>
        <w:jc w:val="left"/>
        <w:rPr>
          <w:rFonts w:ascii="Times New Roman;Times;serif" w:hAnsi="Times New Roman;Times;serif"/>
          <w:i/>
          <w:sz w:val="20"/>
        </w:rPr>
      </w:pPr>
      <w:r>
        <w:rPr>
          <w:rFonts w:ascii="Times New Roman;Times;serif" w:hAnsi="Times New Roman;Times;serif"/>
          <w:i/>
          <w:sz w:val="20"/>
        </w:rPr>
        <w:t>WFOE Exchangeable Notes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 September 2021, the Company’s subsidiary, WFOE, entered into an exchangeable note agreement with an investor. Pursuant to the agreement, WFOE is entitled to issue, from time to time, exchangeable notes (the “WFOE Exchangeable Notes”) to obtain financing from the investor (the “WFOE Exchangeable Notes Holder”) up to RMB3,000,000 with coupon rate of 3% per annum. Each tranche of WFOE Exchangeable Notes was scheduled to mature on the one-year anniversary date of issuance. The repayments of the WFOE Exchangeable Notes were guaranteed by Founders Onshore Vehicle.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mentioned in Note 1(b), upon the consummation of Business Combination, following the settlement of the outstanding principal amount of the WFOE Exchangeable Notes of US$365,994 to WFOE Exchangeable Notes Holder, the Company issued 36,597,038 ordinary shares to WFOE Exchangeable Notes Holder at a total consideration of US$361,262.</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Lightning Speed Exchangeable Notes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December 2022, the Company’s subsidiary, Hangzhou Lightning Speed Technology Co., Ltd. (“Lightning Speed”) issued the first tranche of exchangeable notes (the “Lightning Speed Exchangeable Notes”) with the principal amount of RMB500,000 to an investor (the “Lightning Speed Exchangeable Notes Holder”). Each tranche of Lightning Speed Exchangeable Notes is scheduled to mature on the five-year anniversary date of issuance and bearing a simple interest rate of LPR. With the consent of the Lightning Speed Exchangeable Notes Holder, Lightning Speed can extend the term of each tranche of Lightning Speed Exchangeable Notes twice, but each extension shall not exceed one year. During the extension period, the interest on the outstanding principal of the Lightning Speed Exchangeable Notes is calculated at the simple interest rate of 110% of LPR. All interests shall be paid at maturity.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During the period from the issuance date to the maturity date of each tranche of Lightning Speed Exchangeable Notes (subject to extension discussed above), the Lightning Speed Exchangeable Notes Holder is entitled to convert the whole or any portion of the outstanding principal amount of the Lightning Speed Exchangeable Notes into the shares of Lightning Speed based on the equity valuation of Lightning Speed, which is subject to further agreement by both parties, at the conversion date.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Lightning Speed Exchangeable Notes Holder is entitled to request Lightning Speed to repay all outstanding principal and interests at maturity or if there is any occurrence of events of default by Lightning Speed. During the years ended December 31, 2025, 2024 and 2023, no default event was occurred.</w:t>
      </w:r>
    </w:p>
    <w:p>
      <w:pPr>
        <w:pStyle w:val="TextBody"/>
        <w:bidi w:val="0"/>
        <w:spacing w:lineRule="auto" w:line="285" w:before="0" w:after="240"/>
        <w:ind w:left="0" w:right="0" w:hanging="0"/>
        <w:jc w:val="both"/>
        <w:rPr>
          <w:rFonts w:ascii="Times New Roman;Times;serif" w:hAnsi="Times New Roman;Times;serif"/>
          <w:i/>
          <w:sz w:val="20"/>
        </w:rPr>
      </w:pPr>
      <w:r>
        <w:rPr>
          <w:rFonts w:ascii="Times New Roman;Times;serif" w:hAnsi="Times New Roman;Times;serif"/>
          <w:i/>
          <w:sz w:val="20"/>
        </w:rPr>
        <w:t>Kingway Exchangeable Note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29, 2024, the Company’s subsidiary, Hangzhou Kingway Technology Co., Ltd. (“Kingway”) entered into an exchangeable note agreement with an investor. Pursuant to the agreement, Kingway is entitled to issue exchangeable note (the “Kingway Exchangeable Notes”) of RMB600,000 to obtain financing from the investor (the “Kingway Exchangeable Notes Holder”). The repayments of the Kingway Exchangeable Notes were guaranteed by the ultimate shareholders of Kingway in Chinese mainland, i.e., Wuhan Lotus Technology Co., Ltd., a wholly owned subsidiary of the Company. Each tranche of Kingway Exchangeable Notes is scheduled to mature on the five-year anniversary date of issuance and bearing a simple interest rate of LPR.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September 2024, January 2025 and April 2025, Kingway issued exchangeable notes with the principal amount of US$28,541 (equivalent to RMB200,000), US$13,910 (equivalent to RMB100,000) and US$13,932 (equivalent to RMB100,000) to Kingway Exchangeable Notes Holder, respectively.</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During the period from the issuance date to the maturity date of each tranche of Kingway Exchangeable Notes, the Kingway Exchangeable Notes Holder is entitled to convert the whole or any portion of the outstanding principal amount and accumulated outstanding accrued interest of the Kingway Exchangeable Notes into the shares of Kingway based on the equity valuation of Kingway, which is subject to further agreement by both parties, at the conversion date.</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Kingway Exchangeable Notes Holder is entitled to request Kingway to repay all outstanding principal and interests at maturity or if there is any occurrence of events of default by Kingway. During the years ended December 31, 2025 and 2024, no default event was occurred.</w:t>
      </w:r>
    </w:p>
    <w:p>
      <w:pPr>
        <w:pStyle w:val="TextBody"/>
        <w:bidi w:val="0"/>
        <w:spacing w:lineRule="auto" w:line="285" w:before="0" w:after="240"/>
        <w:ind w:left="0" w:right="0" w:hanging="0"/>
        <w:jc w:val="both"/>
        <w:rPr>
          <w:rFonts w:ascii="Times New Roman;Times;serif" w:hAnsi="Times New Roman;Times;serif"/>
          <w:i/>
          <w:sz w:val="20"/>
        </w:rPr>
      </w:pPr>
      <w:r>
        <w:rPr>
          <w:rFonts w:ascii="Times New Roman;Times;serif" w:hAnsi="Times New Roman;Times;serif"/>
          <w:i/>
          <w:sz w:val="20"/>
        </w:rPr>
        <w:t>Accounting of Exchangeable Notes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to account for the WFOE Exchangeable Notes, the Lightning Speed Exchangeable Notes and the Kingway Exchangeable Notes (“the Exchangeable Notes”), including the component related to accrued interest. The Group believes the fair value option best reflects the economics of the underlying transactions. The Exchangeable Notes were recognized at fair value at the issuance date and are measured subsequently at fair value. The changes in fair values due to the instrument-specific credit risk were charged to other comprehensive income (loss) and reclassified to profit or loss upon disposal. All other changes in fair values were recognized as “Changes in fair values of liabilities, excluding impact of instrument-specific credit risk” in the consolidated statements of comprehensive loss.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2196" w:name="Tc_gqY_e7oLIEm_4V_Kwfhd3w_7_9"/>
      <w:bookmarkStart w:id="2197" w:name="Tc_2vX_q1MIVU6EeO9O-HLq7A_7_7"/>
      <w:bookmarkStart w:id="2198" w:name="Tc_sz7fGMcw_EuGcRv-Q6GyQQ_7_5"/>
      <w:bookmarkStart w:id="2199" w:name="Tc_SXxqvzQQ3kyLCj53vmEHtQ_7_4"/>
      <w:bookmarkStart w:id="2200" w:name="Tc_N-pNSvfyYkCvFiYntoD6aA_7_3"/>
      <w:bookmarkStart w:id="2201" w:name="Tc_jw6ZjTAIEUKe6Tll3TR2Uw_7_0"/>
      <w:bookmarkStart w:id="2202" w:name="Tc_2GE1NKKRx0K_9MzL_f9q3Q_6_9"/>
      <w:bookmarkStart w:id="2203" w:name="Tc_4mEGrn7qDE6U6ObbGnipqQ_6_7"/>
      <w:bookmarkStart w:id="2204" w:name="Tc_gUXopxOTGUKNYQYgrn3kLQ_6_5"/>
      <w:bookmarkStart w:id="2205" w:name="Tc_fH6w1fLN1Eqg3mctWGltnA_6_3"/>
      <w:bookmarkStart w:id="2206" w:name="Tc_cXTCpjPtm0-Ft7l7sB5pmw_6_0"/>
      <w:bookmarkStart w:id="2207" w:name="Tc_zJm_DfvPnkqDDiLySmlQIw_5_9"/>
      <w:bookmarkStart w:id="2208" w:name="Tc_L34fHayiMESktRJQM6CfUg_5_8"/>
      <w:bookmarkStart w:id="2209" w:name="Tc_BRjfUMLSCU2H3pQmqVdW7g_5_7"/>
      <w:bookmarkStart w:id="2210" w:name="Tc_3LM4XgQilkqyN-HocTO2Ww_5_6"/>
      <w:bookmarkStart w:id="2211" w:name="Tc_D-LUyeFwsEOzQ-ntkiORRg_5_5"/>
      <w:bookmarkStart w:id="2212" w:name="Tc_tzwrBR5Ma0-wrVzAa3EwDQ_5_4"/>
      <w:bookmarkStart w:id="2213" w:name="Tc_iatSs_h8IUK010tbzcLpBA_5_3"/>
      <w:bookmarkStart w:id="2214" w:name="Tc_inXq7-rA_k2qyvG456YSkw_5_2"/>
      <w:bookmarkStart w:id="2215" w:name="Tc_jh75YRvDPU6xPOEg7yTMSg_5_0"/>
      <w:bookmarkStart w:id="2216" w:name="Tc_1qEH21FRbU2V6Qm2kb3WqQ_4_8"/>
      <w:bookmarkStart w:id="2217" w:name="Tc_t3LigALvJke-ZDOASgCZPQ_4_6"/>
      <w:bookmarkStart w:id="2218" w:name="Tc_JKFei3j9TkSDjajX6lEF-Q_4_4"/>
      <w:bookmarkStart w:id="2219" w:name="Tc_BPineHXdlk2rCrMyDfzMLA_4_2"/>
      <w:bookmarkStart w:id="2220" w:name="Tc_twTVpGBbXkaxVi3KEeIt-A_3_8"/>
      <w:bookmarkStart w:id="2221" w:name="Tc_nlQa7OdcA0SEWVDUA5hGaQ_3_6"/>
      <w:bookmarkStart w:id="2222" w:name="Tc_y9cgKSEdWUiFV9Jldy7oQQ_3_4"/>
      <w:bookmarkStart w:id="2223" w:name="Tc_GWBHbxafXUG9rPdw73jGGw_3_2"/>
      <w:bookmarkStart w:id="2224" w:name="Tc_TPKAaGNl7UK5mc1qEWkr3w_2_8"/>
      <w:bookmarkStart w:id="2225" w:name="Tc_LVPEoHYg7EK1_d_P1Egwxw_2_6"/>
      <w:bookmarkStart w:id="2226" w:name="Tc_-zV4HuEJFEOoOL_7qcPIqA_2_4"/>
      <w:bookmarkStart w:id="2227" w:name="Tc_Pc6Y3QxrEkunYiaIZrxlOA_2_2"/>
      <w:bookmarkStart w:id="2228" w:name="Tc_cpKLWhCjv0CGEfH1QdKymg_1_6"/>
      <w:bookmarkStart w:id="2229" w:name="Tc_7WyYtuUg40WLHEt0RaL2ww_1_2"/>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r>
        <w:rPr>
          <w:rFonts w:ascii="Times New Roman;Times;serif" w:hAnsi="Times New Roman;Times;serif"/>
          <w:sz w:val="20"/>
        </w:rPr>
        <w:t>The Group adopted a scenario-weighted average method to estimate the fair value of the Exchangeable Notes,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 The fair values of the Exchangeable Notes were estimated with the following key assumptions used:</w:t>
      </w:r>
    </w:p>
    <w:p>
      <w:pPr>
        <w:pStyle w:val="TextBody"/>
        <w:bidi w:val="0"/>
        <w:spacing w:lineRule="auto" w:line="307" w:before="0" w:after="200"/>
        <w:ind w:left="0" w:right="0" w:hanging="0"/>
        <w:jc w:val="both"/>
        <w:rPr/>
      </w:pPr>
      <w:r>
        <w:rPr/>
        <w:t>​</w:t>
      </w:r>
    </w:p>
    <w:tbl>
      <w:tblPr>
        <w:tblW w:w="8680" w:type="dxa"/>
        <w:jc w:val="left"/>
        <w:tblInd w:w="0" w:type="dxa"/>
        <w:tblLayout w:type="fixed"/>
        <w:tblCellMar>
          <w:top w:w="0" w:type="dxa"/>
          <w:left w:w="0" w:type="dxa"/>
          <w:bottom w:w="0" w:type="dxa"/>
          <w:right w:w="0" w:type="dxa"/>
        </w:tblCellMar>
      </w:tblPr>
      <w:tblGrid>
        <w:gridCol w:w="2191"/>
        <w:gridCol w:w="346"/>
        <w:gridCol w:w="1321"/>
        <w:gridCol w:w="271"/>
        <w:gridCol w:w="1261"/>
        <w:gridCol w:w="271"/>
        <w:gridCol w:w="1321"/>
        <w:gridCol w:w="271"/>
        <w:gridCol w:w="1111"/>
        <w:gridCol w:w="31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91285" cy="175260"/>
                      <wp:effectExtent l="0" t="0" r="0" b="0"/>
                      <wp:wrapNone/>
                      <wp:docPr id="415" name="Frame410"/>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16"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838835" cy="175260"/>
                      <wp:effectExtent l="0" t="0" r="0" b="0"/>
                      <wp:wrapNone/>
                      <wp:docPr id="417" name="Frame41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72085" cy="175260"/>
                      <wp:effectExtent l="0" t="0" r="0" b="0"/>
                      <wp:wrapNone/>
                      <wp:docPr id="418" name="Frame41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800735" cy="175260"/>
                      <wp:effectExtent l="0" t="0" r="0" b="0"/>
                      <wp:wrapNone/>
                      <wp:docPr id="419" name="Frame41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72085" cy="175260"/>
                      <wp:effectExtent l="0" t="0" r="0" b="0"/>
                      <wp:wrapNone/>
                      <wp:docPr id="420" name="Frame4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838835" cy="175260"/>
                      <wp:effectExtent l="0" t="0" r="0" b="0"/>
                      <wp:wrapNone/>
                      <wp:docPr id="421" name="Frame41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72085" cy="175260"/>
                      <wp:effectExtent l="0" t="0" r="0" b="0"/>
                      <wp:wrapNone/>
                      <wp:docPr id="422" name="Frame41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705485" cy="175260"/>
                      <wp:effectExtent l="0" t="0" r="0" b="0"/>
                      <wp:wrapNone/>
                      <wp:docPr id="423" name="Frame41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0660" cy="175260"/>
                      <wp:effectExtent l="0" t="0" r="0" b="0"/>
                      <wp:wrapNone/>
                      <wp:docPr id="424" name="Frame4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85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c>
          <w:tcPr>
            <w:tcW w:w="271" w:type="dxa"/>
            <w:tcBorders/>
            <w:vAlign w:val="center"/>
          </w:tcPr>
          <w:p>
            <w:pPr>
              <w:pStyle w:val="TableContents"/>
              <w:bidi w:val="0"/>
              <w:spacing w:lineRule="auto" w:line="307" w:before="0" w:after="160"/>
              <w:ind w:left="0" w:right="0" w:hanging="0"/>
              <w:jc w:val="left"/>
              <w:rPr/>
            </w:pPr>
            <w:r>
              <w:rPr/>
              <w:t>​</w:t>
            </w:r>
          </w:p>
        </w:tc>
        <w:tc>
          <w:tcPr>
            <w:tcW w:w="270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Lightning Speed </w:t>
            </w:r>
          </w:p>
        </w:tc>
        <w:tc>
          <w:tcPr>
            <w:tcW w:w="271"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Kingway</w:t>
            </w:r>
          </w:p>
        </w:tc>
        <w:tc>
          <w:tcPr>
            <w:tcW w:w="271"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Lightning Speed </w:t>
            </w:r>
          </w:p>
        </w:tc>
        <w:tc>
          <w:tcPr>
            <w:tcW w:w="271"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Kingway</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271"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271"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271"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Exchangeable</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271" w:type="dxa"/>
            <w:tcBorders/>
            <w:vAlign w:val="center"/>
          </w:tcPr>
          <w:p>
            <w:pPr>
              <w:pStyle w:val="TableContents"/>
              <w:bidi w:val="0"/>
              <w:spacing w:lineRule="auto" w:line="307" w:before="0" w:after="160"/>
              <w:ind w:left="0" w:right="0" w:hanging="0"/>
              <w:jc w:val="left"/>
              <w:rPr/>
            </w:pPr>
            <w:r>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271"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271" w:type="dxa"/>
            <w:tcBorders/>
            <w:vAlign w:val="center"/>
          </w:tcPr>
          <w:p>
            <w:pPr>
              <w:pStyle w:val="TableContents"/>
              <w:bidi w:val="0"/>
              <w:spacing w:lineRule="auto" w:line="307" w:before="0" w:after="160"/>
              <w:ind w:left="0" w:right="0" w:hanging="0"/>
              <w:jc w:val="left"/>
              <w:rPr/>
            </w:pPr>
            <w:r>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Notes</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219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Risk</w:t>
              <w:noBreakHyphen/>
              <w:t>free interest rates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1.34%-1.36</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1.48%-1.54</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1.08%~1.14</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1.02%~1.39</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9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Probability of conversion</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75.00</w:t>
            </w:r>
          </w:p>
        </w:tc>
        <w:tc>
          <w:tcPr>
            <w:tcW w:w="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75.00</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91"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Bond yields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13.41</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12.97%-13.95</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6.32</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7.89</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200"/>
        <w:ind w:left="0" w:right="0" w:hanging="0"/>
        <w:jc w:val="both"/>
        <w:rPr/>
      </w:pPr>
      <w:r>
        <w:rPr/>
        <w:t>​</w:t>
      </w:r>
    </w:p>
    <w:p>
      <w:pPr>
        <w:pStyle w:val="TextBody"/>
        <w:bidi w:val="0"/>
        <w:spacing w:lineRule="auto" w:line="307" w:before="0" w:after="200"/>
        <w:ind w:left="0" w:right="0" w:hanging="0"/>
        <w:jc w:val="both"/>
        <w:rPr/>
      </w:pPr>
      <w:r>
        <w:rPr/>
        <w:t>​</w:t>
      </w:r>
    </w:p>
    <w:p>
      <w:pPr>
        <w:pStyle w:val="Normal"/>
        <w:bidi w:val="0"/>
        <w:spacing w:before="0" w:after="0"/>
        <w:jc w:val="left"/>
        <w:rPr>
          <w:sz w:val="4"/>
          <w:szCs w:val="4"/>
        </w:rPr>
      </w:pPr>
      <w:r>
        <w:rPr>
          <w:sz w:val="4"/>
          <w:szCs w:val="4"/>
        </w:rPr>
      </w:r>
      <w:bookmarkStart w:id="2230" w:name="Tc_vrd5VlYSb0-ItbKYDxDbRg_29_6"/>
      <w:bookmarkStart w:id="2231" w:name="Tc_0nwnRc-u5EyYLGv_Kv1OJg_29_4"/>
      <w:bookmarkStart w:id="2232" w:name="Tc_D6H3xSfrh0WFP3uYgr6Z7Q_29_0"/>
      <w:bookmarkStart w:id="2233" w:name="Tc_-4dRTlt5ZE2hvIdY-bL6Sg_28_10"/>
      <w:bookmarkStart w:id="2234" w:name="Tc_KYhYQOOUFUW1ekkGpqiV7w_28_6"/>
      <w:bookmarkStart w:id="2235" w:name="Tc_weQYKftG5UyiMbrzG5BqIg_28_4"/>
      <w:bookmarkStart w:id="2236" w:name="Tc_cBpYG3hjdUaFMfDrPRgbzw_28_2"/>
      <w:bookmarkStart w:id="2237" w:name="Tc_oOLCK6KN60qcncI11CObhQ_28_0"/>
      <w:bookmarkStart w:id="2238" w:name="Tc_1oYPItZWBU6ZBkxA_sbBdw_27_0"/>
      <w:bookmarkStart w:id="2239" w:name="Tc_FN38OkCh4EObKAm5kqg31A_26_6"/>
      <w:bookmarkStart w:id="2240" w:name="Tc_6WkcptYXmk2kYhYwxGYgxg_26_4"/>
      <w:bookmarkStart w:id="2241" w:name="Tc_msXYPZ2MLUq4ZQDEyRp1BA_26_0"/>
      <w:bookmarkStart w:id="2242" w:name="Tc_MsrjlcQLD0SZ-XPvMxcO8g_25_10"/>
      <w:bookmarkStart w:id="2243" w:name="Tc_cOrun_oDHESoKUYjdaIQfA_25_8"/>
      <w:bookmarkStart w:id="2244" w:name="Tc_rFYT8P5M9UeUSLlvlSouyw_25_6"/>
      <w:bookmarkStart w:id="2245" w:name="Tc_jMtGndXCtE6ADdgUqX_oUw_25_4"/>
      <w:bookmarkStart w:id="2246" w:name="Tc_ZcKOqygHxEGAOzs4xCLZcQ_25_0"/>
      <w:bookmarkStart w:id="2247" w:name="Tc_rDVJXE5LB0C41TNq4VCC7Q_24_8"/>
      <w:bookmarkStart w:id="2248" w:name="Tc_2KHJLsLwtEe3cwLQlQTxzw_24_6"/>
      <w:bookmarkStart w:id="2249" w:name="Tc_rMSYu6KO8kWxDVwXkY9m0g_24_4"/>
      <w:bookmarkStart w:id="2250" w:name="Tc_mc-VYuTvG021AKJYKGUQWg_24_0"/>
      <w:bookmarkStart w:id="2251" w:name="Tc_oqkYckZxzUqpVKSXt24_MA_23_8"/>
      <w:bookmarkStart w:id="2252" w:name="Tc_LlSXm7O9dE-x3D1yQpR7xA_23_6"/>
      <w:bookmarkStart w:id="2253" w:name="Tc_wf0QPuJ9J0CJbC24A6IOPg_23_4"/>
      <w:bookmarkStart w:id="2254" w:name="Tc_Eay0lV8UtUOCOaK5c8L-sQ_23_2"/>
      <w:bookmarkStart w:id="2255" w:name="Tc_2ZtJyfkqf0uc_7telAiIDA_23_0"/>
      <w:bookmarkStart w:id="2256" w:name="Tc_0t_Rxo-uIEOT9EjT1Rj5Qg_22_10"/>
      <w:bookmarkStart w:id="2257" w:name="Tc_uoe2N3cJpU-RG29Hqz3pXg_22_8"/>
      <w:bookmarkStart w:id="2258" w:name="Tc_22VX5xQ6M0KN1dhKVOnH_g_22_4"/>
      <w:bookmarkStart w:id="2259" w:name="Tc_cTghUxsow0KtE2XVgt7zKQ_22_2"/>
      <w:bookmarkStart w:id="2260" w:name="Tc_NEivTiOhV0yn88SwWz_nBw_22_0"/>
      <w:bookmarkStart w:id="2261" w:name="Tc_VhYTpblsZU-DxDyk2wEYNw_21_8"/>
      <w:bookmarkStart w:id="2262" w:name="Tc_k7H5ayUcKEOePZwlCp94xg_21_4"/>
      <w:bookmarkStart w:id="2263" w:name="Tc_zxH3BIYyVEqdfbgdc4EcrA_21_0"/>
      <w:bookmarkStart w:id="2264" w:name="Tc_-aZ_XXIT1Ee_O74r7Q9UDg_20_4"/>
      <w:bookmarkStart w:id="2265" w:name="Tc_o4JrEZcwP0amb7F3Zsr6_g_20_0"/>
      <w:bookmarkStart w:id="2266" w:name="Tc_2lWvwS5vlEiiZW9ZmoL4zg_19_6"/>
      <w:bookmarkStart w:id="2267" w:name="Tc_pdnqvddtxkyfFO0XUsqB0w_19_4"/>
      <w:bookmarkStart w:id="2268" w:name="Tc_03_z01_hsU-EbZC1HQkvyA_19_2"/>
      <w:bookmarkStart w:id="2269" w:name="Tc_eU0Atwm0fEW3AnVXff1LRA_19_0"/>
      <w:bookmarkStart w:id="2270" w:name="Tc_qdmI_laO5UmxD_kuUKULtg_18_10"/>
      <w:bookmarkStart w:id="2271" w:name="Tc_ASj1qHmDvk2q-0ArC22r0Q_18_8"/>
      <w:bookmarkStart w:id="2272" w:name="Tc_KZ7j8e2qVEKY3PnH61FHaw_18_4"/>
      <w:bookmarkStart w:id="2273" w:name="Tc_U1e6bErNNkumBsAKRg--9Q_18_0"/>
      <w:bookmarkStart w:id="2274" w:name="Tc_uXi2zQyWy0KVjHTf2Z4QoA_17_10"/>
      <w:bookmarkStart w:id="2275" w:name="Tc_BTF4YgJiTES_8p4UtAeYPg_17_8"/>
      <w:bookmarkStart w:id="2276" w:name="Tc_1ZnriKZG2ESxtYaNwFC3FQ_17_6"/>
      <w:bookmarkStart w:id="2277" w:name="Tc_BFRJfd0-N0K9F-DNocForw_17_4"/>
      <w:bookmarkStart w:id="2278" w:name="Tc_-55LZwimNUu37piuoSXy8A_17_0"/>
      <w:bookmarkStart w:id="2279" w:name="Tc_ynPSSgCzYEO9aucpR-d_zg_16_10"/>
      <w:bookmarkStart w:id="2280" w:name="Tc_Zq5g-0Ar606Tz1dk2wuwnQ_16_8"/>
      <w:bookmarkStart w:id="2281" w:name="Tc_NNAYNLIHwkm9MoLBHNDVHA_16_6"/>
      <w:bookmarkStart w:id="2282" w:name="Tc_n1PQx-htpkudzkqFLX48Kw_16_2"/>
      <w:bookmarkStart w:id="2283" w:name="Tc_kLv0mXinh0-7nsXJ78NrlQ_16_0"/>
      <w:bookmarkStart w:id="2284" w:name="Tc_tLYBELk9iU6S0Nv1CQAFiA_15_10"/>
      <w:bookmarkStart w:id="2285" w:name="Tc_lUpPFqwVi0irxAfmfZ5g7Q_15_8"/>
      <w:bookmarkStart w:id="2286" w:name="Tc_oc4rVKo10Uumhv8CBeRmKA_15_4"/>
      <w:bookmarkStart w:id="2287" w:name="Tc_yRjq9qcJfUGnc3_oTmgNow_15_0"/>
      <w:bookmarkStart w:id="2288" w:name="Tc_ZYHOnQeKe0uW5iYRHHXqPA_14_10"/>
      <w:bookmarkStart w:id="2289" w:name="Tc_PaXMH2RtSEeG42Aup1SE7A_14_8"/>
      <w:bookmarkStart w:id="2290" w:name="Tc_dj64yrREOUSVXw1l8A1Q3A_14_0"/>
      <w:bookmarkStart w:id="2291" w:name="Tc_OTrePmq3FkuEipyfDEZ-jw_13_10"/>
      <w:bookmarkStart w:id="2292" w:name="Tc_UHloBdAQ20SccRhvBgaS-Q_13_8"/>
      <w:bookmarkStart w:id="2293" w:name="Tc_4fgpZyJuH0ulKVHrEZ-MFw_13_6"/>
      <w:bookmarkStart w:id="2294" w:name="Tc_iOPjU9BRVke-DBI-WI7OHQ_13_4"/>
      <w:bookmarkStart w:id="2295" w:name="Tc_i4c9xwTn6EON7unW703aUA_13_0"/>
      <w:bookmarkStart w:id="2296" w:name="Tc_Bf6w7uLrmkWSaspa5LZ1Og_12_10"/>
      <w:bookmarkStart w:id="2297" w:name="Tc_0dk6HYtGLUqq6CqdwU9OCQ_12_8"/>
      <w:bookmarkStart w:id="2298" w:name="Tc_kCWtTD79y0KiUKaVrwesHA_12_2"/>
      <w:bookmarkStart w:id="2299" w:name="Tc_LbGiKVTAmEiFSv16AuDChA_12_0"/>
      <w:bookmarkStart w:id="2300" w:name="Tc_rHk2vcfqykqylEGPOrxqbg_11_10"/>
      <w:bookmarkStart w:id="2301" w:name="Tc_e2791po-y0uBodt7wgSZxA_11_8"/>
      <w:bookmarkStart w:id="2302" w:name="Tc_zf17alMW00WTGuBtPAyaXw_11_6"/>
      <w:bookmarkStart w:id="2303" w:name="Tc_PJdjaVgbhEu62l6BkRTiLg_11_0"/>
      <w:bookmarkStart w:id="2304" w:name="Tc_NSzXtR1cnEWGemCab8P_wA_10_10"/>
      <w:bookmarkStart w:id="2305" w:name="Tc_EYjMcrMqb0Kwv8PT00iWLA_10_8"/>
      <w:bookmarkStart w:id="2306" w:name="Tc_8sHWJPl6Gka-gyRz1E-cBg_10_6"/>
      <w:bookmarkStart w:id="2307" w:name="Tc_RDLZ3N3xAkONlg5-ZSg6Cg_10_4"/>
      <w:bookmarkStart w:id="2308" w:name="Tc_s1XbajiDQkaokBHs49e8UQ_10_0"/>
      <w:bookmarkStart w:id="2309" w:name="Tc_E49RGAYwVU6bowxBGxa22g_9_10"/>
      <w:bookmarkStart w:id="2310" w:name="Tc_EgDN85SP50i7Gp9DyW4O4A_9_8"/>
      <w:bookmarkStart w:id="2311" w:name="Tc_uWNvqC7Z9ka2oiNXPnPo5w_9_6"/>
      <w:bookmarkStart w:id="2312" w:name="Tc_IRoyCcT3GUaNICpMdjRLBg_9_0"/>
      <w:bookmarkStart w:id="2313" w:name="Tc_lT00YowOwUW4fnv8bFgd3w_8_10"/>
      <w:bookmarkStart w:id="2314" w:name="Tc_0F8qYhuVbEGDe8EkPhEI4Q_8_8"/>
      <w:bookmarkStart w:id="2315" w:name="Tc_ju7j7mJPN0WSUBb4ScPiiA_8_6"/>
      <w:bookmarkStart w:id="2316" w:name="Tc_guyMGAjVxkStIduTWchMYQ_8_0"/>
      <w:bookmarkStart w:id="2317" w:name="Tc_zE9Ab5t8LEyFqTdp22T_fQ_7_10"/>
      <w:bookmarkStart w:id="2318" w:name="Tc_r5E4nr-rsEOPQkX64WoC_w_7_8"/>
      <w:bookmarkStart w:id="2319" w:name="Tc_68it-6cn3UKrQfvVAx7tqg_7_6"/>
      <w:bookmarkStart w:id="2320" w:name="Tc_2ysW5GVNU0KgJVDnsloLKQ_7_4"/>
      <w:bookmarkStart w:id="2321" w:name="Tc_obpiXb3r-E-GNLX7F-4xyA_7_0"/>
      <w:bookmarkStart w:id="2322" w:name="Tc_ge5_ZsJyg02DXBbet-jYnw_6_10"/>
      <w:bookmarkStart w:id="2323" w:name="Tc_eQnN4nZL-EmSlvJoI4ztfg_6_8"/>
      <w:bookmarkStart w:id="2324" w:name="Tc_f9e0wIhnfkqGrxK7mqR17w_6_6"/>
      <w:bookmarkStart w:id="2325" w:name="Tc_VIGwr19-U06-Az-FkgIm3Q_6_2"/>
      <w:bookmarkStart w:id="2326" w:name="Tc_DnAnyHc4bECtJp5tCmhddg_6_0"/>
      <w:bookmarkStart w:id="2327" w:name="Tc_6qK76pc-z0Ox0sbAlrnWhA_5_10"/>
      <w:bookmarkStart w:id="2328" w:name="Tc_RI96V82TlkaJpsWE-1JK1Q_5_8"/>
      <w:bookmarkStart w:id="2329" w:name="Tc_iZYGrtEjZEys0GIHABX66Q_5_6"/>
      <w:bookmarkStart w:id="2330" w:name="Tc_xSbWZgihb0u204kcKaGPLQ_5_2"/>
      <w:bookmarkStart w:id="2331" w:name="Tc_s0DhXk7uQEC-4w07DjmNSA_5_0"/>
      <w:bookmarkStart w:id="2332" w:name="Tc_vd51AOaz8kSOTc936bRN7g_4_10"/>
      <w:bookmarkStart w:id="2333" w:name="Tc_caEcJEYdHkyY9mXeWpbTaw_4_8"/>
      <w:bookmarkStart w:id="2334" w:name="Tc_NBzQa8EqlE2tahzNMGjoVg_4_6"/>
      <w:bookmarkStart w:id="2335" w:name="Tc_6wJtC8_-Vkih5MXhVKAinQ_4_4"/>
      <w:bookmarkStart w:id="2336" w:name="Tc_QLoN2WD46kel1YHI2YlNuA_4_0"/>
      <w:bookmarkStart w:id="2337" w:name="Tc_GHqludOUE062gdafhv9aNg_3_12"/>
      <w:bookmarkStart w:id="2338" w:name="Tc_F1iCimTPPUWosqbQyMXdgQ_3_10"/>
      <w:bookmarkStart w:id="2339" w:name="Tc_lJlcbSNdVU-6dnI1t550gQ_3_8"/>
      <w:bookmarkStart w:id="2340" w:name="Tc_t9sqom1qLUe-AV3ojztYSg_3_6"/>
      <w:bookmarkStart w:id="2341" w:name="Tc_GAGEQLSIpESvPpmzmm8dbA_3_4"/>
      <w:bookmarkStart w:id="2342" w:name="Tc_bkxn1PMrr06okPSED5ShUw_3_2"/>
      <w:bookmarkStart w:id="2343" w:name="Tc_ZSQFPVqUSUK3ywucDCcqew_2_12"/>
      <w:bookmarkStart w:id="2344" w:name="Tc_iQyJfrX300GzQdPbD39Bgg_2_10"/>
      <w:bookmarkStart w:id="2345" w:name="Tc_51OvyKFTLUWQIp7DzwVITA_2_8"/>
      <w:bookmarkStart w:id="2346" w:name="Tc_3r1rG1wEOU-GHJ3sLAQ4fw_2_6"/>
      <w:bookmarkStart w:id="2347" w:name="Tc_2HEt97K5wEGiTSN4B91D-w_2_4"/>
      <w:bookmarkStart w:id="2348" w:name="Tc_KdYUXoG89k-Trjd34H7aOg_2_2"/>
      <w:bookmarkStart w:id="2349" w:name="Tc_4gNmy26MhkiNunLM03cQNA_1_10"/>
      <w:bookmarkStart w:id="2350" w:name="Tc_OA1QtIGnOEWDeuJpfTU01Q_1_8"/>
      <w:bookmarkStart w:id="2351" w:name="Tc_zi4CSWawOUu5HjK7JI8hqA_1_6"/>
      <w:bookmarkStart w:id="2352" w:name="Tc_7FjLBs5iPkOwEuJY9UulZQ_1_4"/>
      <w:bookmarkStart w:id="2353" w:name="Tc_0z6VNWWw6U-CEGQG7tZ_ZA_1_2"/>
      <w:bookmarkStart w:id="2354" w:name="Tc_vrd5VlYSb0-ItbKYDxDbRg_29_6"/>
      <w:bookmarkStart w:id="2355" w:name="Tc_0nwnRc-u5EyYLGv_Kv1OJg_29_4"/>
      <w:bookmarkStart w:id="2356" w:name="Tc_D6H3xSfrh0WFP3uYgr6Z7Q_29_0"/>
      <w:bookmarkStart w:id="2357" w:name="Tc_-4dRTlt5ZE2hvIdY-bL6Sg_28_10"/>
      <w:bookmarkStart w:id="2358" w:name="Tc_KYhYQOOUFUW1ekkGpqiV7w_28_6"/>
      <w:bookmarkStart w:id="2359" w:name="Tc_weQYKftG5UyiMbrzG5BqIg_28_4"/>
      <w:bookmarkStart w:id="2360" w:name="Tc_cBpYG3hjdUaFMfDrPRgbzw_28_2"/>
      <w:bookmarkStart w:id="2361" w:name="Tc_oOLCK6KN60qcncI11CObhQ_28_0"/>
      <w:bookmarkStart w:id="2362" w:name="Tc_1oYPItZWBU6ZBkxA_sbBdw_27_0"/>
      <w:bookmarkStart w:id="2363" w:name="Tc_FN38OkCh4EObKAm5kqg31A_26_6"/>
      <w:bookmarkStart w:id="2364" w:name="Tc_6WkcptYXmk2kYhYwxGYgxg_26_4"/>
      <w:bookmarkStart w:id="2365" w:name="Tc_msXYPZ2MLUq4ZQDEyRp1BA_26_0"/>
      <w:bookmarkStart w:id="2366" w:name="Tc_MsrjlcQLD0SZ-XPvMxcO8g_25_10"/>
      <w:bookmarkStart w:id="2367" w:name="Tc_cOrun_oDHESoKUYjdaIQfA_25_8"/>
      <w:bookmarkStart w:id="2368" w:name="Tc_rFYT8P5M9UeUSLlvlSouyw_25_6"/>
      <w:bookmarkStart w:id="2369" w:name="Tc_jMtGndXCtE6ADdgUqX_oUw_25_4"/>
      <w:bookmarkStart w:id="2370" w:name="Tc_ZcKOqygHxEGAOzs4xCLZcQ_25_0"/>
      <w:bookmarkStart w:id="2371" w:name="Tc_rDVJXE5LB0C41TNq4VCC7Q_24_8"/>
      <w:bookmarkStart w:id="2372" w:name="Tc_2KHJLsLwtEe3cwLQlQTxzw_24_6"/>
      <w:bookmarkStart w:id="2373" w:name="Tc_rMSYu6KO8kWxDVwXkY9m0g_24_4"/>
      <w:bookmarkStart w:id="2374" w:name="Tc_mc-VYuTvG021AKJYKGUQWg_24_0"/>
      <w:bookmarkStart w:id="2375" w:name="Tc_oqkYckZxzUqpVKSXt24_MA_23_8"/>
      <w:bookmarkStart w:id="2376" w:name="Tc_LlSXm7O9dE-x3D1yQpR7xA_23_6"/>
      <w:bookmarkStart w:id="2377" w:name="Tc_wf0QPuJ9J0CJbC24A6IOPg_23_4"/>
      <w:bookmarkStart w:id="2378" w:name="Tc_Eay0lV8UtUOCOaK5c8L-sQ_23_2"/>
      <w:bookmarkStart w:id="2379" w:name="Tc_2ZtJyfkqf0uc_7telAiIDA_23_0"/>
      <w:bookmarkStart w:id="2380" w:name="Tc_0t_Rxo-uIEOT9EjT1Rj5Qg_22_10"/>
      <w:bookmarkStart w:id="2381" w:name="Tc_uoe2N3cJpU-RG29Hqz3pXg_22_8"/>
      <w:bookmarkStart w:id="2382" w:name="Tc_22VX5xQ6M0KN1dhKVOnH_g_22_4"/>
      <w:bookmarkStart w:id="2383" w:name="Tc_cTghUxsow0KtE2XVgt7zKQ_22_2"/>
      <w:bookmarkStart w:id="2384" w:name="Tc_NEivTiOhV0yn88SwWz_nBw_22_0"/>
      <w:bookmarkStart w:id="2385" w:name="Tc_VhYTpblsZU-DxDyk2wEYNw_21_8"/>
      <w:bookmarkStart w:id="2386" w:name="Tc_k7H5ayUcKEOePZwlCp94xg_21_4"/>
      <w:bookmarkStart w:id="2387" w:name="Tc_zxH3BIYyVEqdfbgdc4EcrA_21_0"/>
      <w:bookmarkStart w:id="2388" w:name="Tc_-aZ_XXIT1Ee_O74r7Q9UDg_20_4"/>
      <w:bookmarkStart w:id="2389" w:name="Tc_o4JrEZcwP0amb7F3Zsr6_g_20_0"/>
      <w:bookmarkStart w:id="2390" w:name="Tc_2lWvwS5vlEiiZW9ZmoL4zg_19_6"/>
      <w:bookmarkStart w:id="2391" w:name="Tc_pdnqvddtxkyfFO0XUsqB0w_19_4"/>
      <w:bookmarkStart w:id="2392" w:name="Tc_03_z01_hsU-EbZC1HQkvyA_19_2"/>
      <w:bookmarkStart w:id="2393" w:name="Tc_eU0Atwm0fEW3AnVXff1LRA_19_0"/>
      <w:bookmarkStart w:id="2394" w:name="Tc_qdmI_laO5UmxD_kuUKULtg_18_10"/>
      <w:bookmarkStart w:id="2395" w:name="Tc_ASj1qHmDvk2q-0ArC22r0Q_18_8"/>
      <w:bookmarkStart w:id="2396" w:name="Tc_KZ7j8e2qVEKY3PnH61FHaw_18_4"/>
      <w:bookmarkStart w:id="2397" w:name="Tc_U1e6bErNNkumBsAKRg--9Q_18_0"/>
      <w:bookmarkStart w:id="2398" w:name="Tc_uXi2zQyWy0KVjHTf2Z4QoA_17_10"/>
      <w:bookmarkStart w:id="2399" w:name="Tc_BTF4YgJiTES_8p4UtAeYPg_17_8"/>
      <w:bookmarkStart w:id="2400" w:name="Tc_1ZnriKZG2ESxtYaNwFC3FQ_17_6"/>
      <w:bookmarkStart w:id="2401" w:name="Tc_BFRJfd0-N0K9F-DNocForw_17_4"/>
      <w:bookmarkStart w:id="2402" w:name="Tc_-55LZwimNUu37piuoSXy8A_17_0"/>
      <w:bookmarkStart w:id="2403" w:name="Tc_ynPSSgCzYEO9aucpR-d_zg_16_10"/>
      <w:bookmarkStart w:id="2404" w:name="Tc_Zq5g-0Ar606Tz1dk2wuwnQ_16_8"/>
      <w:bookmarkStart w:id="2405" w:name="Tc_NNAYNLIHwkm9MoLBHNDVHA_16_6"/>
      <w:bookmarkStart w:id="2406" w:name="Tc_n1PQx-htpkudzkqFLX48Kw_16_2"/>
      <w:bookmarkStart w:id="2407" w:name="Tc_kLv0mXinh0-7nsXJ78NrlQ_16_0"/>
      <w:bookmarkStart w:id="2408" w:name="Tc_tLYBELk9iU6S0Nv1CQAFiA_15_10"/>
      <w:bookmarkStart w:id="2409" w:name="Tc_lUpPFqwVi0irxAfmfZ5g7Q_15_8"/>
      <w:bookmarkStart w:id="2410" w:name="Tc_oc4rVKo10Uumhv8CBeRmKA_15_4"/>
      <w:bookmarkStart w:id="2411" w:name="Tc_yRjq9qcJfUGnc3_oTmgNow_15_0"/>
      <w:bookmarkStart w:id="2412" w:name="Tc_ZYHOnQeKe0uW5iYRHHXqPA_14_10"/>
      <w:bookmarkStart w:id="2413" w:name="Tc_PaXMH2RtSEeG42Aup1SE7A_14_8"/>
      <w:bookmarkStart w:id="2414" w:name="Tc_dj64yrREOUSVXw1l8A1Q3A_14_0"/>
      <w:bookmarkStart w:id="2415" w:name="Tc_OTrePmq3FkuEipyfDEZ-jw_13_10"/>
      <w:bookmarkStart w:id="2416" w:name="Tc_UHloBdAQ20SccRhvBgaS-Q_13_8"/>
      <w:bookmarkStart w:id="2417" w:name="Tc_4fgpZyJuH0ulKVHrEZ-MFw_13_6"/>
      <w:bookmarkStart w:id="2418" w:name="Tc_iOPjU9BRVke-DBI-WI7OHQ_13_4"/>
      <w:bookmarkStart w:id="2419" w:name="Tc_i4c9xwTn6EON7unW703aUA_13_0"/>
      <w:bookmarkStart w:id="2420" w:name="Tc_Bf6w7uLrmkWSaspa5LZ1Og_12_10"/>
      <w:bookmarkStart w:id="2421" w:name="Tc_0dk6HYtGLUqq6CqdwU9OCQ_12_8"/>
      <w:bookmarkStart w:id="2422" w:name="Tc_kCWtTD79y0KiUKaVrwesHA_12_2"/>
      <w:bookmarkStart w:id="2423" w:name="Tc_LbGiKVTAmEiFSv16AuDChA_12_0"/>
      <w:bookmarkStart w:id="2424" w:name="Tc_rHk2vcfqykqylEGPOrxqbg_11_10"/>
      <w:bookmarkStart w:id="2425" w:name="Tc_e2791po-y0uBodt7wgSZxA_11_8"/>
      <w:bookmarkStart w:id="2426" w:name="Tc_zf17alMW00WTGuBtPAyaXw_11_6"/>
      <w:bookmarkStart w:id="2427" w:name="Tc_PJdjaVgbhEu62l6BkRTiLg_11_0"/>
      <w:bookmarkStart w:id="2428" w:name="Tc_NSzXtR1cnEWGemCab8P_wA_10_10"/>
      <w:bookmarkStart w:id="2429" w:name="Tc_EYjMcrMqb0Kwv8PT00iWLA_10_8"/>
      <w:bookmarkStart w:id="2430" w:name="Tc_8sHWJPl6Gka-gyRz1E-cBg_10_6"/>
      <w:bookmarkStart w:id="2431" w:name="Tc_RDLZ3N3xAkONlg5-ZSg6Cg_10_4"/>
      <w:bookmarkStart w:id="2432" w:name="Tc_s1XbajiDQkaokBHs49e8UQ_10_0"/>
      <w:bookmarkStart w:id="2433" w:name="Tc_E49RGAYwVU6bowxBGxa22g_9_10"/>
      <w:bookmarkStart w:id="2434" w:name="Tc_EgDN85SP50i7Gp9DyW4O4A_9_8"/>
      <w:bookmarkStart w:id="2435" w:name="Tc_uWNvqC7Z9ka2oiNXPnPo5w_9_6"/>
      <w:bookmarkStart w:id="2436" w:name="Tc_IRoyCcT3GUaNICpMdjRLBg_9_0"/>
      <w:bookmarkStart w:id="2437" w:name="Tc_lT00YowOwUW4fnv8bFgd3w_8_10"/>
      <w:bookmarkStart w:id="2438" w:name="Tc_0F8qYhuVbEGDe8EkPhEI4Q_8_8"/>
      <w:bookmarkStart w:id="2439" w:name="Tc_ju7j7mJPN0WSUBb4ScPiiA_8_6"/>
      <w:bookmarkStart w:id="2440" w:name="Tc_guyMGAjVxkStIduTWchMYQ_8_0"/>
      <w:bookmarkStart w:id="2441" w:name="Tc_zE9Ab5t8LEyFqTdp22T_fQ_7_10"/>
      <w:bookmarkStart w:id="2442" w:name="Tc_r5E4nr-rsEOPQkX64WoC_w_7_8"/>
      <w:bookmarkStart w:id="2443" w:name="Tc_68it-6cn3UKrQfvVAx7tqg_7_6"/>
      <w:bookmarkStart w:id="2444" w:name="Tc_2ysW5GVNU0KgJVDnsloLKQ_7_4"/>
      <w:bookmarkStart w:id="2445" w:name="Tc_obpiXb3r-E-GNLX7F-4xyA_7_0"/>
      <w:bookmarkStart w:id="2446" w:name="Tc_ge5_ZsJyg02DXBbet-jYnw_6_10"/>
      <w:bookmarkStart w:id="2447" w:name="Tc_eQnN4nZL-EmSlvJoI4ztfg_6_8"/>
      <w:bookmarkStart w:id="2448" w:name="Tc_f9e0wIhnfkqGrxK7mqR17w_6_6"/>
      <w:bookmarkStart w:id="2449" w:name="Tc_VIGwr19-U06-Az-FkgIm3Q_6_2"/>
      <w:bookmarkStart w:id="2450" w:name="Tc_DnAnyHc4bECtJp5tCmhddg_6_0"/>
      <w:bookmarkStart w:id="2451" w:name="Tc_6qK76pc-z0Ox0sbAlrnWhA_5_10"/>
      <w:bookmarkStart w:id="2452" w:name="Tc_RI96V82TlkaJpsWE-1JK1Q_5_8"/>
      <w:bookmarkStart w:id="2453" w:name="Tc_iZYGrtEjZEys0GIHABX66Q_5_6"/>
      <w:bookmarkStart w:id="2454" w:name="Tc_xSbWZgihb0u204kcKaGPLQ_5_2"/>
      <w:bookmarkStart w:id="2455" w:name="Tc_s0DhXk7uQEC-4w07DjmNSA_5_0"/>
      <w:bookmarkStart w:id="2456" w:name="Tc_vd51AOaz8kSOTc936bRN7g_4_10"/>
      <w:bookmarkStart w:id="2457" w:name="Tc_caEcJEYdHkyY9mXeWpbTaw_4_8"/>
      <w:bookmarkStart w:id="2458" w:name="Tc_NBzQa8EqlE2tahzNMGjoVg_4_6"/>
      <w:bookmarkStart w:id="2459" w:name="Tc_6wJtC8_-Vkih5MXhVKAinQ_4_4"/>
      <w:bookmarkStart w:id="2460" w:name="Tc_QLoN2WD46kel1YHI2YlNuA_4_0"/>
      <w:bookmarkStart w:id="2461" w:name="Tc_GHqludOUE062gdafhv9aNg_3_12"/>
      <w:bookmarkStart w:id="2462" w:name="Tc_F1iCimTPPUWosqbQyMXdgQ_3_10"/>
      <w:bookmarkStart w:id="2463" w:name="Tc_lJlcbSNdVU-6dnI1t550gQ_3_8"/>
      <w:bookmarkStart w:id="2464" w:name="Tc_t9sqom1qLUe-AV3ojztYSg_3_6"/>
      <w:bookmarkStart w:id="2465" w:name="Tc_GAGEQLSIpESvPpmzmm8dbA_3_4"/>
      <w:bookmarkStart w:id="2466" w:name="Tc_bkxn1PMrr06okPSED5ShUw_3_2"/>
      <w:bookmarkStart w:id="2467" w:name="Tc_ZSQFPVqUSUK3ywucDCcqew_2_12"/>
      <w:bookmarkStart w:id="2468" w:name="Tc_iQyJfrX300GzQdPbD39Bgg_2_10"/>
      <w:bookmarkStart w:id="2469" w:name="Tc_51OvyKFTLUWQIp7DzwVITA_2_8"/>
      <w:bookmarkStart w:id="2470" w:name="Tc_3r1rG1wEOU-GHJ3sLAQ4fw_2_6"/>
      <w:bookmarkStart w:id="2471" w:name="Tc_2HEt97K5wEGiTSN4B91D-w_2_4"/>
      <w:bookmarkStart w:id="2472" w:name="Tc_KdYUXoG89k-Trjd34H7aOg_2_2"/>
      <w:bookmarkStart w:id="2473" w:name="Tc_4gNmy26MhkiNunLM03cQNA_1_10"/>
      <w:bookmarkStart w:id="2474" w:name="Tc_OA1QtIGnOEWDeuJpfTU01Q_1_8"/>
      <w:bookmarkStart w:id="2475" w:name="Tc_zi4CSWawOUu5HjK7JI8hqA_1_6"/>
      <w:bookmarkStart w:id="2476" w:name="Tc_7FjLBs5iPkOwEuJY9UulZQ_1_4"/>
      <w:bookmarkStart w:id="2477" w:name="Tc_0z6VNWWw6U-CEGQG7tZ_ZA_1_2"/>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p>
    <w:tbl>
      <w:tblPr>
        <w:tblW w:w="2672" w:type="dxa"/>
        <w:jc w:val="left"/>
        <w:tblInd w:w="0" w:type="dxa"/>
        <w:tblLayout w:type="fixed"/>
        <w:tblCellMar>
          <w:top w:w="0" w:type="dxa"/>
          <w:left w:w="0" w:type="dxa"/>
          <w:bottom w:w="0" w:type="dxa"/>
          <w:right w:w="0" w:type="dxa"/>
        </w:tblCellMar>
      </w:tblPr>
      <w:tblGrid>
        <w:gridCol w:w="376"/>
        <w:gridCol w:w="2296"/>
      </w:tblGrid>
      <w:tr>
        <w:trPr/>
        <w:tc>
          <w:tcPr>
            <w:tcW w:w="37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15.</w:t>
            </w:r>
          </w:p>
        </w:tc>
        <w:tc>
          <w:tcPr>
            <w:tcW w:w="229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CONVERTIBLE NOTES</w:t>
            </w:r>
          </w:p>
        </w:tc>
      </w:tr>
    </w:tbl>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25"/>
        <w:gridCol w:w="346"/>
        <w:gridCol w:w="1014"/>
        <w:gridCol w:w="346"/>
        <w:gridCol w:w="1023"/>
        <w:gridCol w:w="346"/>
        <w:gridCol w:w="1023"/>
        <w:gridCol w:w="346"/>
        <w:gridCol w:w="1023"/>
        <w:gridCol w:w="346"/>
        <w:gridCol w:w="1014"/>
        <w:gridCol w:w="346"/>
        <w:gridCol w:w="807"/>
      </w:tblGrid>
      <w:tr>
        <w:trPr/>
        <w:tc>
          <w:tcPr>
            <w:tcW w:w="2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412875" cy="175260"/>
                      <wp:effectExtent l="0" t="0" r="0" b="0"/>
                      <wp:wrapNone/>
                      <wp:docPr id="425" name="Frame420"/>
                      <a:graphic xmlns:a="http://schemas.openxmlformats.org/drawingml/2006/main">
                        <a:graphicData uri="http://schemas.microsoft.com/office/word/2010/wordprocessingShape">
                          <wps:wsp>
                            <wps:cNvSpPr txBox="1"/>
                            <wps:spPr>
                              <a:xfrm>
                                <a:off x="0" y="0"/>
                                <a:ext cx="141287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26"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3890" cy="175260"/>
                      <wp:effectExtent l="0" t="0" r="0" b="0"/>
                      <wp:wrapNone/>
                      <wp:docPr id="427" name="Frame422"/>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28"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9605" cy="175260"/>
                      <wp:effectExtent l="0" t="0" r="0" b="0"/>
                      <wp:wrapNone/>
                      <wp:docPr id="429" name="Frame424"/>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30"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9605" cy="175260"/>
                      <wp:effectExtent l="0" t="0" r="0" b="0"/>
                      <wp:wrapNone/>
                      <wp:docPr id="431" name="Frame426"/>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2"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9605" cy="175260"/>
                      <wp:effectExtent l="0" t="0" r="0" b="0"/>
                      <wp:wrapNone/>
                      <wp:docPr id="433" name="Frame428"/>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34"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3890" cy="175260"/>
                      <wp:effectExtent l="0" t="0" r="0" b="0"/>
                      <wp:wrapNone/>
                      <wp:docPr id="435" name="Frame430"/>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36"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12445" cy="175260"/>
                      <wp:effectExtent l="0" t="0" r="0" b="0"/>
                      <wp:wrapNone/>
                      <wp:docPr id="437" name="Frame432"/>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22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Subsidiary</w:t>
            </w:r>
          </w:p>
        </w:tc>
        <w:tc>
          <w:tcPr>
            <w:tcW w:w="346" w:type="dxa"/>
            <w:tcBorders/>
            <w:vAlign w:val="center"/>
          </w:tcPr>
          <w:p>
            <w:pPr>
              <w:pStyle w:val="TableContents"/>
              <w:bidi w:val="0"/>
              <w:spacing w:lineRule="auto" w:line="307" w:before="0" w:after="1"/>
              <w:ind w:left="0" w:right="0" w:hanging="0"/>
              <w:jc w:val="left"/>
              <w:rPr/>
            </w:pPr>
            <w:r>
              <w:rPr/>
              <w:t>  ​ ​ ​</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lineRule="auto" w:line="307" w:before="0" w:after="1"/>
              <w:ind w:left="0" w:right="0" w:hanging="0"/>
              <w:jc w:val="left"/>
              <w:rPr/>
            </w:pPr>
            <w:r>
              <w:rPr/>
              <w:t>  ​ ​ ​</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left"/>
              <w:rPr/>
            </w:pPr>
            <w:r>
              <w:rPr/>
              <w:t>  ​ ​ ​</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left"/>
              <w:rPr/>
            </w:pPr>
            <w:r>
              <w:rPr/>
              <w:t>  ​ ​ ​</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ATW</w:t>
            </w:r>
          </w:p>
        </w:tc>
        <w:tc>
          <w:tcPr>
            <w:tcW w:w="346" w:type="dxa"/>
            <w:tcBorders/>
            <w:vAlign w:val="center"/>
          </w:tcPr>
          <w:p>
            <w:pPr>
              <w:pStyle w:val="TableContents"/>
              <w:bidi w:val="0"/>
              <w:spacing w:lineRule="auto" w:line="307" w:before="0" w:after="1"/>
              <w:ind w:left="0" w:right="0" w:hanging="0"/>
              <w:jc w:val="left"/>
              <w:rPr/>
            </w:pPr>
            <w:r>
              <w:rPr/>
              <w:t>  ​ ​ ​</w:t>
            </w:r>
          </w:p>
        </w:tc>
        <w:tc>
          <w:tcPr>
            <w:tcW w:w="807" w:type="dxa"/>
            <w:tcBorders/>
            <w:vAlign w:val="center"/>
          </w:tcPr>
          <w:p>
            <w:pPr>
              <w:pStyle w:val="TableContents"/>
              <w:bidi w:val="0"/>
              <w:spacing w:lineRule="auto" w:line="307" w:before="0" w:after="160"/>
              <w:ind w:left="0" w:right="0" w:hanging="0"/>
              <w:jc w:val="center"/>
              <w:rPr/>
            </w:pPr>
            <w:r>
              <w:rPr/>
              <w:t>​</w:t>
            </w:r>
          </w:p>
        </w:tc>
      </w:tr>
      <w:tr>
        <w:trPr/>
        <w:tc>
          <w:tcPr>
            <w:tcW w:w="222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2225"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807"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Balance as of January 1, 2023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76,770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76,770</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Issuance of convertible notes</w:t>
            </w:r>
          </w:p>
        </w:tc>
        <w:tc>
          <w:tcPr>
            <w:tcW w:w="346" w:type="dxa"/>
            <w:tcBorders/>
            <w:vAlign w:val="center"/>
          </w:tcPr>
          <w:p>
            <w:pPr>
              <w:pStyle w:val="TableContents"/>
              <w:bidi w:val="0"/>
              <w:spacing w:lineRule="auto" w:line="307" w:before="0" w:after="1"/>
              <w:ind w:left="0" w:right="0" w:hanging="0"/>
              <w:jc w:val="left"/>
              <w:rPr/>
            </w:pPr>
            <w:r>
              <w:rPr/>
              <w:t> </w:t>
            </w:r>
          </w:p>
        </w:tc>
        <w:tc>
          <w:tcPr>
            <w:tcW w:w="101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25,297</w:t>
            </w:r>
          </w:p>
        </w:tc>
        <w:tc>
          <w:tcPr>
            <w:tcW w:w="346" w:type="dxa"/>
            <w:tcBorders/>
            <w:vAlign w:val="center"/>
          </w:tcPr>
          <w:p>
            <w:pPr>
              <w:pStyle w:val="TableContents"/>
              <w:bidi w:val="0"/>
              <w:spacing w:lineRule="auto" w:line="307" w:before="0" w:after="1"/>
              <w:ind w:left="0" w:right="0" w:hanging="0"/>
              <w:jc w:val="left"/>
              <w:rPr/>
            </w:pPr>
            <w:r>
              <w:rPr/>
              <w:t> </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0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25,297</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Partial redemption of convertible notes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(5,648)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(5,648)</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(3,072)</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(3,072)</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convertible notes, excluding impact of instrument-specific credit risk</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2,376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616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2,992</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convertible notes due to the instrument-specific credit risk</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6,951</w:t>
            </w:r>
          </w:p>
        </w:tc>
        <w:tc>
          <w:tcPr>
            <w:tcW w:w="346" w:type="dxa"/>
            <w:tcBorders/>
            <w:vAlign w:val="center"/>
          </w:tcPr>
          <w:p>
            <w:pPr>
              <w:pStyle w:val="TableContents"/>
              <w:bidi w:val="0"/>
              <w:spacing w:lineRule="auto" w:line="307" w:before="0" w:after="1"/>
              <w:ind w:left="0" w:right="0" w:hanging="0"/>
              <w:jc w:val="left"/>
              <w:rPr/>
            </w:pPr>
            <w:r>
              <w:rPr/>
              <w:t> </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lineRule="auto" w:line="307" w:before="0" w:after="1"/>
              <w:ind w:left="0" w:right="0" w:hanging="0"/>
              <w:jc w:val="left"/>
              <w:rPr/>
            </w:pPr>
            <w:r>
              <w:rPr/>
              <w:t> </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0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6,963</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(1,390)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(1,390)</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w:t>
            </w:r>
          </w:p>
        </w:tc>
        <w:tc>
          <w:tcPr>
            <w:tcW w:w="346" w:type="dxa"/>
            <w:tcBorders/>
            <w:vAlign w:val="center"/>
          </w:tcPr>
          <w:p>
            <w:pPr>
              <w:pStyle w:val="TableContents"/>
              <w:bidi w:val="0"/>
              <w:spacing w:lineRule="auto" w:line="307" w:before="0" w:after="1"/>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81,635</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20,277</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101,912</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Issuance of convertible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9,500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109,784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119,284</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(5,357)</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(5,357)</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convertible notes, excluding impact of instrument-specific credit risk</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7,905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337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5,790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14,032</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convertible notes due to the instrument-specific credit risk</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(8,789)</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(1,664)</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(10,453)</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Conversion to ordinary shares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(30,114)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(30,114)</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(1,148)</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(1,148)</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74,246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113,910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188,156</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Issuance of 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189,263</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199,263</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convertible notes, excluding impact of instrument-specific credit risk</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1,778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5,948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14,115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1,789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23,630</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Changes in fair values of convertible notes due to the instrument-specific credit risk</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(10,225)</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(595)</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283</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(10,537)</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Repayment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(119,263)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(119,263)</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Conversion to ordinary shares</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(1,210)</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(1,210)</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(4,802)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(4,877)</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1,442</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1,442</w:t>
            </w:r>
          </w:p>
        </w:tc>
      </w:tr>
      <w:tr>
        <w:trPr/>
        <w:tc>
          <w:tcPr>
            <w:tcW w:w="2225"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62,439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203,378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10,787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276,604</w:t>
            </w:r>
          </w:p>
        </w:tc>
      </w:tr>
      <w:tr>
        <w:trPr/>
        <w:tc>
          <w:tcPr>
            <w:tcW w:w="2225"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Including:</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07" w:type="dxa"/>
            <w:tcBorders/>
            <w:vAlign w:val="center"/>
          </w:tcPr>
          <w:p>
            <w:pPr>
              <w:pStyle w:val="TableContents"/>
              <w:bidi w:val="0"/>
              <w:spacing w:lineRule="auto" w:line="307" w:before="0" w:after="160"/>
              <w:ind w:left="0" w:right="0" w:hanging="0"/>
              <w:jc w:val="right"/>
              <w:rPr/>
            </w:pPr>
            <w:r>
              <w:rPr/>
              <w:t>​</w:t>
            </w:r>
          </w:p>
        </w:tc>
      </w:tr>
      <w:tr>
        <w:trPr/>
        <w:tc>
          <w:tcPr>
            <w:tcW w:w="2225" w:type="dxa"/>
            <w:tcBorders/>
            <w:shd w:fill="CCEEFF" w:val="clear"/>
            <w:vAlign w:val="center"/>
          </w:tcPr>
          <w:p>
            <w:pPr>
              <w:pStyle w:val="TableContents"/>
              <w:pBdr/>
              <w:bidi w:val="0"/>
              <w:spacing w:lineRule="auto" w:line="307" w:before="0" w:after="1"/>
              <w:ind w:left="0" w:right="0" w:hanging="0"/>
              <w:jc w:val="left"/>
              <w:rPr/>
            </w:pPr>
            <w:r>
              <w:rPr/>
              <w:t xml:space="preserve">– </w:t>
            </w:r>
            <w:r>
              <w:rPr>
                <w:rFonts w:ascii="Times New Roman;Times;serif" w:hAnsi="Times New Roman;Times;serif"/>
                <w:sz w:val="16"/>
              </w:rPr>
              <w:t>Current portion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23"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126,203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14"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0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126,203</w:t>
            </w:r>
          </w:p>
        </w:tc>
      </w:tr>
      <w:tr>
        <w:trPr/>
        <w:tc>
          <w:tcPr>
            <w:tcW w:w="2225" w:type="dxa"/>
            <w:tcBorders/>
            <w:vAlign w:val="center"/>
          </w:tcPr>
          <w:p>
            <w:pPr>
              <w:pStyle w:val="TableContents"/>
              <w:pBdr/>
              <w:bidi w:val="0"/>
              <w:spacing w:lineRule="auto" w:line="307" w:before="0" w:after="1"/>
              <w:ind w:left="0" w:right="0" w:hanging="0"/>
              <w:jc w:val="left"/>
              <w:rPr/>
            </w:pPr>
            <w:r>
              <w:rPr/>
              <w:t xml:space="preserve">– </w:t>
            </w:r>
            <w:r>
              <w:rPr>
                <w:rFonts w:ascii="Times New Roman;Times;serif" w:hAnsi="Times New Roman;Times;serif"/>
                <w:sz w:val="16"/>
              </w:rPr>
              <w:t>Non-current portion</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62,439</w:t>
            </w:r>
          </w:p>
        </w:tc>
        <w:tc>
          <w:tcPr>
            <w:tcW w:w="346" w:type="dxa"/>
            <w:tcBorders/>
            <w:vAlign w:val="center"/>
          </w:tcPr>
          <w:p>
            <w:pPr>
              <w:pStyle w:val="TableContents"/>
              <w:bidi w:val="0"/>
              <w:spacing w:lineRule="auto" w:line="307" w:before="0" w:after="1"/>
              <w:ind w:left="0" w:right="0" w:hanging="0"/>
              <w:jc w:val="left"/>
              <w:rPr/>
            </w:pPr>
            <w:r>
              <w:rPr/>
              <w:t> </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23"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23"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77,175</w:t>
            </w:r>
          </w:p>
        </w:tc>
        <w:tc>
          <w:tcPr>
            <w:tcW w:w="346" w:type="dxa"/>
            <w:tcBorders/>
            <w:vAlign w:val="center"/>
          </w:tcPr>
          <w:p>
            <w:pPr>
              <w:pStyle w:val="TableContents"/>
              <w:bidi w:val="0"/>
              <w:spacing w:lineRule="auto" w:line="307" w:before="0" w:after="160"/>
              <w:ind w:left="0" w:right="0" w:hanging="0"/>
              <w:jc w:val="left"/>
              <w:rPr/>
            </w:pPr>
            <w:r>
              <w:rPr/>
              <w:t>​</w:t>
            </w:r>
          </w:p>
        </w:tc>
        <w:tc>
          <w:tcPr>
            <w:tcW w:w="1014"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10,787</w:t>
            </w:r>
          </w:p>
        </w:tc>
        <w:tc>
          <w:tcPr>
            <w:tcW w:w="346" w:type="dxa"/>
            <w:tcBorders/>
            <w:vAlign w:val="center"/>
          </w:tcPr>
          <w:p>
            <w:pPr>
              <w:pStyle w:val="TableContents"/>
              <w:bidi w:val="0"/>
              <w:spacing w:lineRule="auto" w:line="307" w:before="0" w:after="1"/>
              <w:ind w:left="0" w:right="0" w:hanging="0"/>
              <w:jc w:val="left"/>
              <w:rPr/>
            </w:pPr>
            <w:r>
              <w:rPr/>
              <w:t> </w:t>
            </w:r>
          </w:p>
        </w:tc>
        <w:tc>
          <w:tcPr>
            <w:tcW w:w="807" w:type="dxa"/>
            <w:tcBorders/>
            <w:vAlign w:val="center"/>
          </w:tcPr>
          <w:p>
            <w:pPr>
              <w:pStyle w:val="TableContents"/>
              <w:bidi w:val="0"/>
              <w:spacing w:lineRule="auto" w:line="307" w:before="0" w:after="1"/>
              <w:ind w:left="0" w:right="60" w:hanging="0"/>
              <w:jc w:val="right"/>
              <w:rPr>
                <w:rFonts w:ascii="Times New Roman;Times;serif" w:hAnsi="Times New Roman;Times;serif"/>
                <w:sz w:val="16"/>
              </w:rPr>
            </w:pPr>
            <w:r>
              <w:rPr>
                <w:rFonts w:ascii="Times New Roman;Times;serif" w:hAnsi="Times New Roman;Times;serif"/>
                <w:sz w:val="16"/>
              </w:rPr>
              <w:t>150,401</w:t>
            </w:r>
          </w:p>
        </w:tc>
      </w:tr>
    </w:tbl>
    <w:p>
      <w:pPr>
        <w:pStyle w:val="TextBody"/>
        <w:pBdr/>
        <w:bidi w:val="0"/>
        <w:spacing w:lineRule="auto" w:line="307" w:before="0" w:after="160"/>
        <w:ind w:left="0" w:right="0" w:hanging="36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hanging="0"/>
        <w:jc w:val="left"/>
        <w:rPr>
          <w:rFonts w:ascii="Times New Roman;Times;serif" w:hAnsi="Times New Roman;Times;serif"/>
          <w:i/>
          <w:sz w:val="20"/>
        </w:rPr>
      </w:pPr>
      <w:bookmarkStart w:id="2478" w:name="Tc_Nh0644FjA0GDMEXe3r7A-w_5_5"/>
      <w:bookmarkStart w:id="2479" w:name="Tc_653xrxHtxUyUlnLw9RTeLw_5_4"/>
      <w:bookmarkStart w:id="2480" w:name="Tc_PukOHFDgaUiseVBsbNmWUw_5_3"/>
      <w:bookmarkStart w:id="2481" w:name="Tc_qLnm_GpehUyBzin4NjVwsA_5_2"/>
      <w:bookmarkStart w:id="2482" w:name="Tc_okR9JNUxrEiwQaFMQuOm3g_5_0"/>
      <w:bookmarkStart w:id="2483" w:name="Tc_ZqYTRsO9Ik-KWLOPjWZo4g_4_5"/>
      <w:bookmarkStart w:id="2484" w:name="Tc_0sOM4w2YdE6179v70um-gA_4_3"/>
      <w:bookmarkStart w:id="2485" w:name="Tc_fCyGNlAvx0-X3A4I9t8BpQ_4_0"/>
      <w:bookmarkStart w:id="2486" w:name="Tc_qLzRtQAOP0SMQShvSiVE9w_3_5"/>
      <w:bookmarkStart w:id="2487" w:name="Tc_RErcmZky3kqIwUB5NSc_yw_3_3"/>
      <w:bookmarkStart w:id="2488" w:name="Tc_RWYPAuTJ80-z8ObprT0Yqg_3_0"/>
      <w:bookmarkStart w:id="2489" w:name="Tc_1YLJkYLM00KmusjmkH1tjQ_2_4"/>
      <w:bookmarkStart w:id="2490" w:name="Tc_SftRjdCTpEGUcSsOdHNyrg_2_2"/>
      <w:bookmarkStart w:id="2491" w:name="Tc_WBNEo6xGf0qilcxWu1cgMA_1_2"/>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r>
        <w:rPr>
          <w:rFonts w:ascii="Times New Roman;Times;serif" w:hAnsi="Times New Roman;Times;serif"/>
          <w:i/>
          <w:sz w:val="20"/>
        </w:rPr>
        <w:t>Subsidiary Convertible Note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June 2022, the Company’s subsidiary, Ningbo Robotics, issued a seven-year convertible note (the “Subsidiary Convertible Note”) with the principal amount of RMB500,000 to an investor (the “Subsidiary Convertible Note Holder”). The Subsidiary Convertible Note Holder is entitled to receive annual interest equal to the outstanding principal multiplied by the latest five-year </w:t>
      </w:r>
      <w:r>
        <w:rPr>
          <w:rFonts w:ascii="Times New Roman;Times;serif" w:hAnsi="Times New Roman;Times;serif"/>
          <w:b w:val="false"/>
          <w:i w:val="false"/>
          <w:caps w:val="false"/>
          <w:smallCaps w:val="false"/>
          <w:sz w:val="20"/>
        </w:rPr>
        <w:t>LPR</w:t>
      </w:r>
      <w:r>
        <w:rPr>
          <w:rFonts w:ascii="Times New Roman;Times;serif" w:hAnsi="Times New Roman;Times;serif"/>
          <w:sz w:val="20"/>
        </w:rPr>
        <w:t xml:space="preserve"> plus 79.8% per annum, i.e., LPR*(1+79.8%) (“interest rate”) on June 30 every year until the expiration of the Subsidiary Convertible Note.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Subsidiary Convertible Note Holder has the right to convert the Subsidiary Convertible Note to the subsidiary’s equity within 7 years from the issuance date (i.e., convertible before June 8, 2029), if the agreed financial performance of Ningbo Robotics achieved. All outstanding interest shall be paid in cash immediately before the conversion. The conversion price is RMB135 per ordinary share of Ningbo Robotics (1 paid in capital equal to 1 share), subject to anti-dilution adjustment. Ningbo Lotus, the immediate parent company of Ningbo Robotics, shall redeem all outstanding principal amount of Subsidiary Convertible Note at maturity (i.e., June 8, 2029).</w:t>
      </w:r>
    </w:p>
    <w:p>
      <w:pPr>
        <w:pStyle w:val="TextBody"/>
        <w:bidi w:val="0"/>
        <w:spacing w:lineRule="auto" w:line="285" w:before="0" w:after="200"/>
        <w:ind w:left="0" w:right="0" w:hanging="0"/>
        <w:jc w:val="both"/>
        <w:rPr>
          <w:rFonts w:ascii="Times New Roman;Times;serif" w:hAnsi="Times New Roman;Times;serif"/>
          <w:i/>
          <w:sz w:val="20"/>
        </w:rPr>
      </w:pPr>
      <w:r>
        <w:rPr>
          <w:rFonts w:ascii="Times New Roman;Times;serif" w:hAnsi="Times New Roman;Times;serif"/>
          <w:i/>
          <w:sz w:val="20"/>
        </w:rPr>
        <w:t>Accounting of Subsidiary Convertible Note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for the Subsidiary Convertible Note, including the component related to accrued interest. The Group believes the fair value option best reflects the economics of the underlying transaction. The Subsidiary Convertible Note was recognized at fair value at the issuance date and is measured subsequently at fair value. The changes in fair values due to the instrument-specific credit risk were charged to other comprehensive income (loss) and all other changes in fair values were recognized as “Changes in fair values of liabilities, excluding impact of instrument-specific credit risk” in the consolidated statements of comprehensive loss.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adopted a scenario-weighted average method to estimate the fair value of the Subsidiary Convertible Note, based on an analysis of future values of the settlement of the obligation, assuming various outcomes. The probability weightings assigned to certain potential scenarios were based on management’s assessment of the probability of settlement of the liability in cash or shares and an assessment of the timing of settlement. In each scenario, the obligation valuation was based on the contractually agreed cash payment or equivalent equity discounted to each valuation date.</w:t>
      </w:r>
    </w:p>
    <w:p>
      <w:pPr>
        <w:pStyle w:val="TextBody"/>
        <w:bidi w:val="0"/>
        <w:spacing w:lineRule="auto" w:line="307" w:before="0" w:after="200"/>
        <w:ind w:left="0" w:right="0" w:firstLine="720"/>
        <w:jc w:val="both"/>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fair value of the Subsidiary Convertible Note as of December 31, 2025 and 2024 was estimated with the following key assumptions used:</w:t>
      </w:r>
    </w:p>
    <w:p>
      <w:pPr>
        <w:pStyle w:val="TextBody"/>
        <w:bidi w:val="0"/>
        <w:spacing w:lineRule="auto" w:line="307" w:before="0" w:after="160"/>
        <w:ind w:left="0" w:right="0" w:firstLine="720"/>
        <w:jc w:val="left"/>
        <w:rPr/>
      </w:pPr>
      <w:r>
        <w:rPr/>
        <w:t>​</w:t>
      </w:r>
    </w:p>
    <w:tbl>
      <w:tblPr>
        <w:tblW w:w="5526" w:type="dxa"/>
        <w:jc w:val="left"/>
        <w:tblInd w:w="0" w:type="dxa"/>
        <w:tblLayout w:type="fixed"/>
        <w:tblCellMar>
          <w:top w:w="0" w:type="dxa"/>
          <w:left w:w="0" w:type="dxa"/>
          <w:bottom w:w="0" w:type="dxa"/>
          <w:right w:w="0" w:type="dxa"/>
        </w:tblCellMar>
      </w:tblPr>
      <w:tblGrid>
        <w:gridCol w:w="2191"/>
        <w:gridCol w:w="346"/>
        <w:gridCol w:w="1261"/>
        <w:gridCol w:w="361"/>
        <w:gridCol w:w="1051"/>
        <w:gridCol w:w="31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91285" cy="175260"/>
                      <wp:effectExtent l="0" t="0" r="0" b="0"/>
                      <wp:wrapNone/>
                      <wp:docPr id="438" name="Frame433"/>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39"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800735" cy="175260"/>
                      <wp:effectExtent l="0" t="0" r="0" b="0"/>
                      <wp:wrapNone/>
                      <wp:docPr id="440" name="Frame43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29235" cy="175260"/>
                      <wp:effectExtent l="0" t="0" r="0" b="0"/>
                      <wp:wrapNone/>
                      <wp:docPr id="441" name="Frame4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67385" cy="175260"/>
                      <wp:effectExtent l="0" t="0" r="0" b="0"/>
                      <wp:wrapNone/>
                      <wp:docPr id="442" name="Frame43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0660" cy="175260"/>
                      <wp:effectExtent l="0" t="0" r="0" b="0"/>
                      <wp:wrapNone/>
                      <wp:docPr id="443" name="Frame4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67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21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lineRule="auto" w:line="307"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21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Risk-free interest rates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Probability of conversion</w:t>
            </w:r>
          </w:p>
        </w:tc>
        <w:tc>
          <w:tcPr>
            <w:tcW w:w="346" w:type="dxa"/>
            <w:tcBorders/>
            <w:vAlign w:val="center"/>
          </w:tcPr>
          <w:p>
            <w:pPr>
              <w:pStyle w:val="TableContents"/>
              <w:bidi w:val="0"/>
              <w:spacing w:lineRule="auto" w:line="307" w:before="0" w:after="1"/>
              <w:ind w:left="0" w:right="0" w:hanging="0"/>
              <w:jc w:val="left"/>
              <w:rPr/>
            </w:pPr>
            <w:r>
              <w:rPr/>
              <w:t> </w:t>
            </w:r>
          </w:p>
        </w:tc>
        <w:tc>
          <w:tcPr>
            <w:tcW w:w="126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Bond yields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6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14.05%-14.51</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6.69%-7.74</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2023 Convertible Notes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December 31, 2023, the Company issued following convertible notes (“2023 Convertible Notes”). </w:t>
      </w:r>
    </w:p>
    <w:tbl>
      <w:tblPr>
        <w:tblW w:w="10205" w:type="dxa"/>
        <w:jc w:val="left"/>
        <w:tblInd w:w="0" w:type="dxa"/>
        <w:tblLayout w:type="fixed"/>
        <w:tblCellMar>
          <w:top w:w="0" w:type="dxa"/>
          <w:left w:w="0" w:type="dxa"/>
          <w:bottom w:w="0" w:type="dxa"/>
          <w:right w:w="0" w:type="dxa"/>
        </w:tblCellMar>
      </w:tblPr>
      <w:tblGrid>
        <w:gridCol w:w="124"/>
        <w:gridCol w:w="177"/>
        <w:gridCol w:w="9904"/>
      </w:tblGrid>
      <w:tr>
        <w:trPr/>
        <w:tc>
          <w:tcPr>
            <w:tcW w:w="1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i)</w:t>
            </w:r>
          </w:p>
        </w:tc>
        <w:tc>
          <w:tcPr>
            <w:tcW w:w="9904" w:type="dxa"/>
            <w:tcBorders/>
            <w:vAlign w:val="center"/>
          </w:tcPr>
          <w:p>
            <w:pPr>
              <w:pStyle w:val="TableContents"/>
              <w:bidi w:val="0"/>
              <w:spacing w:lineRule="auto" w:line="285" w:before="0" w:after="240"/>
              <w:jc w:val="both"/>
              <w:rPr>
                <w:rFonts w:ascii="Times New Roman;Times;serif" w:hAnsi="Times New Roman;Times;serif"/>
                <w:sz w:val="22"/>
              </w:rPr>
            </w:pPr>
            <w:r>
              <w:rPr>
                <w:rFonts w:ascii="Times New Roman;Times;serif" w:hAnsi="Times New Roman;Times;serif"/>
                <w:sz w:val="20"/>
              </w:rPr>
              <w:t>During the year ended December 31, 2023, the Company entered into convertible note purchase agreements with the certain investors (“Convertible Note Purchase Agreements”), pursuant to which the Company issued US$23,500</w:t>
            </w:r>
            <w:r>
              <w:rPr>
                <w:rFonts w:ascii="Times New Roman;Times;serif" w:hAnsi="Times New Roman;Times;serif"/>
                <w:sz w:val="22"/>
              </w:rPr>
              <w:t xml:space="preserve"> </w:t>
            </w:r>
            <w:r>
              <w:rPr>
                <w:rFonts w:ascii="Times New Roman;Times;serif" w:hAnsi="Times New Roman;Times;serif"/>
                <w:sz w:val="20"/>
              </w:rPr>
              <w:t>aggregate principal amount of unsecured convertible notes (the “Pre-IPO Notes”) with maturing one year</w:t>
            </w:r>
            <w:r>
              <w:rPr>
                <w:rFonts w:ascii="Times New Roman;Times;serif" w:hAnsi="Times New Roman;Times;serif"/>
                <w:sz w:val="22"/>
              </w:rPr>
              <w:t xml:space="preserve"> </w:t>
            </w:r>
            <w:r>
              <w:rPr>
                <w:rFonts w:ascii="Times New Roman;Times;serif" w:hAnsi="Times New Roman;Times;serif"/>
                <w:sz w:val="20"/>
              </w:rPr>
              <w:t>from the issuance. As of December 31, 2023, the Pre-IPO Notes of US$14,000</w:t>
            </w:r>
            <w:r>
              <w:rPr>
                <w:rFonts w:ascii="Times New Roman;Times;serif" w:hAnsi="Times New Roman;Times;serif"/>
                <w:sz w:val="22"/>
              </w:rPr>
              <w:t xml:space="preserve"> </w:t>
            </w:r>
            <w:r>
              <w:rPr>
                <w:rFonts w:ascii="Times New Roman;Times;serif" w:hAnsi="Times New Roman;Times;serif"/>
                <w:sz w:val="20"/>
              </w:rPr>
              <w:t>was issued. In January 2024, the Company issued the remaining principal amount of US$9,500</w:t>
            </w:r>
            <w:r>
              <w:rPr>
                <w:rFonts w:ascii="Times New Roman;Times;serif" w:hAnsi="Times New Roman;Times;serif"/>
                <w:sz w:val="22"/>
              </w:rPr>
              <w:t xml:space="preserve"> </w:t>
            </w:r>
            <w:r>
              <w:rPr>
                <w:rFonts w:ascii="Times New Roman;Times;serif" w:hAnsi="Times New Roman;Times;serif"/>
                <w:sz w:val="20"/>
              </w:rPr>
              <w:t xml:space="preserve">to one of the investors of Pre-IPO Notes.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2492" w:name="_9b786faa_5eec_4af8_85fc_29505c0e52c5_3"/>
      <w:bookmarkStart w:id="2493" w:name="_9b786faa_5eec_4af8_85fc_29505c0e52c5_2"/>
      <w:bookmarkStart w:id="2494" w:name="_9b786faa_5eec_4af8_85fc_29505c0e52c5"/>
      <w:bookmarkStart w:id="2495" w:name="_a992ccc5_a4cd_437a_8e30_77f8b21525cf_3"/>
      <w:bookmarkStart w:id="2496" w:name="_a992ccc5_a4cd_437a_8e30_77f8b21525cf_2"/>
      <w:bookmarkStart w:id="2497" w:name="_a992ccc5_a4cd_437a_8e30_77f8b21525cf"/>
      <w:bookmarkStart w:id="2498" w:name="_9b786faa_5eec_4af8_85fc_29505c0e52c5_3"/>
      <w:bookmarkStart w:id="2499" w:name="_9b786faa_5eec_4af8_85fc_29505c0e52c5_2"/>
      <w:bookmarkStart w:id="2500" w:name="_9b786faa_5eec_4af8_85fc_29505c0e52c5"/>
      <w:bookmarkStart w:id="2501" w:name="_a992ccc5_a4cd_437a_8e30_77f8b21525cf_3"/>
      <w:bookmarkStart w:id="2502" w:name="_a992ccc5_a4cd_437a_8e30_77f8b21525cf_2"/>
      <w:bookmarkStart w:id="2503" w:name="_a992ccc5_a4cd_437a_8e30_77f8b21525cf"/>
      <w:bookmarkEnd w:id="2498"/>
      <w:bookmarkEnd w:id="2499"/>
      <w:bookmarkEnd w:id="2500"/>
      <w:bookmarkEnd w:id="2501"/>
      <w:bookmarkEnd w:id="2502"/>
      <w:bookmarkEnd w:id="2503"/>
    </w:p>
    <w:tbl>
      <w:tblPr>
        <w:tblW w:w="10205" w:type="dxa"/>
        <w:jc w:val="left"/>
        <w:tblInd w:w="0" w:type="dxa"/>
        <w:tblLayout w:type="fixed"/>
        <w:tblCellMar>
          <w:top w:w="0" w:type="dxa"/>
          <w:left w:w="0" w:type="dxa"/>
          <w:bottom w:w="0" w:type="dxa"/>
          <w:right w:w="0" w:type="dxa"/>
        </w:tblCellMar>
      </w:tblPr>
      <w:tblGrid>
        <w:gridCol w:w="124"/>
        <w:gridCol w:w="242"/>
        <w:gridCol w:w="98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lineRule="auto" w:line="285" w:before="0" w:after="240"/>
              <w:jc w:val="both"/>
              <w:rPr>
                <w:rFonts w:ascii="Times New Roman;Times;serif" w:hAnsi="Times New Roman;Times;serif"/>
                <w:sz w:val="20"/>
              </w:rPr>
            </w:pPr>
            <w:r>
              <w:rPr>
                <w:rFonts w:ascii="Times New Roman;Times;serif" w:hAnsi="Times New Roman;Times;serif"/>
                <w:sz w:val="20"/>
              </w:rPr>
              <w:t>ii)</w:t>
            </w:r>
          </w:p>
        </w:tc>
        <w:tc>
          <w:tcPr>
            <w:tcW w:w="9839" w:type="dxa"/>
            <w:tcBorders/>
            <w:vAlign w:val="center"/>
          </w:tcPr>
          <w:p>
            <w:pPr>
              <w:pStyle w:val="TableContents"/>
              <w:bidi w:val="0"/>
              <w:spacing w:lineRule="auto" w:line="285" w:before="0" w:after="240"/>
              <w:jc w:val="both"/>
              <w:rPr>
                <w:rFonts w:ascii="Times New Roman;Times;serif" w:hAnsi="Times New Roman;Times;serif"/>
                <w:sz w:val="22"/>
              </w:rPr>
            </w:pPr>
            <w:r>
              <w:rPr>
                <w:rFonts w:ascii="Times New Roman;Times;serif" w:hAnsi="Times New Roman;Times;serif"/>
                <w:sz w:val="20"/>
              </w:rPr>
              <w:t>On April 28, 2023, the Company entered into a convertible note purchase agreement with Momenta Global Limited, pursuant to which the Company issued a convertible note for a purchase price equal to US$ equivalent of RMB80,000</w:t>
            </w:r>
            <w:r>
              <w:rPr>
                <w:rFonts w:ascii="Times New Roman;Times;serif" w:hAnsi="Times New Roman;Times;serif"/>
                <w:sz w:val="22"/>
              </w:rPr>
              <w:t xml:space="preserve"> </w:t>
            </w:r>
            <w:r>
              <w:rPr>
                <w:rFonts w:ascii="Times New Roman;Times;serif" w:hAnsi="Times New Roman;Times;serif"/>
                <w:sz w:val="20"/>
              </w:rPr>
              <w:t>as calculated based on the US$/RMB central parity rate set by the People’s Bank of China as of the issue date (the “Momenta Note”) with maturing one year</w:t>
            </w:r>
            <w:r>
              <w:rPr>
                <w:rFonts w:ascii="Times New Roman;Times;serif" w:hAnsi="Times New Roman;Times;serif"/>
                <w:sz w:val="22"/>
              </w:rPr>
              <w:t xml:space="preserve"> </w:t>
            </w:r>
            <w:r>
              <w:rPr>
                <w:rFonts w:ascii="Times New Roman;Times;serif" w:hAnsi="Times New Roman;Times;serif"/>
                <w:sz w:val="20"/>
              </w:rPr>
              <w:t>from the issuance.</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mentioned in Note 1(b), 2,433,912 ordinary shares were issued to a number of Pre-IPO Notes investors pursuant to the conversion of Pre-IPO Notes, including both principal and interest, and 577,456 ordinary shares were issued to Momenta Global Limited pursuant to the conversion of Momenta Note, including both principal and interest, upon the consummation of the Merger Transaction.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for 2023 Convertible Notes, including the component related to accrued interest. The Group believes the fair value option best reflects the economics of the underlying transaction.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2024 Convertible Notes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June 24 and June 25, 2024, the Company entered into short-term unsecured convertible notes (“2024 Convertible Notes”) agreement with a related party, Geely International (Hong Kong) Limited (“Geely HK” or “2024 Convertible Notes Holder”) and issued convertibles notes with principal amounts of US$54,904 and US$54,880, respectively, that will both be due on June 22, 2025. The 2024 Convertible Notes Holder is entitled to receive interest at coupon rate of Secured Overnight Financing Rate published on the New York Federal Reserve website (“SOFR”) plus 3.35% per annum. The 2024 Convertible Notes Holder has the right, at its option, to convert all or any portion of the notes, to the Company’s fully paid ordinary shares at any time during the conversion period. The conversion price equals to the volume-weighted average of the last reported sale price of the Company’s ADSs over the 10 consecutive trading days immediately preceding the applicable conversion date, subject to adjustment.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 June 2025, the 2024 Convertible Notes were fully repaid. Upon the repayment, the accumulated recognized other comprehensive loss relating to fair value changes due to instrument-specific credit risk of US$2,259 was reclassified to changes in fair values of liabilities, excluding impact of instrument-specific credit risk in the consolidated statement of comprehensive loss for the year ended December 31, 2025.</w:t>
      </w:r>
    </w:p>
    <w:p>
      <w:pPr>
        <w:pStyle w:val="TextBody"/>
        <w:bidi w:val="0"/>
        <w:spacing w:lineRule="auto" w:line="285" w:before="0" w:after="240"/>
        <w:ind w:left="0" w:right="0" w:hanging="0"/>
        <w:jc w:val="both"/>
        <w:rPr>
          <w:rFonts w:ascii="Times New Roman;Times;serif" w:hAnsi="Times New Roman;Times;serif"/>
          <w:i/>
          <w:sz w:val="20"/>
        </w:rPr>
      </w:pPr>
      <w:r>
        <w:rPr>
          <w:rFonts w:ascii="Times New Roman;Times;serif" w:hAnsi="Times New Roman;Times;serif"/>
          <w:i/>
          <w:sz w:val="20"/>
        </w:rPr>
        <w:t>2025 Convertible Notes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On February 28 and June 20, 2025, the Company entered into unsecured convertible notes (“2025 Convertible Notes”) agreements with a related party, Geely HK (“2025 Convertible Notes Holder”) and issued convertibles notes with principal amounts of US$70,000 and US$119,263. The 2025 Convertible Notes were issued on April 28 and June 20, 2025, respectively, and will be due on April 28, 2027 and June 18, 2026, respectively. The 2025 Convertible Notes Holder is entitled to receive interest at coupon rate of SOFR plus 3.35% per annum. The 2025 Convertible Notes Holder has the right, at its option, to convert all or any portion of the notes, to the Company’s fully paid ordinary shares at any time during the conversion period. The conversion price equals to the volume-weighted average of the last reported sale price of the Company’s ADSs over the 10 consecutive trading days immediately preceding the applicable conversion date, subject to adjustment. In addition, in connection with 2025 Convertible Notes issued on April 28, 2025, 2025 Convertible Notes Holder entered into equity pledge agreements with Ningbo Lotus, a wholly-owned subsidiary of the Company, pursuant to which Ningbo Lotus agreed to pledge to the 2025 Convertible Notes Holder 50% equity interests held by Ningbo Lotus in Ningbo Robotics.</w:t>
      </w:r>
    </w:p>
    <w:p>
      <w:pPr>
        <w:pStyle w:val="TextBody"/>
        <w:bidi w:val="0"/>
        <w:spacing w:lineRule="auto" w:line="285" w:before="0" w:after="240"/>
        <w:ind w:left="0" w:right="0" w:hanging="0"/>
        <w:jc w:val="both"/>
        <w:rPr>
          <w:rFonts w:ascii="Times New Roman;Times;serif" w:hAnsi="Times New Roman;Times;serif"/>
          <w:i/>
          <w:sz w:val="20"/>
        </w:rPr>
      </w:pPr>
      <w:r>
        <w:rPr>
          <w:rFonts w:ascii="Times New Roman;Times;serif" w:hAnsi="Times New Roman;Times;serif"/>
          <w:i/>
          <w:sz w:val="20"/>
        </w:rPr>
        <w:t>Accounting of 2024 and 2025 Convertible Notes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to account for the 2024 and 2025 Convertible Note (the “Convertible Notes”), including the component related to accrued interest. The Group believes the fair value option best reflects the economics of the underlying transaction. The Convertible Notes were recognized at fair value at the issuance date and is measured subsequently at fair value. The changes in fair values due to the instrument-specific credit risk were charged to other comprehensive income (loss) and reclassified to profit or loss upon termination of related convertible notes. All other changes in fair values were recognized as “Changes in fair values of liabilities, excluding impact of instrument-specific credit risk” in the consolidated statements of comprehensive loss.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2504" w:name="Tc_upOlMeg-MUePKBqBchGaXA_5_3"/>
      <w:bookmarkStart w:id="2505" w:name="Tc_QJfst-ePMEufriLNoDzg4Q_5_0"/>
      <w:bookmarkStart w:id="2506" w:name="Tc_PKGc36j-XUyO57_E2T9-aQ_4_3"/>
      <w:bookmarkStart w:id="2507" w:name="Tc_b0DbkvmnkUS15RVxLT02Gg_4_0"/>
      <w:bookmarkStart w:id="2508" w:name="Tc_h8l6NGTg0E-GQo2cQhtCmg_3_3"/>
      <w:bookmarkStart w:id="2509" w:name="Tc__QE4bi7CT0K4RR56T41e0Q_3_0"/>
      <w:bookmarkStart w:id="2510" w:name="Tc_zZV1Agi51k2PQtehebX30Q_1_2"/>
      <w:bookmarkStart w:id="2511" w:name="Tc_fEuNoT6vXk64CX_w-s65sQ_7_5"/>
      <w:bookmarkStart w:id="2512" w:name="Tc_-0xPAuGyv0mZDFwtDlC7kg_7_3"/>
      <w:bookmarkStart w:id="2513" w:name="Tc_dBiSqbvuwEWiMqMIyYcVyg_7_2"/>
      <w:bookmarkStart w:id="2514" w:name="Tc_CXGI8lGBPUCDJh2Jl1AodA_7_0"/>
      <w:bookmarkStart w:id="2515" w:name="Tc_zmyC7oaDn0KhpwXHrlhH3A_6_5"/>
      <w:bookmarkStart w:id="2516" w:name="Tc_X-GWb2UKUECANY7NcFMGcA_6_3"/>
      <w:bookmarkStart w:id="2517" w:name="Tc_k-XtbRMkE0-d4Pxc0yqp1Q_6_2"/>
      <w:bookmarkStart w:id="2518" w:name="Tc_yXtPG7Dg5k-cz4rvpv2NAg_6_0"/>
      <w:bookmarkStart w:id="2519" w:name="Tc_qFdtUFv1PkyW4ZB2VIbGEw_5_5"/>
      <w:bookmarkStart w:id="2520" w:name="Tc_JxipKkVBSEW0eiG4oJ1bUw_5_3"/>
      <w:bookmarkStart w:id="2521" w:name="Tc_2CpXGJgoQkSJdUQcp73-og_5_2"/>
      <w:bookmarkStart w:id="2522" w:name="Tc_yjV1mSJjzUuaC5qrP8AB4w_5_0"/>
      <w:bookmarkStart w:id="2523" w:name="Tc_8YodMfkaPkGIFwGqCHzaeQ_4_4"/>
      <w:bookmarkStart w:id="2524" w:name="Tc_aovTxphDFEqNLjSmxxvzGA_4_2"/>
      <w:bookmarkStart w:id="2525" w:name="Tc_fxLjIUY5hUKmj0mIrSwJGA_3_4"/>
      <w:bookmarkStart w:id="2526" w:name="Tc_g-LiwdH-jkuSYgvAL_D48w_3_2"/>
      <w:bookmarkStart w:id="2527" w:name="Tc_iuU9mr2vvkG6MU8QRd7-IQ_2_4"/>
      <w:bookmarkStart w:id="2528" w:name="Tc_5MiStAX0Dk2Kg6zYpYzQuQ_2_2"/>
      <w:bookmarkStart w:id="2529" w:name="Tc_OG4DYjvqXkuOT2E0GVNEPA_1_2"/>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r>
        <w:rPr>
          <w:rFonts w:ascii="Times New Roman;Times;serif" w:hAnsi="Times New Roman;Times;serif"/>
          <w:sz w:val="20"/>
        </w:rPr>
        <w:t>The Group adopted a binomial option-pricing model to estimate the fair value of the Convertible Notes, based on assumptions related to risk-free interest rate, expected volatility and bond yield. On each node of the binomial lattice, the obligation valuation was based on the contractually agreed cash payment or equivalent equity discounted to each valuation date. The fair value of the 2025 Convertible Notes as of December 31, 2025 and the fair value of the 2024 Convertible Notes as of December 31, 2024 was estimated with the following key assumptions used:</w:t>
      </w:r>
    </w:p>
    <w:p>
      <w:pPr>
        <w:pStyle w:val="TextBody"/>
        <w:bidi w:val="0"/>
        <w:spacing w:lineRule="auto" w:line="307" w:before="0" w:after="160"/>
        <w:ind w:left="0" w:right="0" w:firstLine="720"/>
        <w:jc w:val="left"/>
        <w:rPr/>
      </w:pPr>
      <w:r>
        <w:rPr/>
        <w:t>​</w:t>
      </w:r>
    </w:p>
    <w:tbl>
      <w:tblPr>
        <w:tblW w:w="5676" w:type="dxa"/>
        <w:jc w:val="left"/>
        <w:tblInd w:w="0" w:type="dxa"/>
        <w:tblLayout w:type="fixed"/>
        <w:tblCellMar>
          <w:top w:w="0" w:type="dxa"/>
          <w:left w:w="0" w:type="dxa"/>
          <w:bottom w:w="0" w:type="dxa"/>
          <w:right w:w="0" w:type="dxa"/>
        </w:tblCellMar>
      </w:tblPr>
      <w:tblGrid>
        <w:gridCol w:w="1846"/>
        <w:gridCol w:w="346"/>
        <w:gridCol w:w="1411"/>
        <w:gridCol w:w="346"/>
        <w:gridCol w:w="1411"/>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172210" cy="175260"/>
                      <wp:effectExtent l="0" t="0" r="0" b="0"/>
                      <wp:wrapNone/>
                      <wp:docPr id="444" name="Frame43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45"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895985" cy="175260"/>
                      <wp:effectExtent l="0" t="0" r="0" b="0"/>
                      <wp:wrapNone/>
                      <wp:docPr id="446" name="Frame441"/>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47"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895985" cy="175260"/>
                      <wp:effectExtent l="0" t="0" r="0" b="0"/>
                      <wp:wrapNone/>
                      <wp:docPr id="448" name="Frame44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0660" cy="175260"/>
                      <wp:effectExtent l="0" t="0" r="0" b="0"/>
                      <wp:wrapNone/>
                      <wp:docPr id="449" name="Frame4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3168"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4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left"/>
              <w:rPr/>
            </w:pPr>
            <w:r>
              <w:rPr/>
              <w:t>  ​ ​ ​</w:t>
            </w:r>
          </w:p>
        </w:tc>
        <w:tc>
          <w:tcPr>
            <w:tcW w:w="141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Convertible Notes</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Risk</w:t>
              <w:noBreakHyphen/>
              <w:t>free interest rate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3.45%-3.57</w:t>
            </w:r>
          </w:p>
        </w:tc>
        <w:tc>
          <w:tcPr>
            <w:tcW w:w="3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Volatilities</w:t>
            </w:r>
          </w:p>
        </w:tc>
        <w:tc>
          <w:tcPr>
            <w:tcW w:w="346" w:type="dxa"/>
            <w:tcBorders/>
            <w:vAlign w:val="center"/>
          </w:tcPr>
          <w:p>
            <w:pPr>
              <w:pStyle w:val="TableContents"/>
              <w:bidi w:val="0"/>
              <w:spacing w:lineRule="auto" w:line="307" w:before="0" w:after="1"/>
              <w:ind w:left="0" w:right="0" w:hanging="0"/>
              <w:jc w:val="left"/>
              <w:rPr/>
            </w:pPr>
            <w:r>
              <w:rPr/>
              <w:t> </w:t>
            </w:r>
          </w:p>
        </w:tc>
        <w:tc>
          <w:tcPr>
            <w:tcW w:w="14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43.57%-54.49</w:t>
            </w:r>
          </w:p>
        </w:tc>
        <w:tc>
          <w:tcPr>
            <w:tcW w:w="3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56.70</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Bond yield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4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16.89%-17.03</w:t>
            </w:r>
          </w:p>
        </w:tc>
        <w:tc>
          <w:tcPr>
            <w:tcW w:w="3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ATW Convertible Note</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On August 19, 2025, the Company entered into a securities purchase agreement (the “Securities Purchase Agreement”) with ATW Partners, pursuant to which the Company agreed to issue and sell convertible notes for up to an aggregate principal amount of US$300,000 (the “ATW Notes”). Pursuant to the Securities Purchase Agreement, the Company issued an ATW Note in the original principal amount of US$10,000 on August 19, 2025.</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0"/>
        </w:rPr>
        <w:t xml:space="preserve">Each of ATW Notes bears interest at a rate of </w:t>
      </w:r>
      <w:r>
        <w:rPr>
          <w:rFonts w:ascii="Times New Roman;Times;serif" w:hAnsi="Times New Roman;Times;serif"/>
          <w:b w:val="false"/>
          <w:i w:val="false"/>
          <w:caps w:val="false"/>
          <w:smallCaps w:val="false"/>
          <w:sz w:val="20"/>
        </w:rPr>
        <w:t>SOFR</w:t>
      </w:r>
      <w:r>
        <w:rPr>
          <w:rFonts w:ascii="Times New Roman;Times;serif" w:hAnsi="Times New Roman;Times;serif"/>
          <w:sz w:val="22"/>
        </w:rPr>
        <w:t xml:space="preserve"> </w:t>
      </w:r>
      <w:r>
        <w:rPr>
          <w:rFonts w:ascii="Times New Roman;Times;serif" w:hAnsi="Times New Roman;Times;serif"/>
          <w:sz w:val="20"/>
        </w:rPr>
        <w:t>plus 6.75%</w:t>
      </w:r>
      <w:r>
        <w:rPr>
          <w:rFonts w:ascii="Times New Roman;Times;serif" w:hAnsi="Times New Roman;Times;serif"/>
          <w:sz w:val="22"/>
        </w:rPr>
        <w:t xml:space="preserve"> </w:t>
      </w:r>
      <w:r>
        <w:rPr>
          <w:rFonts w:ascii="Times New Roman;Times;serif" w:hAnsi="Times New Roman;Times;serif"/>
          <w:sz w:val="20"/>
        </w:rPr>
        <w:t>per annum. If certain equity conditions are satisfied, the Company is entitled to settle a portion of interest, i.e. 4.25%</w:t>
      </w:r>
      <w:r>
        <w:rPr>
          <w:rFonts w:ascii="Times New Roman;Times;serif" w:hAnsi="Times New Roman;Times;serif"/>
          <w:sz w:val="22"/>
        </w:rPr>
        <w:t xml:space="preserve"> </w:t>
      </w:r>
      <w:r>
        <w:rPr>
          <w:rFonts w:ascii="Times New Roman;Times;serif" w:hAnsi="Times New Roman;Times;serif"/>
          <w:sz w:val="20"/>
        </w:rPr>
        <w:t>per annum, either in cash or in ADSs. Interest is payable in arrears on the first calendar day of each calendar quarter, beginning October 1, 2025. Unless earlier converted or redeemed, the ATW Notes will mature on the two-year</w:t>
      </w:r>
      <w:r>
        <w:rPr>
          <w:rFonts w:ascii="Times New Roman;Times;serif" w:hAnsi="Times New Roman;Times;serif"/>
          <w:sz w:val="22"/>
        </w:rPr>
        <w:t xml:space="preserve"> </w:t>
      </w:r>
      <w:r>
        <w:rPr>
          <w:rFonts w:ascii="Times New Roman;Times;serif" w:hAnsi="Times New Roman;Times;serif"/>
          <w:sz w:val="20"/>
        </w:rPr>
        <w:t>anniversary of their respective issuance dates, subject to extension at the option of the holders in certain circumstances as provided in the ATW Notes.</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Each holder of ATW Notes may convert all, or any part, of the outstanding principal of the ATW Notes, together with accrued and unpaid interest, and any late charges thereon, at any time, at such holder’s option, into the Company’s ordinary shares represented by ADSs at a conversion price that is initially set at US$2.19 per ADS or ordinary share, subject to adjustment including for anti-dilution events and proportional adjustment upon the occurrence of any share split or subdivision, share dividend, share consolidation or combination and/or similar transactions, recapitalization or similar event. </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hanging="0"/>
        <w:jc w:val="both"/>
        <w:rPr>
          <w:rFonts w:ascii="Times New Roman;Times;serif" w:hAnsi="Times New Roman;Times;serif"/>
          <w:i/>
          <w:sz w:val="20"/>
        </w:rPr>
      </w:pPr>
      <w:r>
        <w:rPr>
          <w:rFonts w:ascii="Times New Roman;Times;serif" w:hAnsi="Times New Roman;Times;serif"/>
          <w:i/>
          <w:sz w:val="20"/>
        </w:rPr>
        <w:t>Accounting of ATW Note</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elected the fair value option to account for the ATW Note, including the component related to accrued interest. The Group believes the fair value option best reflects the economics of the underlying transaction. The ATW Note was recognized at fair value at the issuance date and is measured subsequently at fair value. The changes in fair values due to the instrument-specific credit risk were charged to other comprehensive income (loss) and reclassified to profit or loss upon termination of related convertible notes. All other changes in fair values were recognized as “Changes in fair values of liabilities, excluding impact of instrument-specific credit risk” in the consolidated statements of comprehensive loss.</w:t>
      </w:r>
    </w:p>
    <w:p>
      <w:pPr>
        <w:pStyle w:val="TextBody"/>
        <w:bidi w:val="0"/>
        <w:spacing w:lineRule="auto" w:line="307" w:before="0" w:after="16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adopted a binomial option-pricing model to estimate the fair value of the ATW Note, based on assumptions related to risk-free interest rate, expected volatility and bond yield. On each node of the binomial lattice, the obligation valuation was based on the contractually agreed cash payment or equivalent equity discounted to each valuation date. The fair value of the ATW Note as of December 31, 2025 was estimated with the following key assumptions used:</w:t>
      </w:r>
    </w:p>
    <w:p>
      <w:pPr>
        <w:pStyle w:val="TextBody"/>
        <w:bidi w:val="0"/>
        <w:spacing w:lineRule="auto" w:line="307" w:before="0" w:after="160"/>
        <w:ind w:left="0" w:right="0" w:firstLine="720"/>
        <w:jc w:val="left"/>
        <w:rPr/>
      </w:pPr>
      <w:r>
        <w:rPr/>
        <w:t>​</w:t>
      </w:r>
    </w:p>
    <w:tbl>
      <w:tblPr>
        <w:tblW w:w="4429" w:type="dxa"/>
        <w:jc w:val="left"/>
        <w:tblInd w:w="0" w:type="dxa"/>
        <w:tblLayout w:type="fixed"/>
        <w:tblCellMar>
          <w:top w:w="0" w:type="dxa"/>
          <w:left w:w="0" w:type="dxa"/>
          <w:bottom w:w="0" w:type="dxa"/>
          <w:right w:w="0" w:type="dxa"/>
        </w:tblCellMar>
      </w:tblPr>
      <w:tblGrid>
        <w:gridCol w:w="1846"/>
        <w:gridCol w:w="346"/>
        <w:gridCol w:w="1921"/>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172210" cy="175260"/>
                      <wp:effectExtent l="0" t="0" r="0" b="0"/>
                      <wp:wrapNone/>
                      <wp:docPr id="450" name="Frame445"/>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1"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219835" cy="175260"/>
                      <wp:effectExtent l="0" t="0" r="0" b="0"/>
                      <wp:wrapNone/>
                      <wp:docPr id="452" name="Frame447"/>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0660" cy="175260"/>
                      <wp:effectExtent l="0" t="0" r="0" b="0"/>
                      <wp:wrapNone/>
                      <wp:docPr id="453" name="Frame4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192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92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Risk</w:t>
              <w:noBreakHyphen/>
              <w:t>free interest rate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9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Volatilities</w:t>
            </w:r>
          </w:p>
        </w:tc>
        <w:tc>
          <w:tcPr>
            <w:tcW w:w="346" w:type="dxa"/>
            <w:tcBorders/>
            <w:vAlign w:val="center"/>
          </w:tcPr>
          <w:p>
            <w:pPr>
              <w:pStyle w:val="TableContents"/>
              <w:bidi w:val="0"/>
              <w:spacing w:lineRule="auto" w:line="307" w:before="0" w:after="1"/>
              <w:ind w:left="0" w:right="0" w:hanging="0"/>
              <w:jc w:val="left"/>
              <w:rPr/>
            </w:pPr>
            <w:r>
              <w:rPr/>
              <w:t> </w:t>
            </w:r>
          </w:p>
        </w:tc>
        <w:tc>
          <w:tcPr>
            <w:tcW w:w="19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54.73</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Bond yield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9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16.83</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160"/>
        <w:ind w:left="0" w:right="0" w:firstLine="720"/>
        <w:jc w:val="left"/>
        <w:rPr/>
      </w:pPr>
      <w:r>
        <w:rPr/>
        <w:t>​</w:t>
      </w:r>
    </w:p>
    <w:p>
      <w:pPr>
        <w:pStyle w:val="TextBody"/>
        <w:bidi w:val="0"/>
        <w:spacing w:lineRule="auto" w:line="307" w:before="0" w:after="16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307" w:before="0" w:after="160"/>
        <w:ind w:left="0" w:right="0" w:firstLine="720"/>
        <w:jc w:val="left"/>
        <w:rPr/>
      </w:pPr>
      <w:r>
        <w:rPr/>
        <w:t>​</w:t>
      </w:r>
    </w:p>
    <w:p>
      <w:pPr>
        <w:pStyle w:val="Normal"/>
        <w:bidi w:val="0"/>
        <w:spacing w:before="0" w:after="0"/>
        <w:jc w:val="left"/>
        <w:rPr>
          <w:sz w:val="4"/>
          <w:szCs w:val="4"/>
        </w:rPr>
      </w:pPr>
      <w:r>
        <w:rPr>
          <w:sz w:val="4"/>
          <w:szCs w:val="4"/>
        </w:rPr>
      </w:r>
      <w:bookmarkStart w:id="2530" w:name="_f88e6471_8fb5_4aa6_ba00_f6f6971b9267_4"/>
      <w:bookmarkStart w:id="2531" w:name="_f88e6471_8fb5_4aa6_ba00_f6f6971b9267_3"/>
      <w:bookmarkStart w:id="2532" w:name="_f88e6471_8fb5_4aa6_ba00_f6f6971b9267_2"/>
      <w:bookmarkStart w:id="2533" w:name="_f88e6471_8fb5_4aa6_ba00_f6f6971b9267"/>
      <w:bookmarkStart w:id="2534" w:name="Tc__oAwM543a0CMhIt5uvdc_A_15_0"/>
      <w:bookmarkStart w:id="2535" w:name="Tc_eN0KccjqmEuTCTVEIdzQfg_14_0"/>
      <w:bookmarkStart w:id="2536" w:name="Tc_boPVLulqaEC9Zr7FOjOSbA_13_0"/>
      <w:bookmarkStart w:id="2537" w:name="Tc_RC9u08vVwkWUrHpvpcPc6Q_12_0"/>
      <w:bookmarkStart w:id="2538" w:name="Tc_XeFtMFBd_Eem83bJaHGGSA_11_0"/>
      <w:bookmarkStart w:id="2539" w:name="Tc_UdggTBpLKkG2nOkvfTh-Aw_10_0"/>
      <w:bookmarkStart w:id="2540" w:name="Tc_3VfCYppYxkeLFzeYp6Aymg_9_0"/>
      <w:bookmarkStart w:id="2541" w:name="Tc_495M8-H5rUuMbH9OLQ6EHg_8_0"/>
      <w:bookmarkStart w:id="2542" w:name="Tc_hhi2j_z8okC5GjODkRiE8Q_7_0"/>
      <w:bookmarkStart w:id="2543" w:name="Tc_lxrCe2di8UuIbzjlue9J8Q_6_0"/>
      <w:bookmarkStart w:id="2544" w:name="Tc_XqJhxHdpTkiLvE5Cq1sqIA_5_0"/>
      <w:bookmarkStart w:id="2545" w:name="Tc_tUyDLAb9HkyBbtgU8yGgKA_4_0"/>
      <w:bookmarkStart w:id="2546" w:name="Tc_4Z8_u03QPUqsqFnUWD3tzg_3_2"/>
      <w:bookmarkStart w:id="2547" w:name="Tc_K59JCe8bL0qlxOMs3vgDqA_2_2"/>
      <w:bookmarkStart w:id="2548" w:name="Tc_t7W9KHkN5U6HF7VxS_qaXQ_1_2"/>
      <w:bookmarkStart w:id="2549" w:name="_f88e6471_8fb5_4aa6_ba00_f6f6971b9267_4"/>
      <w:bookmarkStart w:id="2550" w:name="_f88e6471_8fb5_4aa6_ba00_f6f6971b9267_3"/>
      <w:bookmarkStart w:id="2551" w:name="_f88e6471_8fb5_4aa6_ba00_f6f6971b9267_2"/>
      <w:bookmarkStart w:id="2552" w:name="_f88e6471_8fb5_4aa6_ba00_f6f6971b9267"/>
      <w:bookmarkStart w:id="2553" w:name="Tc__oAwM543a0CMhIt5uvdc_A_15_0"/>
      <w:bookmarkStart w:id="2554" w:name="Tc_eN0KccjqmEuTCTVEIdzQfg_14_0"/>
      <w:bookmarkStart w:id="2555" w:name="Tc_boPVLulqaEC9Zr7FOjOSbA_13_0"/>
      <w:bookmarkStart w:id="2556" w:name="Tc_RC9u08vVwkWUrHpvpcPc6Q_12_0"/>
      <w:bookmarkStart w:id="2557" w:name="Tc_XeFtMFBd_Eem83bJaHGGSA_11_0"/>
      <w:bookmarkStart w:id="2558" w:name="Tc_UdggTBpLKkG2nOkvfTh-Aw_10_0"/>
      <w:bookmarkStart w:id="2559" w:name="Tc_3VfCYppYxkeLFzeYp6Aymg_9_0"/>
      <w:bookmarkStart w:id="2560" w:name="Tc_495M8-H5rUuMbH9OLQ6EHg_8_0"/>
      <w:bookmarkStart w:id="2561" w:name="Tc_hhi2j_z8okC5GjODkRiE8Q_7_0"/>
      <w:bookmarkStart w:id="2562" w:name="Tc_lxrCe2di8UuIbzjlue9J8Q_6_0"/>
      <w:bookmarkStart w:id="2563" w:name="Tc_XqJhxHdpTkiLvE5Cq1sqIA_5_0"/>
      <w:bookmarkStart w:id="2564" w:name="Tc_tUyDLAb9HkyBbtgU8yGgKA_4_0"/>
      <w:bookmarkStart w:id="2565" w:name="Tc_4Z8_u03QPUqsqFnUWD3tzg_3_2"/>
      <w:bookmarkStart w:id="2566" w:name="Tc_K59JCe8bL0qlxOMs3vgDqA_2_2"/>
      <w:bookmarkStart w:id="2567" w:name="Tc_t7W9KHkN5U6HF7VxS_qaXQ_1_2"/>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p>
    <w:tbl>
      <w:tblPr>
        <w:tblW w:w="2447" w:type="dxa"/>
        <w:jc w:val="left"/>
        <w:tblInd w:w="0" w:type="dxa"/>
        <w:tblLayout w:type="fixed"/>
        <w:tblCellMar>
          <w:top w:w="0" w:type="dxa"/>
          <w:left w:w="0" w:type="dxa"/>
          <w:bottom w:w="0" w:type="dxa"/>
          <w:right w:w="0" w:type="dxa"/>
        </w:tblCellMar>
      </w:tblPr>
      <w:tblGrid>
        <w:gridCol w:w="376"/>
        <w:gridCol w:w="2071"/>
      </w:tblGrid>
      <w:tr>
        <w:trPr/>
        <w:tc>
          <w:tcPr>
            <w:tcW w:w="37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16.</w:t>
            </w:r>
          </w:p>
        </w:tc>
        <w:tc>
          <w:tcPr>
            <w:tcW w:w="2071"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DEFERRED INCOME</w:t>
            </w:r>
          </w:p>
        </w:tc>
      </w:tr>
    </w:tbl>
    <w:p>
      <w:pPr>
        <w:pStyle w:val="TextBody"/>
        <w:bidi w:val="0"/>
        <w:spacing w:lineRule="auto" w:line="307" w:before="0" w:after="160"/>
        <w:ind w:left="0" w:right="0" w:hanging="0"/>
        <w:jc w:val="left"/>
        <w:rPr/>
      </w:pPr>
      <w:r>
        <w:rPr/>
        <w:t>​</w:t>
      </w:r>
    </w:p>
    <w:tbl>
      <w:tblPr>
        <w:tblW w:w="5958" w:type="dxa"/>
        <w:jc w:val="left"/>
        <w:tblInd w:w="0" w:type="dxa"/>
        <w:tblLayout w:type="fixed"/>
        <w:tblCellMar>
          <w:top w:w="0" w:type="dxa"/>
          <w:left w:w="0" w:type="dxa"/>
          <w:bottom w:w="0" w:type="dxa"/>
          <w:right w:w="0" w:type="dxa"/>
        </w:tblCellMar>
      </w:tblPr>
      <w:tblGrid>
        <w:gridCol w:w="4516"/>
        <w:gridCol w:w="346"/>
        <w:gridCol w:w="1096"/>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867660" cy="175260"/>
                      <wp:effectExtent l="0" t="0" r="0" b="0"/>
                      <wp:wrapNone/>
                      <wp:docPr id="454" name="Frame449"/>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55"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95960" cy="175260"/>
                      <wp:effectExtent l="0" t="0" r="0" b="0"/>
                      <wp:wrapNone/>
                      <wp:docPr id="456" name="Frame45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09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Asset-related</w:t>
            </w:r>
          </w:p>
        </w:tc>
      </w:tr>
      <w:tr>
        <w:trPr/>
        <w:tc>
          <w:tcPr>
            <w:tcW w:w="4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subsidy</w:t>
            </w:r>
          </w:p>
        </w:tc>
      </w:tr>
      <w:tr>
        <w:trPr/>
        <w:tc>
          <w:tcPr>
            <w:tcW w:w="45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9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5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258,450</w:t>
            </w:r>
          </w:p>
        </w:tc>
      </w:tr>
      <w:tr>
        <w:trPr/>
        <w:tc>
          <w:tcPr>
            <w:tcW w:w="45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Subsidy received during the year</w:t>
            </w:r>
          </w:p>
        </w:tc>
        <w:tc>
          <w:tcPr>
            <w:tcW w:w="346" w:type="dxa"/>
            <w:tcBorders/>
            <w:vAlign w:val="center"/>
          </w:tcPr>
          <w:p>
            <w:pPr>
              <w:pStyle w:val="TableContents"/>
              <w:bidi w:val="0"/>
              <w:spacing w:lineRule="auto" w:line="307" w:before="0" w:after="160"/>
              <w:ind w:left="0" w:right="0" w:hanging="0"/>
              <w:jc w:val="left"/>
              <w:rPr/>
            </w:pPr>
            <w:r>
              <w:rPr/>
              <w:t>​</w:t>
            </w:r>
          </w:p>
        </w:tc>
        <w:tc>
          <w:tcPr>
            <w:tcW w:w="10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16,345</w:t>
            </w:r>
          </w:p>
        </w:tc>
      </w:tr>
      <w:tr>
        <w:trPr/>
        <w:tc>
          <w:tcPr>
            <w:tcW w:w="45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(4,698)</w:t>
            </w:r>
          </w:p>
        </w:tc>
      </w:tr>
      <w:tr>
        <w:trPr/>
        <w:tc>
          <w:tcPr>
            <w:tcW w:w="451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46" w:type="dxa"/>
            <w:tcBorders/>
            <w:vAlign w:val="center"/>
          </w:tcPr>
          <w:p>
            <w:pPr>
              <w:pStyle w:val="TableContents"/>
              <w:bidi w:val="0"/>
              <w:spacing w:lineRule="auto" w:line="307"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270,097</w:t>
            </w:r>
          </w:p>
        </w:tc>
      </w:tr>
      <w:tr>
        <w:trPr/>
        <w:tc>
          <w:tcPr>
            <w:tcW w:w="45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Subsidy received during the year</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28,135</w:t>
            </w:r>
          </w:p>
        </w:tc>
      </w:tr>
      <w:tr>
        <w:trPr/>
        <w:tc>
          <w:tcPr>
            <w:tcW w:w="45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Recognized as other operating income during the year</w:t>
            </w:r>
          </w:p>
        </w:tc>
        <w:tc>
          <w:tcPr>
            <w:tcW w:w="346" w:type="dxa"/>
            <w:tcBorders/>
            <w:vAlign w:val="center"/>
          </w:tcPr>
          <w:p>
            <w:pPr>
              <w:pStyle w:val="TableContents"/>
              <w:bidi w:val="0"/>
              <w:spacing w:lineRule="auto" w:line="307" w:before="0" w:after="1"/>
              <w:ind w:left="0" w:right="0" w:hanging="0"/>
              <w:jc w:val="left"/>
              <w:rPr/>
            </w:pPr>
            <w:r>
              <w:rPr/>
              <w:t> </w:t>
            </w:r>
          </w:p>
        </w:tc>
        <w:tc>
          <w:tcPr>
            <w:tcW w:w="10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5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(4,284)</w:t>
            </w:r>
          </w:p>
        </w:tc>
      </w:tr>
      <w:tr>
        <w:trPr/>
        <w:tc>
          <w:tcPr>
            <w:tcW w:w="451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vAlign w:val="center"/>
          </w:tcPr>
          <w:p>
            <w:pPr>
              <w:pStyle w:val="TableContents"/>
              <w:bidi w:val="0"/>
              <w:spacing w:lineRule="auto" w:line="307"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293,923</w:t>
            </w:r>
          </w:p>
        </w:tc>
      </w:tr>
      <w:tr>
        <w:trPr/>
        <w:tc>
          <w:tcPr>
            <w:tcW w:w="45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Subsidy received during the year</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11,331</w:t>
            </w:r>
          </w:p>
        </w:tc>
      </w:tr>
      <w:tr>
        <w:trPr/>
        <w:tc>
          <w:tcPr>
            <w:tcW w:w="45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Recognized as other operating income during the year</w:t>
            </w:r>
          </w:p>
        </w:tc>
        <w:tc>
          <w:tcPr>
            <w:tcW w:w="346" w:type="dxa"/>
            <w:tcBorders/>
            <w:vAlign w:val="center"/>
          </w:tcPr>
          <w:p>
            <w:pPr>
              <w:pStyle w:val="TableContents"/>
              <w:bidi w:val="0"/>
              <w:spacing w:lineRule="auto" w:line="307" w:before="0" w:after="160"/>
              <w:ind w:left="0" w:right="0" w:hanging="0"/>
              <w:jc w:val="left"/>
              <w:rPr/>
            </w:pPr>
            <w:r>
              <w:rPr/>
              <w:t>​</w:t>
            </w:r>
          </w:p>
        </w:tc>
        <w:tc>
          <w:tcPr>
            <w:tcW w:w="10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45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6,718</w:t>
            </w:r>
          </w:p>
        </w:tc>
      </w:tr>
      <w:tr>
        <w:trPr/>
        <w:tc>
          <w:tcPr>
            <w:tcW w:w="451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vAlign w:val="center"/>
          </w:tcPr>
          <w:p>
            <w:pPr>
              <w:pStyle w:val="TableContents"/>
              <w:bidi w:val="0"/>
              <w:spacing w:lineRule="auto" w:line="307"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311,912</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During the years ended December 31, 2025, 2024 and 2023, the Group received specific subsidies of US$11,331, US$28,135 and US$16,345 for compensating the expenditures on the construction of the Group’s corporate buildings and plant (“asset-related subsidy”), respectively.</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received government grants of US$5,114, US$8,613 and US$4,077 with no future related costs required during the years ended December 31, 2025, 2024 and 2023, which were directly recognized as other operating income in the consolidated statements of comprehensive loss for the years ended December 31, 2025, 2024 and 2023, respectively.</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2568" w:name="Tc_BSDS2psiHUGUixB0-TxouQ_9_12"/>
      <w:bookmarkStart w:id="2569" w:name="Tc_iX_K3xQWek6rL80v0725Tg_9_10"/>
      <w:bookmarkStart w:id="2570" w:name="Tc_BO3tURz780mkscXEqQ-s9A_9_8"/>
      <w:bookmarkStart w:id="2571" w:name="Tc_YT3QWakGwEaJlVg5QH8o5Q_9_6"/>
      <w:bookmarkStart w:id="2572" w:name="Tc_6oQlL05lrU2KNO0A77rqAQ_9_4"/>
      <w:bookmarkStart w:id="2573" w:name="Tc_BXqcGZ3BxUOBaSIqwbal7A_9_2"/>
      <w:bookmarkStart w:id="2574" w:name="Tc_1zw8I6d6WUOeJrYsfF5S3g_9_0"/>
      <w:bookmarkStart w:id="2575" w:name="Tc_N_3qHn4blk6RXjDzb7DwIA_8_0"/>
      <w:bookmarkStart w:id="2576" w:name="Tc_3Ou3yK3w9EqYgCdZ8hlX7w_7_10"/>
      <w:bookmarkStart w:id="2577" w:name="Tc_fnZoUE4NNkuiJvdAwFEl2Q_7_6"/>
      <w:bookmarkStart w:id="2578" w:name="Tc_y9B-KC7wP0yxLMXGb_9x0A_7_2"/>
      <w:bookmarkStart w:id="2579" w:name="Tc_DFvd1PyU3Um-ZnHOkDsgrA_7_0"/>
      <w:bookmarkStart w:id="2580" w:name="Tc_xCROEfSld0i27IHERvmyoA_6_0"/>
      <w:bookmarkStart w:id="2581" w:name="Tc_JRO-v23c6kmMcsRt3r0BWw_5_10"/>
      <w:bookmarkStart w:id="2582" w:name="Tc_9y59su4BpUO4-sqUaxzs3Q_5_6"/>
      <w:bookmarkStart w:id="2583" w:name="Tc_TVK4Z4lgJkiXCmguItL-Jg_5_2"/>
      <w:bookmarkStart w:id="2584" w:name="Tc_2Wh8xF_GCkiD_jG3FHGKrA_5_0"/>
      <w:bookmarkStart w:id="2585" w:name="Tc_YsmTm03SJ0-e5NJMmOW0bg_4_0"/>
      <w:bookmarkStart w:id="2586" w:name="Tc_4jTSosFECECBd9uEZYLWEA_3_12"/>
      <w:bookmarkStart w:id="2587" w:name="Tc_HNqmXFAxa0mz-Q5AYg6aeQ_3_10"/>
      <w:bookmarkStart w:id="2588" w:name="Tc_WQgHftWvAk6m9zc3A8Sm0A_3_8"/>
      <w:bookmarkStart w:id="2589" w:name="Tc_5fYx7lU7gEu37oFDBDZwaA_3_6"/>
      <w:bookmarkStart w:id="2590" w:name="Tc_mlhKFUueZkiyPjVNWQHFRA_3_4"/>
      <w:bookmarkStart w:id="2591" w:name="Tc_vqtOCyvCHEaJZ-pfKTgo4Q_3_2"/>
      <w:bookmarkStart w:id="2592" w:name="Tc_aye6Z8Lg6UGr8W4PPWHbaA_2_10"/>
      <w:bookmarkStart w:id="2593" w:name="Tc_XBVAIsQ9OEKywGbB3xBEKA_2_6"/>
      <w:bookmarkStart w:id="2594" w:name="Tc_yOTlrqOMX0KPLWIls5Dpzg_2_2"/>
      <w:bookmarkStart w:id="2595" w:name="Tc_J4IDhM8hAEexjpV2ooWT2g_1_6"/>
      <w:bookmarkStart w:id="2596" w:name="Tc_ATH1-3nptkiGHxw7645KdQ_1_2"/>
      <w:bookmarkStart w:id="2597" w:name="Tc_BSDS2psiHUGUixB0-TxouQ_9_12"/>
      <w:bookmarkStart w:id="2598" w:name="Tc_iX_K3xQWek6rL80v0725Tg_9_10"/>
      <w:bookmarkStart w:id="2599" w:name="Tc_BO3tURz780mkscXEqQ-s9A_9_8"/>
      <w:bookmarkStart w:id="2600" w:name="Tc_YT3QWakGwEaJlVg5QH8o5Q_9_6"/>
      <w:bookmarkStart w:id="2601" w:name="Tc_6oQlL05lrU2KNO0A77rqAQ_9_4"/>
      <w:bookmarkStart w:id="2602" w:name="Tc_BXqcGZ3BxUOBaSIqwbal7A_9_2"/>
      <w:bookmarkStart w:id="2603" w:name="Tc_1zw8I6d6WUOeJrYsfF5S3g_9_0"/>
      <w:bookmarkStart w:id="2604" w:name="Tc_N_3qHn4blk6RXjDzb7DwIA_8_0"/>
      <w:bookmarkStart w:id="2605" w:name="Tc_3Ou3yK3w9EqYgCdZ8hlX7w_7_10"/>
      <w:bookmarkStart w:id="2606" w:name="Tc_fnZoUE4NNkuiJvdAwFEl2Q_7_6"/>
      <w:bookmarkStart w:id="2607" w:name="Tc_y9B-KC7wP0yxLMXGb_9x0A_7_2"/>
      <w:bookmarkStart w:id="2608" w:name="Tc_DFvd1PyU3Um-ZnHOkDsgrA_7_0"/>
      <w:bookmarkStart w:id="2609" w:name="Tc_xCROEfSld0i27IHERvmyoA_6_0"/>
      <w:bookmarkStart w:id="2610" w:name="Tc_JRO-v23c6kmMcsRt3r0BWw_5_10"/>
      <w:bookmarkStart w:id="2611" w:name="Tc_9y59su4BpUO4-sqUaxzs3Q_5_6"/>
      <w:bookmarkStart w:id="2612" w:name="Tc_TVK4Z4lgJkiXCmguItL-Jg_5_2"/>
      <w:bookmarkStart w:id="2613" w:name="Tc_2Wh8xF_GCkiD_jG3FHGKrA_5_0"/>
      <w:bookmarkStart w:id="2614" w:name="Tc_YsmTm03SJ0-e5NJMmOW0bg_4_0"/>
      <w:bookmarkStart w:id="2615" w:name="Tc_4jTSosFECECBd9uEZYLWEA_3_12"/>
      <w:bookmarkStart w:id="2616" w:name="Tc_HNqmXFAxa0mz-Q5AYg6aeQ_3_10"/>
      <w:bookmarkStart w:id="2617" w:name="Tc_WQgHftWvAk6m9zc3A8Sm0A_3_8"/>
      <w:bookmarkStart w:id="2618" w:name="Tc_5fYx7lU7gEu37oFDBDZwaA_3_6"/>
      <w:bookmarkStart w:id="2619" w:name="Tc_mlhKFUueZkiyPjVNWQHFRA_3_4"/>
      <w:bookmarkStart w:id="2620" w:name="Tc_vqtOCyvCHEaJZ-pfKTgo4Q_3_2"/>
      <w:bookmarkStart w:id="2621" w:name="Tc_aye6Z8Lg6UGr8W4PPWHbaA_2_10"/>
      <w:bookmarkStart w:id="2622" w:name="Tc_XBVAIsQ9OEKywGbB3xBEKA_2_6"/>
      <w:bookmarkStart w:id="2623" w:name="Tc_yOTlrqOMX0KPLWIls5Dpzg_2_2"/>
      <w:bookmarkStart w:id="2624" w:name="Tc_J4IDhM8hAEexjpV2ooWT2g_1_6"/>
      <w:bookmarkStart w:id="2625" w:name="Tc_ATH1-3nptkiGHxw7645KdQ_1_2"/>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p>
    <w:tbl>
      <w:tblPr>
        <w:tblW w:w="5447" w:type="dxa"/>
        <w:jc w:val="left"/>
        <w:tblInd w:w="0" w:type="dxa"/>
        <w:tblLayout w:type="fixed"/>
        <w:tblCellMar>
          <w:top w:w="0" w:type="dxa"/>
          <w:left w:w="0" w:type="dxa"/>
          <w:bottom w:w="0" w:type="dxa"/>
          <w:right w:w="0" w:type="dxa"/>
        </w:tblCellMar>
      </w:tblPr>
      <w:tblGrid>
        <w:gridCol w:w="376"/>
        <w:gridCol w:w="507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17.</w:t>
            </w:r>
          </w:p>
        </w:tc>
        <w:tc>
          <w:tcPr>
            <w:tcW w:w="50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REDEEMABLE CONVERTIBLE PREFERRED SHARES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Company’s activities with respect to the redeemable convertible preferred shares are as below:</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09"/>
        <w:gridCol w:w="346"/>
        <w:gridCol w:w="1106"/>
        <w:gridCol w:w="346"/>
        <w:gridCol w:w="851"/>
        <w:gridCol w:w="346"/>
        <w:gridCol w:w="1106"/>
        <w:gridCol w:w="346"/>
        <w:gridCol w:w="851"/>
        <w:gridCol w:w="346"/>
        <w:gridCol w:w="1106"/>
        <w:gridCol w:w="346"/>
        <w:gridCol w:w="900"/>
      </w:tblGrid>
      <w:tr>
        <w:trPr/>
        <w:tc>
          <w:tcPr>
            <w:tcW w:w="2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402715" cy="175260"/>
                      <wp:effectExtent l="0" t="0" r="0" b="0"/>
                      <wp:wrapNone/>
                      <wp:docPr id="457" name="Frame452"/>
                      <a:graphic xmlns:a="http://schemas.openxmlformats.org/drawingml/2006/main">
                        <a:graphicData uri="http://schemas.microsoft.com/office/word/2010/wordprocessingShape">
                          <wps:wsp>
                            <wps:cNvSpPr txBox="1"/>
                            <wps:spPr>
                              <a:xfrm>
                                <a:off x="0" y="0"/>
                                <a:ext cx="14027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58"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702310" cy="175260"/>
                      <wp:effectExtent l="0" t="0" r="0" b="0"/>
                      <wp:wrapNone/>
                      <wp:docPr id="459" name="Frame454"/>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0"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40385" cy="175260"/>
                      <wp:effectExtent l="0" t="0" r="0" b="0"/>
                      <wp:wrapNone/>
                      <wp:docPr id="461" name="Frame456"/>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2"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702310" cy="175260"/>
                      <wp:effectExtent l="0" t="0" r="0" b="0"/>
                      <wp:wrapNone/>
                      <wp:docPr id="463" name="Frame458"/>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64"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40385" cy="175260"/>
                      <wp:effectExtent l="0" t="0" r="0" b="0"/>
                      <wp:wrapNone/>
                      <wp:docPr id="465" name="Frame460"/>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66"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702310" cy="175260"/>
                      <wp:effectExtent l="0" t="0" r="0" b="0"/>
                      <wp:wrapNone/>
                      <wp:docPr id="467" name="Frame462"/>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68"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71500" cy="175260"/>
                      <wp:effectExtent l="0" t="0" r="0" b="0"/>
                      <wp:wrapNone/>
                      <wp:docPr id="469" name="Frame46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20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303" w:type="dxa"/>
            <w:gridSpan w:val="3"/>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b/>
                <w:sz w:val="16"/>
              </w:rPr>
              <w:t>Series Pre-A</w:t>
            </w:r>
            <w:r>
              <w:rPr>
                <w:rFonts w:ascii="Times New Roman;Times;serif" w:hAnsi="Times New Roman;Times;serif"/>
                <w:sz w:val="16"/>
              </w:rPr>
              <w:t> </w:t>
            </w:r>
          </w:p>
        </w:tc>
        <w:tc>
          <w:tcPr>
            <w:tcW w:w="346" w:type="dxa"/>
            <w:tcBorders/>
            <w:vAlign w:val="center"/>
          </w:tcPr>
          <w:p>
            <w:pPr>
              <w:pStyle w:val="TableContents"/>
              <w:bidi w:val="0"/>
              <w:spacing w:lineRule="auto" w:line="307" w:before="0" w:after="1"/>
              <w:ind w:left="0" w:right="0" w:hanging="0"/>
              <w:jc w:val="center"/>
              <w:rPr/>
            </w:pPr>
            <w:r>
              <w:rPr/>
              <w:t>  ​ ​ ​</w:t>
            </w:r>
          </w:p>
        </w:tc>
        <w:tc>
          <w:tcPr>
            <w:tcW w:w="2303" w:type="dxa"/>
            <w:gridSpan w:val="3"/>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Series A</w:t>
            </w:r>
          </w:p>
        </w:tc>
        <w:tc>
          <w:tcPr>
            <w:tcW w:w="346" w:type="dxa"/>
            <w:tcBorders/>
            <w:vAlign w:val="center"/>
          </w:tcPr>
          <w:p>
            <w:pPr>
              <w:pStyle w:val="TableContents"/>
              <w:bidi w:val="0"/>
              <w:spacing w:lineRule="auto" w:line="307" w:before="0" w:after="1"/>
              <w:ind w:left="0" w:right="0" w:hanging="0"/>
              <w:jc w:val="center"/>
              <w:rPr/>
            </w:pPr>
            <w:r>
              <w:rPr/>
              <w:t>  ​ ​ ​</w:t>
            </w:r>
          </w:p>
        </w:tc>
        <w:tc>
          <w:tcPr>
            <w:tcW w:w="110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0" w:type="dxa"/>
            <w:tcBorders/>
            <w:vAlign w:val="center"/>
          </w:tcPr>
          <w:p>
            <w:pPr>
              <w:pStyle w:val="TableContents"/>
              <w:bidi w:val="0"/>
              <w:spacing w:lineRule="auto" w:line="307" w:before="0" w:after="160"/>
              <w:ind w:left="0" w:right="0" w:hanging="0"/>
              <w:jc w:val="center"/>
              <w:rPr/>
            </w:pPr>
            <w:r>
              <w:rPr/>
              <w:t>​</w:t>
            </w:r>
          </w:p>
        </w:tc>
      </w:tr>
      <w:tr>
        <w:trPr/>
        <w:tc>
          <w:tcPr>
            <w:tcW w:w="220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30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Preferred Shares  </w:t>
            </w:r>
          </w:p>
        </w:tc>
        <w:tc>
          <w:tcPr>
            <w:tcW w:w="346" w:type="dxa"/>
            <w:tcBorders/>
            <w:vAlign w:val="center"/>
          </w:tcPr>
          <w:p>
            <w:pPr>
              <w:pStyle w:val="TableContents"/>
              <w:bidi w:val="0"/>
              <w:spacing w:lineRule="auto" w:line="307" w:before="0" w:after="160"/>
              <w:ind w:left="0" w:right="0" w:hanging="0"/>
              <w:jc w:val="center"/>
              <w:rPr/>
            </w:pPr>
            <w:r>
              <w:rPr/>
              <w:t>​</w:t>
            </w:r>
          </w:p>
        </w:tc>
        <w:tc>
          <w:tcPr>
            <w:tcW w:w="230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Preferred Shares</w:t>
            </w:r>
          </w:p>
        </w:tc>
        <w:tc>
          <w:tcPr>
            <w:tcW w:w="346" w:type="dxa"/>
            <w:tcBorders/>
            <w:vAlign w:val="center"/>
          </w:tcPr>
          <w:p>
            <w:pPr>
              <w:pStyle w:val="TableContents"/>
              <w:bidi w:val="0"/>
              <w:spacing w:lineRule="auto" w:line="307" w:before="0" w:after="160"/>
              <w:ind w:left="0" w:right="0" w:hanging="0"/>
              <w:jc w:val="center"/>
              <w:rPr/>
            </w:pPr>
            <w:r>
              <w:rPr/>
              <w:t>​</w:t>
            </w:r>
          </w:p>
        </w:tc>
        <w:tc>
          <w:tcPr>
            <w:tcW w:w="2352"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220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307" w:before="0" w:after="1"/>
              <w:ind w:left="0" w:right="0" w:hanging="0"/>
              <w:jc w:val="center"/>
              <w:rPr/>
            </w:pPr>
            <w:r>
              <w:rPr/>
              <w:t>  ​ ​ ​</w:t>
            </w:r>
          </w:p>
        </w:tc>
        <w:tc>
          <w:tcPr>
            <w:tcW w:w="8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US$ </w:t>
            </w:r>
          </w:p>
        </w:tc>
        <w:tc>
          <w:tcPr>
            <w:tcW w:w="346" w:type="dxa"/>
            <w:tcBorders/>
            <w:vAlign w:val="center"/>
          </w:tcPr>
          <w:p>
            <w:pPr>
              <w:pStyle w:val="TableContents"/>
              <w:bidi w:val="0"/>
              <w:spacing w:lineRule="auto" w:line="307" w:before="0" w:after="160"/>
              <w:ind w:left="0" w:right="0" w:hanging="0"/>
              <w:jc w:val="center"/>
              <w:rPr/>
            </w:pPr>
            <w:r>
              <w:rPr/>
              <w:t>​</w:t>
            </w:r>
          </w:p>
        </w:tc>
        <w:tc>
          <w:tcPr>
            <w:tcW w:w="11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307" w:before="0" w:after="1"/>
              <w:ind w:left="0" w:right="0" w:hanging="0"/>
              <w:jc w:val="center"/>
              <w:rPr/>
            </w:pPr>
            <w:r>
              <w:rPr/>
              <w:t>  ​ ​ ​</w:t>
            </w:r>
          </w:p>
        </w:tc>
        <w:tc>
          <w:tcPr>
            <w:tcW w:w="8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US$ </w:t>
            </w:r>
          </w:p>
        </w:tc>
        <w:tc>
          <w:tcPr>
            <w:tcW w:w="346" w:type="dxa"/>
            <w:tcBorders/>
            <w:vAlign w:val="center"/>
          </w:tcPr>
          <w:p>
            <w:pPr>
              <w:pStyle w:val="TableContents"/>
              <w:bidi w:val="0"/>
              <w:spacing w:lineRule="auto" w:line="307" w:before="0" w:after="160"/>
              <w:ind w:left="0" w:right="0" w:hanging="0"/>
              <w:jc w:val="center"/>
              <w:rPr/>
            </w:pPr>
            <w:r>
              <w:rPr/>
              <w:t>​</w:t>
            </w:r>
          </w:p>
        </w:tc>
        <w:tc>
          <w:tcPr>
            <w:tcW w:w="11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307" w:before="0" w:after="1"/>
              <w:ind w:left="0" w:right="0" w:hanging="0"/>
              <w:jc w:val="center"/>
              <w:rPr/>
            </w:pPr>
            <w:r>
              <w:rPr/>
              <w:t>  ​ ​ ​</w:t>
            </w:r>
          </w:p>
        </w:tc>
        <w:tc>
          <w:tcPr>
            <w:tcW w:w="90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US$ </w:t>
            </w:r>
          </w:p>
        </w:tc>
      </w:tr>
      <w:tr>
        <w:trPr/>
        <w:tc>
          <w:tcPr>
            <w:tcW w:w="2209"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40,885,006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177,284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27,343,520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191,125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0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68,228,526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368,409</w:t>
            </w:r>
          </w:p>
        </w:tc>
      </w:tr>
      <w:tr>
        <w:trPr/>
        <w:tc>
          <w:tcPr>
            <w:tcW w:w="2209"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Accretion of redeemable convertible preferred shares</w:t>
            </w:r>
          </w:p>
        </w:tc>
        <w:tc>
          <w:tcPr>
            <w:tcW w:w="346" w:type="dxa"/>
            <w:tcBorders/>
            <w:vAlign w:val="center"/>
          </w:tcPr>
          <w:p>
            <w:pPr>
              <w:pStyle w:val="TableContents"/>
              <w:bidi w:val="0"/>
              <w:spacing w:lineRule="auto" w:line="307" w:before="0" w:after="1"/>
              <w:ind w:left="0" w:right="0" w:hanging="0"/>
              <w:jc w:val="left"/>
              <w:rPr/>
            </w:pPr>
            <w:r>
              <w:rPr/>
              <w:t> </w:t>
            </w:r>
          </w:p>
        </w:tc>
        <w:tc>
          <w:tcPr>
            <w:tcW w:w="11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7,225</w:t>
            </w:r>
          </w:p>
        </w:tc>
        <w:tc>
          <w:tcPr>
            <w:tcW w:w="346" w:type="dxa"/>
            <w:tcBorders/>
            <w:vAlign w:val="center"/>
          </w:tcPr>
          <w:p>
            <w:pPr>
              <w:pStyle w:val="TableContents"/>
              <w:bidi w:val="0"/>
              <w:spacing w:lineRule="auto" w:line="307" w:before="0" w:after="160"/>
              <w:ind w:left="0" w:right="0" w:hanging="0"/>
              <w:jc w:val="left"/>
              <w:rPr/>
            </w:pPr>
            <w:r>
              <w:rPr/>
              <w:t>​</w:t>
            </w:r>
          </w:p>
        </w:tc>
        <w:tc>
          <w:tcPr>
            <w:tcW w:w="11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7,896</w:t>
            </w:r>
          </w:p>
        </w:tc>
        <w:tc>
          <w:tcPr>
            <w:tcW w:w="346" w:type="dxa"/>
            <w:tcBorders/>
            <w:vAlign w:val="center"/>
          </w:tcPr>
          <w:p>
            <w:pPr>
              <w:pStyle w:val="TableContents"/>
              <w:bidi w:val="0"/>
              <w:spacing w:lineRule="auto" w:line="307" w:before="0" w:after="160"/>
              <w:ind w:left="0" w:right="0" w:hanging="0"/>
              <w:jc w:val="left"/>
              <w:rPr/>
            </w:pPr>
            <w:r>
              <w:rPr/>
              <w:t>​</w:t>
            </w:r>
          </w:p>
        </w:tc>
        <w:tc>
          <w:tcPr>
            <w:tcW w:w="110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15,121</w:t>
            </w:r>
          </w:p>
        </w:tc>
      </w:tr>
      <w:tr>
        <w:trPr/>
        <w:tc>
          <w:tcPr>
            <w:tcW w:w="2209"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40,885,006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184,509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27,343,520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199,021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68,228,526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383,530</w:t>
            </w:r>
          </w:p>
        </w:tc>
      </w:tr>
      <w:tr>
        <w:trPr/>
        <w:tc>
          <w:tcPr>
            <w:tcW w:w="2209" w:type="dxa"/>
            <w:tcBorders/>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Accretion of redeemable convertible preferred shares</w:t>
            </w:r>
          </w:p>
        </w:tc>
        <w:tc>
          <w:tcPr>
            <w:tcW w:w="346" w:type="dxa"/>
            <w:tcBorders/>
            <w:vAlign w:val="center"/>
          </w:tcPr>
          <w:p>
            <w:pPr>
              <w:pStyle w:val="TableContents"/>
              <w:bidi w:val="0"/>
              <w:spacing w:lineRule="auto" w:line="307" w:before="0" w:after="160"/>
              <w:ind w:left="0" w:right="0" w:hanging="0"/>
              <w:jc w:val="left"/>
              <w:rPr/>
            </w:pPr>
            <w:r>
              <w:rPr/>
              <w:t>​</w:t>
            </w:r>
          </w:p>
        </w:tc>
        <w:tc>
          <w:tcPr>
            <w:tcW w:w="11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vAlign w:val="center"/>
          </w:tcPr>
          <w:p>
            <w:pPr>
              <w:pStyle w:val="TableContents"/>
              <w:bidi w:val="0"/>
              <w:spacing w:lineRule="auto" w:line="307" w:before="0" w:after="160"/>
              <w:ind w:left="0" w:right="0" w:hanging="0"/>
              <w:jc w:val="left"/>
              <w:rPr/>
            </w:pPr>
            <w:r>
              <w:rPr/>
              <w:t>​</w:t>
            </w:r>
          </w:p>
        </w:tc>
        <w:tc>
          <w:tcPr>
            <w:tcW w:w="11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1,594</w:t>
            </w:r>
          </w:p>
        </w:tc>
        <w:tc>
          <w:tcPr>
            <w:tcW w:w="346" w:type="dxa"/>
            <w:tcBorders/>
            <w:vAlign w:val="center"/>
          </w:tcPr>
          <w:p>
            <w:pPr>
              <w:pStyle w:val="TableContents"/>
              <w:bidi w:val="0"/>
              <w:spacing w:lineRule="auto" w:line="307" w:before="0" w:after="160"/>
              <w:ind w:left="0" w:right="0" w:hanging="0"/>
              <w:jc w:val="left"/>
              <w:rPr/>
            </w:pPr>
            <w:r>
              <w:rPr/>
              <w:t>​</w:t>
            </w:r>
          </w:p>
        </w:tc>
        <w:tc>
          <w:tcPr>
            <w:tcW w:w="110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00"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2,979</w:t>
            </w:r>
          </w:p>
        </w:tc>
      </w:tr>
      <w:tr>
        <w:trPr/>
        <w:tc>
          <w:tcPr>
            <w:tcW w:w="2209"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Conversion to ordinary shares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(40,885,006)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(185,894)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(27,343,520)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(200,615)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(68,228,526)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(386,509)</w:t>
            </w:r>
          </w:p>
        </w:tc>
      </w:tr>
      <w:tr>
        <w:trPr/>
        <w:tc>
          <w:tcPr>
            <w:tcW w:w="2209" w:type="dxa"/>
            <w:tcBorders/>
            <w:vAlign w:val="center"/>
          </w:tcPr>
          <w:p>
            <w:pPr>
              <w:pStyle w:val="TableContents"/>
              <w:pBdr/>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vAlign w:val="center"/>
          </w:tcPr>
          <w:p>
            <w:pPr>
              <w:pStyle w:val="TableContents"/>
              <w:bidi w:val="0"/>
              <w:spacing w:lineRule="auto" w:line="307" w:before="0" w:after="1"/>
              <w:ind w:left="0" w:right="0" w:hanging="0"/>
              <w:jc w:val="left"/>
              <w:rPr/>
            </w:pPr>
            <w:r>
              <w:rPr/>
              <w:t> </w:t>
            </w:r>
          </w:p>
        </w:tc>
        <w:tc>
          <w:tcPr>
            <w:tcW w:w="110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0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5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0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00"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4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Series Pre-A Preferred Shares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From February to July 2022, the Company issued 35,552,179 Series Pre-A redeemable convertible preferred shares (“Series Pre-A Preferred Shares”) to two entities designated by an investor (“Pre-A Investor A”) for an aggregated consideration of US$153,126.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March 18, 2022, an ordinary shareholder of the Company, who is also a member of management, entered into a share purchase agreement with an investor (“Pre-A Investor B”), pursuant to which the ordinary shareholder sold its 5,332,827 ordinary shares to the Pre-A Investor B with a cash consideration of US$23,650 (equivalent to RMB150,000). On March 22, 2022, the Company’s 5,332,827 ordinary shares were redesignated as Series Pre-A Preferred Shares.</w:t>
      </w:r>
    </w:p>
    <w:p>
      <w:pPr>
        <w:pStyle w:val="TextBody"/>
        <w:bidi w:val="0"/>
        <w:spacing w:lineRule="auto" w:line="285" w:before="4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Series A Preferred Shares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From October to December 2022, the Company issued 27,343,520 Series A redeemable convertible preferred shares (“Series A Preferred Shares”) to several investors for an aggregated consideration of US$187,734.</w:t>
      </w:r>
    </w:p>
    <w:p>
      <w:pPr>
        <w:pStyle w:val="TextBody"/>
        <w:bidi w:val="0"/>
        <w:spacing w:lineRule="auto" w:line="285" w:before="40" w:after="200"/>
        <w:ind w:left="0" w:right="0" w:hanging="0"/>
        <w:jc w:val="left"/>
        <w:rPr>
          <w:rFonts w:ascii="Times New Roman;Times;serif" w:hAnsi="Times New Roman;Times;serif"/>
          <w:i/>
          <w:sz w:val="20"/>
        </w:rPr>
      </w:pPr>
      <w:r>
        <w:rPr>
          <w:rFonts w:ascii="Times New Roman;Times;serif" w:hAnsi="Times New Roman;Times;serif"/>
          <w:i/>
          <w:sz w:val="20"/>
        </w:rPr>
        <w:t>Accounting of Redeemable Convertible Preferred Shares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Company classified the redeemable convertible preferred shares as mezzanine equity in the consolidated balance sheets as they were contingently redeemable upon the occurrence of certain events outside of the Company’s control. The Company recognized changes in the redemption value immediately as they occur and adjust the carrying value of redeemable convertible preferred shares to their maximum redemption amount at the end of each reporting period, as if it were also the redemption date for redeemable convertible preferred shares.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mentioned in Note 1(b), all the redeemable convertible preferred shares of the Company that were issued and outstanding were converted to 68,228,526 ordinary shares of the Company upon the consummation of Business Combination.</w:t>
      </w:r>
    </w:p>
    <w:p>
      <w:pPr>
        <w:pStyle w:val="TextBody"/>
        <w:bidi w:val="0"/>
        <w:spacing w:lineRule="auto" w:line="307" w:before="0" w:after="200"/>
        <w:ind w:left="0" w:right="0" w:hanging="0"/>
        <w:jc w:val="both"/>
        <w:rPr/>
      </w:pPr>
      <w:r>
        <w:rPr/>
        <w:t>​</w:t>
      </w:r>
    </w:p>
    <w:p>
      <w:pPr>
        <w:pStyle w:val="Normal"/>
        <w:bidi w:val="0"/>
        <w:spacing w:before="0" w:after="0"/>
        <w:jc w:val="left"/>
        <w:rPr>
          <w:sz w:val="4"/>
          <w:szCs w:val="4"/>
        </w:rPr>
      </w:pPr>
      <w:r>
        <w:rPr>
          <w:sz w:val="4"/>
          <w:szCs w:val="4"/>
        </w:rPr>
      </w:r>
      <w:bookmarkStart w:id="2626" w:name="_43d7a584_a89d_4315_a1ee_14320a17a1e1"/>
      <w:bookmarkStart w:id="2627" w:name="Tc_KK8lTRvJEk6jZ1vL2O2H6A_7_0"/>
      <w:bookmarkStart w:id="2628" w:name="Tc_XuRc--78rUm7p7yHyq1lMA_6_0"/>
      <w:bookmarkStart w:id="2629" w:name="Tc_YuoiLaNTOUmahLlZUwUAsA_5_0"/>
      <w:bookmarkStart w:id="2630" w:name="Tc_8svpbDN6yE29QeFqHqN6kQ_4_0"/>
      <w:bookmarkStart w:id="2631" w:name="Tc_IgegEuZ1Dk-0YN21O1OiqQ_3_4"/>
      <w:bookmarkStart w:id="2632" w:name="Tc_5OgOQFuKS02dRAkI715E4A_3_2"/>
      <w:bookmarkStart w:id="2633" w:name="Tc_zM25kCvYRkqpVw7WpgTwRw_2_4"/>
      <w:bookmarkStart w:id="2634" w:name="Tc_I7kwuu_UoEuYg5BLW2w1OA_2_2"/>
      <w:bookmarkStart w:id="2635" w:name="Tc_u45eKARUyke4zp_sE0JkSA_1_2"/>
      <w:bookmarkStart w:id="2636" w:name="_516172ff_9ec6_4ae2_8a28_a74ea73c8a64"/>
      <w:bookmarkStart w:id="2637" w:name="_43d7a584_a89d_4315_a1ee_14320a17a1e1"/>
      <w:bookmarkStart w:id="2638" w:name="Tc_KK8lTRvJEk6jZ1vL2O2H6A_7_0"/>
      <w:bookmarkStart w:id="2639" w:name="Tc_XuRc--78rUm7p7yHyq1lMA_6_0"/>
      <w:bookmarkStart w:id="2640" w:name="Tc_YuoiLaNTOUmahLlZUwUAsA_5_0"/>
      <w:bookmarkStart w:id="2641" w:name="Tc_8svpbDN6yE29QeFqHqN6kQ_4_0"/>
      <w:bookmarkStart w:id="2642" w:name="Tc_IgegEuZ1Dk-0YN21O1OiqQ_3_4"/>
      <w:bookmarkStart w:id="2643" w:name="Tc_5OgOQFuKS02dRAkI715E4A_3_2"/>
      <w:bookmarkStart w:id="2644" w:name="Tc_zM25kCvYRkqpVw7WpgTwRw_2_4"/>
      <w:bookmarkStart w:id="2645" w:name="Tc_I7kwuu_UoEuYg5BLW2w1OA_2_2"/>
      <w:bookmarkStart w:id="2646" w:name="Tc_u45eKARUyke4zp_sE0JkSA_1_2"/>
      <w:bookmarkStart w:id="2647" w:name="_516172ff_9ec6_4ae2_8a28_a74ea73c8a64"/>
      <w:bookmarkEnd w:id="2637"/>
      <w:bookmarkEnd w:id="2638"/>
      <w:bookmarkEnd w:id="2639"/>
      <w:bookmarkEnd w:id="2640"/>
      <w:bookmarkEnd w:id="2641"/>
      <w:bookmarkEnd w:id="2642"/>
      <w:bookmarkEnd w:id="2643"/>
      <w:bookmarkEnd w:id="2644"/>
      <w:bookmarkEnd w:id="2645"/>
      <w:bookmarkEnd w:id="2646"/>
      <w:bookmarkEnd w:id="2647"/>
    </w:p>
    <w:tbl>
      <w:tblPr>
        <w:tblW w:w="5672" w:type="dxa"/>
        <w:jc w:val="left"/>
        <w:tblInd w:w="0" w:type="dxa"/>
        <w:tblLayout w:type="fixed"/>
        <w:tblCellMar>
          <w:top w:w="0" w:type="dxa"/>
          <w:left w:w="0" w:type="dxa"/>
          <w:bottom w:w="0" w:type="dxa"/>
          <w:right w:w="0" w:type="dxa"/>
        </w:tblCellMar>
      </w:tblPr>
      <w:tblGrid>
        <w:gridCol w:w="376"/>
        <w:gridCol w:w="5296"/>
      </w:tblGrid>
      <w:tr>
        <w:trPr/>
        <w:tc>
          <w:tcPr>
            <w:tcW w:w="376" w:type="dxa"/>
            <w:tcBorders/>
            <w:vAlign w:val="center"/>
          </w:tcPr>
          <w:p>
            <w:pPr>
              <w:pStyle w:val="TableContents"/>
              <w:bidi w:val="0"/>
              <w:spacing w:lineRule="auto" w:line="285" w:before="0" w:after="160"/>
              <w:jc w:val="both"/>
              <w:rPr>
                <w:rFonts w:ascii="Times New Roman;Times;serif" w:hAnsi="Times New Roman;Times;serif"/>
                <w:b/>
                <w:sz w:val="20"/>
              </w:rPr>
            </w:pPr>
            <w:r>
              <w:rPr>
                <w:rFonts w:ascii="Times New Roman;Times;serif" w:hAnsi="Times New Roman;Times;serif"/>
                <w:b/>
                <w:sz w:val="20"/>
              </w:rPr>
              <w:t>18.</w:t>
            </w:r>
          </w:p>
        </w:tc>
        <w:tc>
          <w:tcPr>
            <w:tcW w:w="5296" w:type="dxa"/>
            <w:tcBorders/>
            <w:vAlign w:val="center"/>
          </w:tcPr>
          <w:p>
            <w:pPr>
              <w:pStyle w:val="TableContents"/>
              <w:bidi w:val="0"/>
              <w:spacing w:lineRule="auto" w:line="285" w:before="0" w:after="160"/>
              <w:jc w:val="both"/>
              <w:rPr>
                <w:rFonts w:ascii="Times New Roman;Times;serif" w:hAnsi="Times New Roman;Times;serif"/>
                <w:b/>
                <w:sz w:val="20"/>
              </w:rPr>
            </w:pPr>
            <w:r>
              <w:rPr>
                <w:rFonts w:ascii="Times New Roman;Times;serif" w:hAnsi="Times New Roman;Times;serif"/>
                <w:b/>
                <w:sz w:val="20"/>
              </w:rPr>
              <w:t>OTHER NON-CURRENT LIABILITIES – THIRD PARTIES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Other non-current liabilities – third parties consisted of the following:</w:t>
      </w:r>
    </w:p>
    <w:p>
      <w:pPr>
        <w:pStyle w:val="TextBody"/>
        <w:bidi w:val="0"/>
        <w:spacing w:lineRule="auto" w:line="307" w:before="0" w:after="160"/>
        <w:ind w:left="0" w:right="0" w:hanging="0"/>
        <w:jc w:val="left"/>
        <w:rPr/>
      </w:pPr>
      <w:r>
        <w:rPr/>
        <w:t>​</w:t>
      </w:r>
    </w:p>
    <w:tbl>
      <w:tblPr>
        <w:tblW w:w="6515" w:type="dxa"/>
        <w:jc w:val="left"/>
        <w:tblInd w:w="0" w:type="dxa"/>
        <w:tblLayout w:type="fixed"/>
        <w:tblCellMar>
          <w:top w:w="0" w:type="dxa"/>
          <w:left w:w="0" w:type="dxa"/>
          <w:bottom w:w="0" w:type="dxa"/>
          <w:right w:w="0" w:type="dxa"/>
        </w:tblCellMar>
      </w:tblPr>
      <w:tblGrid>
        <w:gridCol w:w="4156"/>
        <w:gridCol w:w="346"/>
        <w:gridCol w:w="781"/>
        <w:gridCol w:w="346"/>
        <w:gridCol w:w="88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639060" cy="175260"/>
                      <wp:effectExtent l="0" t="0" r="0" b="0"/>
                      <wp:wrapNone/>
                      <wp:docPr id="470" name="Frame465"/>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1"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95935" cy="175260"/>
                      <wp:effectExtent l="0" t="0" r="0" b="0"/>
                      <wp:wrapNone/>
                      <wp:docPr id="472" name="Frame4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3"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62610" cy="175260"/>
                      <wp:effectExtent l="0" t="0" r="0" b="0"/>
                      <wp:wrapNone/>
                      <wp:docPr id="474" name="Frame4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01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1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156"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Deposits from third parties</w:t>
            </w:r>
          </w:p>
        </w:tc>
        <w:tc>
          <w:tcPr>
            <w:tcW w:w="346" w:type="dxa"/>
            <w:tcBorders/>
            <w:shd w:fill="CCEEFF" w:val="clear"/>
            <w:vAlign w:val="center"/>
          </w:tcPr>
          <w:p>
            <w:pPr>
              <w:pStyle w:val="TableContents"/>
              <w:bidi w:val="0"/>
              <w:spacing w:lineRule="auto" w:line="307" w:before="0" w:after="1"/>
              <w:ind w:left="0" w:right="0" w:hanging="0"/>
              <w:jc w:val="left"/>
              <w:rPr/>
            </w:pPr>
            <w:r>
              <w:rPr/>
              <w:t>  ​ ​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17,438</w:t>
            </w:r>
          </w:p>
        </w:tc>
      </w:tr>
      <w:tr>
        <w:trPr/>
        <w:tc>
          <w:tcPr>
            <w:tcW w:w="41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Conditional and refundable government grants (i)</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77,624</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76,019</w:t>
            </w:r>
          </w:p>
        </w:tc>
      </w:tr>
      <w:tr>
        <w:trPr/>
        <w:tc>
          <w:tcPr>
            <w:tcW w:w="41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Warranty provision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28,938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21,313</w:t>
            </w:r>
          </w:p>
        </w:tc>
      </w:tr>
      <w:tr>
        <w:trPr/>
        <w:tc>
          <w:tcPr>
            <w:tcW w:w="41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125,004</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114,770</w:t>
            </w:r>
          </w:p>
        </w:tc>
      </w:tr>
    </w:tbl>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(i)The Group was awarded grants from governments and conditional on the operation performance and tax contribution in certain specified regions in the next few years. The government grants have been received and recognized as other non-current liabilities, which will be released to other operating income in the consolidated statements of comprehensive loss when the conditions attached for operation performance and tax contribution are satisfied. As of December 31, 2025, the Group estimated that the conditions attached for operation performance and tax contribution would be not probable to be satisfied, thus the Group classified these liabilities as other non-current liabilities.</w:t>
      </w:r>
    </w:p>
    <w:p>
      <w:pPr>
        <w:pStyle w:val="TextBody"/>
        <w:bidi w:val="0"/>
        <w:spacing w:lineRule="auto" w:line="307" w:before="0" w:after="200"/>
        <w:ind w:left="0" w:right="0" w:hanging="0"/>
        <w:jc w:val="both"/>
        <w:rPr/>
      </w:pPr>
      <w:r>
        <w:rPr/>
        <w:t>​</w:t>
      </w:r>
    </w:p>
    <w:tbl>
      <w:tblPr>
        <w:tblW w:w="3047" w:type="dxa"/>
        <w:jc w:val="left"/>
        <w:tblInd w:w="0" w:type="dxa"/>
        <w:tblLayout w:type="fixed"/>
        <w:tblCellMar>
          <w:top w:w="0" w:type="dxa"/>
          <w:left w:w="0" w:type="dxa"/>
          <w:bottom w:w="0" w:type="dxa"/>
          <w:right w:w="0" w:type="dxa"/>
        </w:tblCellMar>
      </w:tblPr>
      <w:tblGrid>
        <w:gridCol w:w="376"/>
        <w:gridCol w:w="267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19.</w:t>
            </w:r>
          </w:p>
        </w:tc>
        <w:tc>
          <w:tcPr>
            <w:tcW w:w="267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SHAREHOLDERS’ DEFICIT</w:t>
            </w:r>
          </w:p>
        </w:tc>
      </w:tr>
    </w:tbl>
    <w:p>
      <w:pPr>
        <w:pStyle w:val="TextBody"/>
        <w:bidi w:val="0"/>
        <w:spacing w:lineRule="auto" w:line="307" w:before="0" w:after="160"/>
        <w:ind w:left="0" w:right="0" w:hanging="0"/>
        <w:jc w:val="left"/>
        <w:rPr>
          <w:rFonts w:ascii="Times New Roman;Times;serif" w:hAnsi="Times New Roman;Times;serif"/>
          <w:b/>
          <w:i/>
          <w:sz w:val="22"/>
        </w:rPr>
      </w:pPr>
      <w:r>
        <w:rPr>
          <w:rFonts w:ascii="Times New Roman;Times;serif" w:hAnsi="Times New Roman;Times;serif"/>
          <w:b/>
          <w:i/>
          <w:sz w:val="22"/>
        </w:rPr>
        <w:t>Ordinary shares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mentioned in Note 17, on March 18, 2022, an ordinary shareholder of the Company, sold its 5,332,827 ordinary shares at US$4.43 per share to Pre-A Investor B with a cash consideration of US$23,650. The Company considered the redesignation, in substance, was effectively a repurchase and retirement of the ordinary shares and simultaneously an issuance of Series Pre-A Preferred Shares.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mentioned in Note 1(b), following the Merger Transaction, the Company’s Articles were amended. As such, the shares and corresponding capital amounts and loss per share prior to the Merger Transaction have been retroactively adjusted. The new authorized shares of the Company is US$50 divided into 5,000,000,000 shares comprising of ordinary shares with par value of US$0.00001 each.</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Upon the consummation of Business Combination on February 22, 2024, as mentioned in Note 1(b), all ordinary shares of the Company held by all existing shareholders of the Company before the Merger Transaction were recapitalized from 2,142,922,222 ordinary shares into 474,621,603 ordinary shares using recapitalization factor of 0.2215 and the value of the ordinary share was reduced by US$16. The Company issued 202,114,211 ordinary shares, among which 1,417,544 ordinary shares held by the Sponsor remained unvested and subject to vesting condition as mentioned in Note 1(b).</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August 23, 2024, the Company issued 16,000,000 ordinary shares to Deutsche Bank Trust Company Americas, which is reserved for future issuances upon the exercise or vesting of share options granted under the 2022 Share Incentive Plan. As of December 31, 2024 and 2025, 110,300 shares were issued to employees under the 2022 Share Incentive Plan.</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September 16, 2024, the Company entered into a security purchase agreement (“Purchase Agreement”) with Westwood, pursuant to which, Westwood committed to purchase, subject to certain conditions, up to US$350,000 of ADSs during a commitment period of approximately 36 months. As consideration for Westwood’s irrevocable commitment to purchase ADSs upon the terms of and subject to satisfaction of the conditions set forth in the Purchase Agreement, the Company issued 700,000 ordinary shares with fair value of US$3,500 to Westwood on September 19, 2024, which was recognized in general and administrative expenses for the year ended December 31, 2024. In addition, the Company issued 649,000 and 202,500 ordinary shares to Westwood with a total consideration of US $1,301 and US$807 during the years ended December 31, 2025 and 2024, respectively.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December 23, 2025, the Company entered into a share subscription agreement with ECARX, pursuant to which ECARX agreed to subscribe for and purchase a total of 16,788,321 newly issued ordinary shares from the Company at a price of US$1.37 per ordinary share for a total purchase price of US$23 million through a private placement. On December 29, 2025, the initial tranche of US$17 million was settled and 12,408,759 ordinary shares were issued. The second tranche of remaining US$6 million was settled on January 19, 2026 and 4,379,562 ordinary shares were issued. The ordinary shares purchased by ECARX is subject to a six-month lock-up period with certain customary exceptions.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the number of ordinary shares issued and outstanding was 707,196,733 and 640,672,331, respectively. As of December 31, 2024, the number of ordinary shares issued and outstanding was 694,134,038 and 676,826,794, respectively. </w:t>
      </w:r>
    </w:p>
    <w:p>
      <w:pPr>
        <w:pStyle w:val="TextBody"/>
        <w:bidi w:val="0"/>
        <w:spacing w:lineRule="auto" w:line="307"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i/>
          <w:sz w:val="22"/>
        </w:rPr>
      </w:pPr>
      <w:r>
        <w:rPr>
          <w:rFonts w:ascii="Times New Roman;Times;serif" w:hAnsi="Times New Roman;Times;serif"/>
          <w:b/>
          <w:i/>
          <w:sz w:val="22"/>
        </w:rPr>
        <w:t>Treasury stock</w:t>
      </w:r>
    </w:p>
    <w:p>
      <w:pPr>
        <w:pStyle w:val="TextBody"/>
        <w:bidi w:val="0"/>
        <w:spacing w:lineRule="auto" w:line="307" w:before="0" w:after="20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2"/>
        </w:rPr>
        <w:t>As mentioned in Note 13, on September 5, 2025, all of 50,000,000</w:t>
      </w:r>
      <w:r>
        <w:rPr>
          <w:rFonts w:ascii="Times New Roman;Times;serif" w:hAnsi="Times New Roman;Times;serif"/>
          <w:sz w:val="20"/>
        </w:rPr>
        <w:t xml:space="preserve"> </w:t>
      </w:r>
      <w:r>
        <w:rPr>
          <w:rFonts w:ascii="Times New Roman;Times;serif" w:hAnsi="Times New Roman;Times;serif"/>
          <w:sz w:val="22"/>
        </w:rPr>
        <w:t>ADSs under Meritz Investment were fully repurchased by the Company. The repurchased ordinary shares were accounted for using the cost method and recorded as treasury stock as a component of the shareholders’ deficit. During the year ended December 31, 2025, a total of 782,842</w:t>
      </w:r>
      <w:r>
        <w:rPr>
          <w:rFonts w:ascii="Times New Roman;Times;serif" w:hAnsi="Times New Roman;Times;serif"/>
          <w:sz w:val="20"/>
        </w:rPr>
        <w:t xml:space="preserve"> </w:t>
      </w:r>
      <w:r>
        <w:rPr>
          <w:rFonts w:ascii="Times New Roman;Times;serif" w:hAnsi="Times New Roman;Times;serif"/>
          <w:sz w:val="22"/>
        </w:rPr>
        <w:t>repurchased ordinary shares were reissued for conversion of convertible notes. As of December 31, 2025, the number of treasury stock was 49,217,158.</w:t>
      </w:r>
    </w:p>
    <w:p>
      <w:pPr>
        <w:pStyle w:val="TextBody"/>
        <w:bidi w:val="0"/>
        <w:spacing w:lineRule="auto" w:line="307" w:before="0" w:after="200"/>
        <w:ind w:left="0" w:right="0" w:hanging="0"/>
        <w:jc w:val="both"/>
        <w:rPr/>
      </w:pPr>
      <w:r>
        <w:rPr/>
        <w:t>​</w:t>
      </w:r>
    </w:p>
    <w:tbl>
      <w:tblPr>
        <w:tblW w:w="1787" w:type="dxa"/>
        <w:jc w:val="left"/>
        <w:tblInd w:w="0" w:type="dxa"/>
        <w:tblLayout w:type="fixed"/>
        <w:tblCellMar>
          <w:top w:w="0" w:type="dxa"/>
          <w:left w:w="0" w:type="dxa"/>
          <w:bottom w:w="0" w:type="dxa"/>
          <w:right w:w="0" w:type="dxa"/>
        </w:tblCellMar>
      </w:tblPr>
      <w:tblGrid>
        <w:gridCol w:w="376"/>
        <w:gridCol w:w="141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20.</w:t>
            </w:r>
          </w:p>
        </w:tc>
        <w:tc>
          <w:tcPr>
            <w:tcW w:w="141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INCOME TAX</w:t>
            </w:r>
          </w:p>
        </w:tc>
      </w:tr>
    </w:tbl>
    <w:tbl>
      <w:tblPr>
        <w:tblW w:w="1367" w:type="dxa"/>
        <w:jc w:val="left"/>
        <w:tblInd w:w="0" w:type="dxa"/>
        <w:tblLayout w:type="fixed"/>
        <w:tblCellMar>
          <w:top w:w="0" w:type="dxa"/>
          <w:left w:w="0" w:type="dxa"/>
          <w:bottom w:w="0" w:type="dxa"/>
          <w:right w:w="0" w:type="dxa"/>
        </w:tblCellMar>
      </w:tblPr>
      <w:tblGrid>
        <w:gridCol w:w="286"/>
        <w:gridCol w:w="1081"/>
      </w:tblGrid>
      <w:tr>
        <w:trPr/>
        <w:tc>
          <w:tcPr>
            <w:tcW w:w="286"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a)</w:t>
            </w:r>
          </w:p>
        </w:tc>
        <w:tc>
          <w:tcPr>
            <w:tcW w:w="1081" w:type="dxa"/>
            <w:tcBorders/>
            <w:vAlign w:val="center"/>
          </w:tcPr>
          <w:p>
            <w:pPr>
              <w:pStyle w:val="TableContents"/>
              <w:bidi w:val="0"/>
              <w:spacing w:lineRule="auto" w:line="285" w:before="0" w:after="200"/>
              <w:jc w:val="left"/>
              <w:rPr>
                <w:rFonts w:ascii="Times New Roman;Times;serif" w:hAnsi="Times New Roman;Times;serif"/>
                <w:b/>
                <w:i/>
                <w:sz w:val="20"/>
              </w:rPr>
            </w:pPr>
            <w:r>
              <w:rPr>
                <w:rFonts w:ascii="Times New Roman;Times;serif" w:hAnsi="Times New Roman;Times;serif"/>
                <w:b/>
                <w:i/>
                <w:sz w:val="20"/>
              </w:rPr>
              <w:t>Income tax</w:t>
            </w:r>
          </w:p>
        </w:tc>
      </w:tr>
    </w:tbl>
    <w:p>
      <w:pPr>
        <w:pStyle w:val="TextBody"/>
        <w:bidi w:val="0"/>
        <w:spacing w:lineRule="auto" w:line="285" w:before="40" w:after="200"/>
        <w:ind w:left="0" w:right="0" w:hanging="0"/>
        <w:jc w:val="left"/>
        <w:rPr>
          <w:rFonts w:ascii="Times New Roman;Times;serif" w:hAnsi="Times New Roman;Times;serif"/>
          <w:i/>
          <w:sz w:val="20"/>
        </w:rPr>
      </w:pPr>
      <w:r>
        <w:rPr>
          <w:rFonts w:ascii="Times New Roman;Times;serif" w:hAnsi="Times New Roman;Times;serif"/>
          <w:i/>
          <w:sz w:val="20"/>
        </w:rPr>
        <w:t>Cayman Islands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Under the current laws of the Cayman Islands, the Company is not subject to tax on income or capital gain. Additionally, the Cayman Islands does not impose a withholding tax on payments of dividends to shareholders.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hanging="0"/>
        <w:jc w:val="left"/>
        <w:rPr>
          <w:rFonts w:ascii="Times New Roman;Times;serif" w:hAnsi="Times New Roman;Times;serif"/>
          <w:i/>
          <w:sz w:val="20"/>
        </w:rPr>
      </w:pPr>
      <w:bookmarkStart w:id="2648" w:name="Tc_Lkh4RD29KU-i24q9ZV11DQ_8_0"/>
      <w:bookmarkStart w:id="2649" w:name="Tc_X4VN-9TrHUSvLaL4PoxGyg_7_0"/>
      <w:bookmarkStart w:id="2650" w:name="Tc_cX7nEuyHkkGM9kSc0NneIg_6_0"/>
      <w:bookmarkStart w:id="2651" w:name="Tc_cYbyK2BC8U6rpvkBZXsepg_5_0"/>
      <w:bookmarkStart w:id="2652" w:name="Tc_T56jsCLTtk6Nve48y48vLw_4_0"/>
      <w:bookmarkStart w:id="2653" w:name="Tc_ZlprqkG2y0uf8-UykhMD4g_3_6"/>
      <w:bookmarkStart w:id="2654" w:name="Tc_P4nS2yk_mk-GINKOxxPNYw_3_4"/>
      <w:bookmarkStart w:id="2655" w:name="Tc_19dKJdCdoEiQvjYE_V2uzQ_3_2"/>
      <w:bookmarkStart w:id="2656" w:name="Tc_r_VKQjM66ES7BMsvLD3u6g_2_6"/>
      <w:bookmarkStart w:id="2657" w:name="Tc_BzRlFck3IkWfGKw1XhG9gQ_2_4"/>
      <w:bookmarkStart w:id="2658" w:name="Tc_CGgDMY8vRkC69iL5sBOC1w_2_2"/>
      <w:bookmarkStart w:id="2659" w:name="Tc__bSWKhlABE-jEB1lUEXErA_1_2"/>
      <w:bookmarkStart w:id="2660" w:name="Tc_b4ewWrlFrECksn4Yesletw_4_7"/>
      <w:bookmarkStart w:id="2661" w:name="Tc_p4DUybi_wkOmyfadO6jddg_4_5"/>
      <w:bookmarkStart w:id="2662" w:name="Tc_ogfzqrPiGUChtJDXJ6375w_4_3"/>
      <w:bookmarkStart w:id="2663" w:name="Tc_ea4ldV9yPk6JeKyUmc8O3g_4_0"/>
      <w:bookmarkStart w:id="2664" w:name="Tc_VDu7KfRZTkuInPjGB4N5Ig_3_7"/>
      <w:bookmarkStart w:id="2665" w:name="Tc_pqH88EXllUyMmII7a8ovQA_3_5"/>
      <w:bookmarkStart w:id="2666" w:name="Tc_O5VSkhXEBEu_PSvkVLumGQ_3_3"/>
      <w:bookmarkStart w:id="2667" w:name="Tc_LnozVWA9KES8m-YQwzkI7w_3_0"/>
      <w:bookmarkStart w:id="2668" w:name="Tc_DOPhBYmmw0mccX0k_sytWg_2_6"/>
      <w:bookmarkStart w:id="2669" w:name="Tc_TiCri6eZgUqozkN_xXucCA_2_4"/>
      <w:bookmarkStart w:id="2670" w:name="Tc_VJGXpSBrhEGyZn_ewstOBg_2_2"/>
      <w:bookmarkStart w:id="2671" w:name="Tc_EkBb6sKuNEG6OmjTuYXmsA_1_2"/>
      <w:bookmarkStart w:id="2672" w:name="_de3af9e3_facb_4a3e_bbb7_d75f1d9da2fc"/>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r>
        <w:rPr>
          <w:rFonts w:ascii="Times New Roman;Times;serif" w:hAnsi="Times New Roman;Times;serif"/>
          <w:i/>
          <w:sz w:val="20"/>
        </w:rPr>
        <w:t>Hong Kong</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Under the current Hong Kong Inland Revenue Ordinance, the Company’s Hong Kong subsidiary is subject to Hong Kong profits tax at the rate of 16.5% on its taxable income generated from the operations in Hong Kong. The first HK$2 million of assessable profits earned by a company will be taxed at 8.25% whilst the remaining profits will continue to be taxed at 16.5%. There is an anti-fragmentation measure where each group will have to elect only one company in the group to benefit from the progressive anti-fragmentation two-tier rates.</w:t>
      </w:r>
    </w:p>
    <w:p>
      <w:pPr>
        <w:pStyle w:val="TextBody"/>
        <w:bidi w:val="0"/>
        <w:spacing w:lineRule="auto" w:line="285" w:before="40" w:after="200"/>
        <w:ind w:left="0" w:right="0" w:hanging="0"/>
        <w:jc w:val="left"/>
        <w:rPr>
          <w:rFonts w:ascii="Times New Roman;Times;serif" w:hAnsi="Times New Roman;Times;serif"/>
          <w:i/>
          <w:sz w:val="20"/>
        </w:rPr>
      </w:pPr>
      <w:r>
        <w:rPr>
          <w:rFonts w:ascii="Times New Roman;Times;serif" w:hAnsi="Times New Roman;Times;serif"/>
          <w:i/>
          <w:sz w:val="20"/>
        </w:rPr>
        <w:t>Chinese mainland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Group’s PRC subsidiaries and former consolidated VIEs are subject to the PRC Enterprise Income Tax Law (“EIT Law”) and are taxed at the statutory income tax rate of 25%, unless otherwise specified.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Under the EIT Law and its implementation rules, an enterprise established outside the PRC with a “place of effective management” within the PRC is considered a PRC resident enterprise for PRC enterprise income tax purposes. A PRC resident enterprise is generally subject to certain PRC tax reporting obligations and a uniform 25% enterprise income tax rate on its worldwide income. The implementation rules to the EIT Law provide that non-resident legal entities are considered PRC residents if substantial and overall management and control over the manufacturing and business operations, personnel, accounting, properties, etc., occurs within the PRC. Despite the present uncertainties resulting from the limited PRC tax guidance on the issue, the Company does not believe that the legal entities organized outside the PRC should be treated as residents for EIT Law purposes. If the PRC tax authorities subsequently determine that the Company and its subsidiaries registered outside the PRC are deemed resident enterprises, the Company and its subsidiaries registered outside the PRC will be subject to the PRC income tax at a rate of 25%.</w:t>
      </w:r>
    </w:p>
    <w:p>
      <w:pPr>
        <w:pStyle w:val="TextBody"/>
        <w:bidi w:val="0"/>
        <w:spacing w:lineRule="auto" w:line="285" w:before="40" w:after="200"/>
        <w:ind w:left="0" w:right="0" w:hanging="0"/>
        <w:jc w:val="left"/>
        <w:rPr>
          <w:rFonts w:ascii="Times New Roman;Times;serif" w:hAnsi="Times New Roman;Times;serif"/>
          <w:i/>
          <w:sz w:val="20"/>
        </w:rPr>
      </w:pPr>
      <w:r>
        <w:rPr>
          <w:rFonts w:ascii="Times New Roman;Times;serif" w:hAnsi="Times New Roman;Times;serif"/>
          <w:i/>
          <w:sz w:val="20"/>
        </w:rPr>
        <w:t>Other Countries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maximum applicable income tax rates of other countries where the Company’s subsidiaries having significant operations for the years ended December 31, 2025, 2024 and 2023 are as follows:</w:t>
      </w:r>
    </w:p>
    <w:p>
      <w:pPr>
        <w:pStyle w:val="TextBody"/>
        <w:bidi w:val="0"/>
        <w:spacing w:lineRule="auto" w:line="307" w:before="0" w:after="160"/>
        <w:ind w:left="0" w:right="0" w:hanging="0"/>
        <w:jc w:val="both"/>
        <w:rPr/>
      </w:pPr>
      <w:r>
        <w:rPr/>
        <w:t>​</w:t>
      </w:r>
    </w:p>
    <w:tbl>
      <w:tblPr>
        <w:tblW w:w="3878" w:type="dxa"/>
        <w:jc w:val="left"/>
        <w:tblInd w:w="0" w:type="dxa"/>
        <w:tblLayout w:type="fixed"/>
        <w:tblCellMar>
          <w:top w:w="0" w:type="dxa"/>
          <w:left w:w="0" w:type="dxa"/>
          <w:bottom w:w="0" w:type="dxa"/>
          <w:right w:w="0" w:type="dxa"/>
        </w:tblCellMar>
      </w:tblPr>
      <w:tblGrid>
        <w:gridCol w:w="1096"/>
        <w:gridCol w:w="346"/>
        <w:gridCol w:w="466"/>
        <w:gridCol w:w="361"/>
        <w:gridCol w:w="466"/>
        <w:gridCol w:w="361"/>
        <w:gridCol w:w="466"/>
        <w:gridCol w:w="316"/>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95960" cy="175260"/>
                      <wp:effectExtent l="0" t="0" r="0" b="0"/>
                      <wp:wrapNone/>
                      <wp:docPr id="475" name="Frame47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76"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95910" cy="175260"/>
                      <wp:effectExtent l="0" t="0" r="0" b="0"/>
                      <wp:wrapNone/>
                      <wp:docPr id="477" name="Frame47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29235" cy="175260"/>
                      <wp:effectExtent l="0" t="0" r="0" b="0"/>
                      <wp:wrapNone/>
                      <wp:docPr id="478" name="Frame4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95910" cy="175260"/>
                      <wp:effectExtent l="0" t="0" r="0" b="0"/>
                      <wp:wrapNone/>
                      <wp:docPr id="479" name="Frame47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29235" cy="175260"/>
                      <wp:effectExtent l="0" t="0" r="0" b="0"/>
                      <wp:wrapNone/>
                      <wp:docPr id="480" name="Frame4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95910" cy="175260"/>
                      <wp:effectExtent l="0" t="0" r="0" b="0"/>
                      <wp:wrapNone/>
                      <wp:docPr id="481" name="Frame47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0660" cy="175260"/>
                      <wp:effectExtent l="0" t="0" r="0" b="0"/>
                      <wp:wrapNone/>
                      <wp:docPr id="482" name="Frame4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12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9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lineRule="auto" w:line="307"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lineRule="auto" w:line="307"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UK</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Netherlands</w:t>
            </w:r>
          </w:p>
        </w:tc>
        <w:tc>
          <w:tcPr>
            <w:tcW w:w="346" w:type="dxa"/>
            <w:tcBorders/>
            <w:vAlign w:val="center"/>
          </w:tcPr>
          <w:p>
            <w:pPr>
              <w:pStyle w:val="TableContents"/>
              <w:bidi w:val="0"/>
              <w:spacing w:lineRule="auto" w:line="307" w:before="0" w:after="1"/>
              <w:ind w:left="0" w:right="0" w:hanging="0"/>
              <w:jc w:val="left"/>
              <w:rPr/>
            </w:pPr>
            <w:r>
              <w:rPr/>
              <w:t> </w:t>
            </w:r>
          </w:p>
        </w:tc>
        <w:tc>
          <w:tcPr>
            <w:tcW w:w="46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20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components of loss before income taxes and share of results of equity method investments for the years ended December 31, 2025, 2024 and 2023 were as follows:</w:t>
      </w:r>
    </w:p>
    <w:p>
      <w:pPr>
        <w:pStyle w:val="TextBody"/>
        <w:bidi w:val="0"/>
        <w:spacing w:lineRule="auto" w:line="307" w:before="0" w:after="160"/>
        <w:ind w:left="0" w:right="0" w:hanging="0"/>
        <w:jc w:val="both"/>
        <w:rPr/>
      </w:pPr>
      <w:r>
        <w:rPr/>
        <w:t>​</w:t>
      </w:r>
    </w:p>
    <w:tbl>
      <w:tblPr>
        <w:tblW w:w="5572" w:type="dxa"/>
        <w:jc w:val="left"/>
        <w:tblInd w:w="0" w:type="dxa"/>
        <w:tblLayout w:type="fixed"/>
        <w:tblCellMar>
          <w:top w:w="0" w:type="dxa"/>
          <w:left w:w="0" w:type="dxa"/>
          <w:bottom w:w="0" w:type="dxa"/>
          <w:right w:w="0" w:type="dxa"/>
        </w:tblCellMar>
      </w:tblPr>
      <w:tblGrid>
        <w:gridCol w:w="1636"/>
        <w:gridCol w:w="346"/>
        <w:gridCol w:w="901"/>
        <w:gridCol w:w="346"/>
        <w:gridCol w:w="1051"/>
        <w:gridCol w:w="346"/>
        <w:gridCol w:w="94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038860" cy="175260"/>
                      <wp:effectExtent l="0" t="0" r="0" b="0"/>
                      <wp:wrapNone/>
                      <wp:docPr id="483" name="Frame47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84"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72135" cy="175260"/>
                      <wp:effectExtent l="0" t="0" r="0" b="0"/>
                      <wp:wrapNone/>
                      <wp:docPr id="485" name="Frame48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86"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67385" cy="175260"/>
                      <wp:effectExtent l="0" t="0" r="0" b="0"/>
                      <wp:wrapNone/>
                      <wp:docPr id="487" name="Frame48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88"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00710" cy="175260"/>
                      <wp:effectExtent l="0" t="0" r="0" b="0"/>
                      <wp:wrapNone/>
                      <wp:docPr id="489" name="Frame48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59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163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05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Chinese mainland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(325,751)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(542,211)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(513,768)</w:t>
            </w:r>
          </w:p>
        </w:tc>
      </w:tr>
      <w:tr>
        <w:trPr/>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UK</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(36,680)</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(197,586)</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(166,174)</w:t>
            </w:r>
          </w:p>
        </w:tc>
      </w:tr>
      <w:tr>
        <w:trPr/>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Netherlands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(50,797)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(69,870)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(46,774)</w:t>
            </w:r>
          </w:p>
        </w:tc>
      </w:tr>
      <w:tr>
        <w:trPr/>
        <w:tc>
          <w:tcPr>
            <w:tcW w:w="163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(37,035)</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(295,439)</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(21,378)</w:t>
            </w:r>
          </w:p>
        </w:tc>
      </w:tr>
      <w:tr>
        <w:trPr/>
        <w:tc>
          <w:tcPr>
            <w:tcW w:w="163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(450,263)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(1,105,106)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(748,094)</w:t>
            </w:r>
          </w:p>
        </w:tc>
      </w:tr>
    </w:tbl>
    <w:p>
      <w:pPr>
        <w:pStyle w:val="TextBody"/>
        <w:bidi w:val="0"/>
        <w:spacing w:lineRule="auto" w:line="307" w:before="0" w:after="16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2673" w:name="Tc_gIe1FfH020qbucAiSUjsFQ_18_4"/>
      <w:bookmarkStart w:id="2674" w:name="Tc_C43TUaC6Z0iM9gXE8v5BTA_18_0"/>
      <w:bookmarkStart w:id="2675" w:name="Tc_WaKNQNU-m06VOjvwKXE2lg_17_0"/>
      <w:bookmarkStart w:id="2676" w:name="Tc_xDk6FnfPXEKr7w_Y5tPdZQ_16_0"/>
      <w:bookmarkStart w:id="2677" w:name="Tc_seB3bqs32km5xcvrwWfj_Q_15_0"/>
      <w:bookmarkStart w:id="2678" w:name="Tc__56_R0AqT02Gd2anvMwLYg_14_0"/>
      <w:bookmarkStart w:id="2679" w:name="Tc_njaSEVVgS0CW9oEqD9FwUA_13_0"/>
      <w:bookmarkStart w:id="2680" w:name="Tc_SXppyfa5q06CpdnDhvcEHQ_12_0"/>
      <w:bookmarkStart w:id="2681" w:name="Tc_zW8uNNxyA0SUHvoAwgej4w_11_0"/>
      <w:bookmarkStart w:id="2682" w:name="Tc_-NRYi9y4fEuFZUsRHL041Q_10_0"/>
      <w:bookmarkStart w:id="2683" w:name="Tc_heXW7opL-EWvA_Jre9-0tw_9_0"/>
      <w:bookmarkStart w:id="2684" w:name="Tc_9FiIpWNeeUGAL8csOttbAw_8_0"/>
      <w:bookmarkStart w:id="2685" w:name="Tc_HKRNkrYgaEqkS7JUIDtvcw_7_0"/>
      <w:bookmarkStart w:id="2686" w:name="Tc_uH6Ni9sKfU68PUKsgDBSHw_6_0"/>
      <w:bookmarkStart w:id="2687" w:name="Tc_ztk7KORT-k2wPxLIx1jXpw_5_0"/>
      <w:bookmarkStart w:id="2688" w:name="Tc_1lEr3jhWTE6oBJxv9K6ioA_4_0"/>
      <w:bookmarkStart w:id="2689" w:name="Tc_7VF09WdBvUqE1ymt1aQnKw_3_4"/>
      <w:bookmarkStart w:id="2690" w:name="Tc_K1YGredlXkK9BTAHgMLtaw_3_2"/>
      <w:bookmarkStart w:id="2691" w:name="Tc_dffvXkfSvkeuNnMNN6EVOg_2_4"/>
      <w:bookmarkStart w:id="2692" w:name="Tc_CJ0XBH-W0kKJBHEG9rf-4w_2_2"/>
      <w:bookmarkStart w:id="2693" w:name="Tc_qItumf6xYkujQwtF2wj2FA_1_2"/>
      <w:bookmarkStart w:id="2694" w:name="Tc_0kbxFaWZjUK12umsqs2Ktg_11_0"/>
      <w:bookmarkStart w:id="2695" w:name="Tc_aREOoE-sEUu9Tbg3Sk22ug_10_0"/>
      <w:bookmarkStart w:id="2696" w:name="Tc_zj-vl81N2EeNGHr36wWBcA_9_0"/>
      <w:bookmarkStart w:id="2697" w:name="Tc_M1nsTa1MCEG9Je5P_15u4g_8_0"/>
      <w:bookmarkStart w:id="2698" w:name="Tc_c_iAApmUpEOtgb060DQmeg_7_0"/>
      <w:bookmarkStart w:id="2699" w:name="Tc_J42jpXOWK0yBFId7RNEjdA_6_0"/>
      <w:bookmarkStart w:id="2700" w:name="Tc_yJvjT-CsqEeDSBCMLjPW-A_5_0"/>
      <w:bookmarkStart w:id="2701" w:name="Tc_ZMopOW8rnU6vhigFX8etZg_4_0"/>
      <w:bookmarkStart w:id="2702" w:name="Tc_y9gM8SPmfUWj9KU8QQ1w8w_3_6"/>
      <w:bookmarkStart w:id="2703" w:name="Tc_EwNBTShMt0aHeecfN_8v1w_3_4"/>
      <w:bookmarkStart w:id="2704" w:name="Tc_ti1IbUdQi0245MqKWn3eqQ_3_2"/>
      <w:bookmarkStart w:id="2705" w:name="Tc_J2gqtw61yUKeKid2ILowEg_2_6"/>
      <w:bookmarkStart w:id="2706" w:name="Tc_b6IFupG1Ckm977NAPgazUw_2_4"/>
      <w:bookmarkStart w:id="2707" w:name="Tc_vgHYy_M5-kWT11t-wrAfuQ_2_2"/>
      <w:bookmarkStart w:id="2708" w:name="Tc_MnnHgvUnuUCRgS76qIMp0Q_1_2"/>
      <w:bookmarkStart w:id="2709" w:name="Tc_98wKIGTdJUCdF5r4y4BxDQ_6_0"/>
      <w:bookmarkStart w:id="2710" w:name="Tc_Vb38QVOmAkuHAfpn_5xLiQ_5_6"/>
      <w:bookmarkStart w:id="2711" w:name="Tc__akl-Zg7uEmEN_T5ox-mIg_5_4"/>
      <w:bookmarkStart w:id="2712" w:name="Tc_RzdcvvWKiUSHPulzADnR3g_5_0"/>
      <w:bookmarkStart w:id="2713" w:name="Tc_n4XOZbcpBUqKTGevUcO3Ow_4_0"/>
      <w:bookmarkStart w:id="2714" w:name="Tc_mPml1nub10-vyCz4gKdM4Q_3_6"/>
      <w:bookmarkStart w:id="2715" w:name="Tc_DKaMyUA010mTvZYPyWnpfg_3_4"/>
      <w:bookmarkStart w:id="2716" w:name="Tc_Jbh05bPx0E6RLSZZMSm7hA_3_2"/>
      <w:bookmarkStart w:id="2717" w:name="Tc_1wskHuv5wEiS-x9-VOg5ow_2_6"/>
      <w:bookmarkStart w:id="2718" w:name="Tc_Xl52t6MMf0S039PWpjjJSQ_2_4"/>
      <w:bookmarkStart w:id="2719" w:name="Tc_o8V9TivsJ06HKrMr41UMyQ_2_2"/>
      <w:bookmarkStart w:id="2720" w:name="Tc_bO9HoInOoEq_bHrCcLwPdQ_1_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r>
        <w:rPr>
          <w:rFonts w:ascii="Times New Roman;Times;serif" w:hAnsi="Times New Roman;Times;serif"/>
          <w:sz w:val="20"/>
        </w:rPr>
        <w:t>The current and deferred portion of income tax expense for the years ended December 31, 2025, 2024 and 2023 were as follows:</w:t>
      </w:r>
    </w:p>
    <w:p>
      <w:pPr>
        <w:pStyle w:val="TextBody"/>
        <w:bidi w:val="0"/>
        <w:spacing w:lineRule="auto" w:line="307" w:before="0" w:after="160"/>
        <w:ind w:left="0" w:right="0" w:hanging="0"/>
        <w:jc w:val="both"/>
        <w:rPr/>
      </w:pPr>
      <w:r>
        <w:rPr/>
        <w:t>​</w:t>
      </w:r>
    </w:p>
    <w:tbl>
      <w:tblPr>
        <w:tblW w:w="5422" w:type="dxa"/>
        <w:jc w:val="left"/>
        <w:tblInd w:w="0" w:type="dxa"/>
        <w:tblLayout w:type="fixed"/>
        <w:tblCellMar>
          <w:top w:w="0" w:type="dxa"/>
          <w:left w:w="0" w:type="dxa"/>
          <w:bottom w:w="0" w:type="dxa"/>
          <w:right w:w="0" w:type="dxa"/>
        </w:tblCellMar>
      </w:tblPr>
      <w:tblGrid>
        <w:gridCol w:w="2461"/>
        <w:gridCol w:w="346"/>
        <w:gridCol w:w="676"/>
        <w:gridCol w:w="346"/>
        <w:gridCol w:w="571"/>
        <w:gridCol w:w="346"/>
        <w:gridCol w:w="67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562735" cy="175260"/>
                      <wp:effectExtent l="0" t="0" r="0" b="0"/>
                      <wp:wrapNone/>
                      <wp:docPr id="490" name="Frame485"/>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1"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29260" cy="175260"/>
                      <wp:effectExtent l="0" t="0" r="0" b="0"/>
                      <wp:wrapNone/>
                      <wp:docPr id="492" name="Frame4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3"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62585" cy="175260"/>
                      <wp:effectExtent l="0" t="0" r="0" b="0"/>
                      <wp:wrapNone/>
                      <wp:docPr id="494" name="Frame4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495"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29260" cy="175260"/>
                      <wp:effectExtent l="0" t="0" r="0" b="0"/>
                      <wp:wrapNone/>
                      <wp:docPr id="496" name="Frame4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4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246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4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Current income tax expense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15,259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24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Deferred income tax expense</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687</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24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income tax expense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15,946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2,012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1,113</w:t>
            </w:r>
          </w:p>
        </w:tc>
      </w:tr>
    </w:tbl>
    <w:p>
      <w:pPr>
        <w:pStyle w:val="TextBody"/>
        <w:bidi w:val="0"/>
        <w:spacing w:lineRule="auto" w:line="307" w:before="0" w:after="16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income tax expense reported in the consolidated statements of comprehensive loss for the years ended December 31, 2025, 2024 and 2023 differs from the amount computed by applying the PRC income tax rate of 25% to loss before income taxes due to the following:</w:t>
      </w:r>
    </w:p>
    <w:p>
      <w:pPr>
        <w:pStyle w:val="TextBody"/>
        <w:bidi w:val="0"/>
        <w:spacing w:lineRule="auto" w:line="307" w:before="0" w:after="160"/>
        <w:ind w:left="0" w:right="0" w:hanging="0"/>
        <w:jc w:val="both"/>
        <w:rPr/>
      </w:pPr>
      <w:r>
        <w:rPr/>
        <w:t>​</w:t>
      </w:r>
    </w:p>
    <w:tbl>
      <w:tblPr>
        <w:tblW w:w="10057" w:type="dxa"/>
        <w:jc w:val="left"/>
        <w:tblInd w:w="0" w:type="dxa"/>
        <w:tblLayout w:type="fixed"/>
        <w:tblCellMar>
          <w:top w:w="0" w:type="dxa"/>
          <w:left w:w="0" w:type="dxa"/>
          <w:bottom w:w="0" w:type="dxa"/>
          <w:right w:w="0" w:type="dxa"/>
        </w:tblCellMar>
      </w:tblPr>
      <w:tblGrid>
        <w:gridCol w:w="6271"/>
        <w:gridCol w:w="346"/>
        <w:gridCol w:w="901"/>
        <w:gridCol w:w="346"/>
        <w:gridCol w:w="901"/>
        <w:gridCol w:w="346"/>
        <w:gridCol w:w="946"/>
      </w:tblGrid>
      <w:tr>
        <w:trPr/>
        <w:tc>
          <w:tcPr>
            <w:tcW w:w="6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3982085" cy="175260"/>
                      <wp:effectExtent l="0" t="0" r="0" b="0"/>
                      <wp:wrapNone/>
                      <wp:docPr id="497" name="Frame492"/>
                      <a:graphic xmlns:a="http://schemas.openxmlformats.org/drawingml/2006/main">
                        <a:graphicData uri="http://schemas.microsoft.com/office/word/2010/wordprocessingShape">
                          <wps:wsp>
                            <wps:cNvSpPr txBox="1"/>
                            <wps:spPr>
                              <a:xfrm>
                                <a:off x="0" y="0"/>
                                <a:ext cx="3982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498"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72135" cy="175260"/>
                      <wp:effectExtent l="0" t="0" r="0" b="0"/>
                      <wp:wrapNone/>
                      <wp:docPr id="499" name="Frame49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0"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572135" cy="175260"/>
                      <wp:effectExtent l="0" t="0" r="0" b="0"/>
                      <wp:wrapNone/>
                      <wp:docPr id="501" name="Frame49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2"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00710" cy="175260"/>
                      <wp:effectExtent l="0" t="0" r="0" b="0"/>
                      <wp:wrapNone/>
                      <wp:docPr id="503" name="Frame49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4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6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left"/>
              <w:rPr/>
            </w:pPr>
            <w:r>
              <w:rPr/>
              <w:t>  ​ ​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Computed expected income tax benefit at the PRC statutory tax rate of 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(112,069)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(276,319)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(187,286)</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Effect on tax rates in different tax jurisdiction</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22,858</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75,134</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Preferential tax rate impact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(1,322)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(423)</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Tax effect of non-deductible expenses and tax-free income</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116,342</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4,457</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3,137</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Tax effect of R&amp;D expenses additional deduction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(44,392)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(13,025)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(17,732)</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33,523</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212,302</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202,586</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Income tax expense</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15,946</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2,012</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1,113</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b)   Deferred income taxes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tax effects of temporary differences that give rise to the deferred tax assets (liabilities) balances as of December 31, 2025 and 2024 were as follows:</w:t>
      </w:r>
    </w:p>
    <w:p>
      <w:pPr>
        <w:pStyle w:val="TextBody"/>
        <w:bidi w:val="0"/>
        <w:spacing w:lineRule="auto" w:line="307" w:before="0" w:after="160"/>
        <w:ind w:left="0" w:right="0" w:hanging="0"/>
        <w:jc w:val="both"/>
        <w:rPr/>
      </w:pPr>
      <w:r>
        <w:rPr/>
        <w:t>​</w:t>
      </w:r>
    </w:p>
    <w:tbl>
      <w:tblPr>
        <w:tblW w:w="6560" w:type="dxa"/>
        <w:jc w:val="left"/>
        <w:tblInd w:w="0" w:type="dxa"/>
        <w:tblLayout w:type="fixed"/>
        <w:tblCellMar>
          <w:top w:w="0" w:type="dxa"/>
          <w:left w:w="0" w:type="dxa"/>
          <w:bottom w:w="0" w:type="dxa"/>
          <w:right w:w="0" w:type="dxa"/>
        </w:tblCellMar>
      </w:tblPr>
      <w:tblGrid>
        <w:gridCol w:w="4021"/>
        <w:gridCol w:w="346"/>
        <w:gridCol w:w="901"/>
        <w:gridCol w:w="346"/>
        <w:gridCol w:w="94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553335" cy="175260"/>
                      <wp:effectExtent l="0" t="0" r="0" b="0"/>
                      <wp:wrapNone/>
                      <wp:docPr id="504" name="Frame499"/>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05"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572135" cy="175260"/>
                      <wp:effectExtent l="0" t="0" r="0" b="0"/>
                      <wp:wrapNone/>
                      <wp:docPr id="506" name="Frame50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07"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00710" cy="175260"/>
                      <wp:effectExtent l="0" t="0" r="0" b="0"/>
                      <wp:wrapNone/>
                      <wp:docPr id="508" name="Frame50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19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0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021" w:type="dxa"/>
            <w:tcBorders/>
            <w:shd w:fill="CCEEFF" w:val="clear"/>
            <w:vAlign w:val="center"/>
          </w:tcPr>
          <w:p>
            <w:pPr>
              <w:pStyle w:val="TableContents"/>
              <w:bidi w:val="0"/>
              <w:spacing w:lineRule="auto" w:line="307" w:before="0" w:after="1"/>
              <w:ind w:left="0" w:right="0" w:hanging="0"/>
              <w:jc w:val="left"/>
              <w:rPr/>
            </w:pPr>
            <w:r>
              <w:rPr/>
              <w:t> </w:t>
            </w:r>
            <w:r>
              <w:rPr>
                <w:rFonts w:ascii="Times New Roman;Times;serif" w:hAnsi="Times New Roman;Times;serif"/>
                <w:b/>
                <w:sz w:val="20"/>
              </w:rPr>
              <w:t>Deferred tax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r>
      <w:tr>
        <w:trPr/>
        <w:tc>
          <w:tcPr>
            <w:tcW w:w="40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operating losses carryforwards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392,449</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344,269</w:t>
            </w:r>
          </w:p>
        </w:tc>
      </w:tr>
      <w:tr>
        <w:trPr/>
        <w:tc>
          <w:tcPr>
            <w:tcW w:w="40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Deferral of tax deduction of R&amp;D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286,520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319,768</w:t>
            </w:r>
          </w:p>
        </w:tc>
      </w:tr>
      <w:tr>
        <w:trPr/>
        <w:tc>
          <w:tcPr>
            <w:tcW w:w="40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40,633</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37,460</w:t>
            </w:r>
          </w:p>
        </w:tc>
      </w:tr>
      <w:tr>
        <w:trPr/>
        <w:tc>
          <w:tcPr>
            <w:tcW w:w="40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18,479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24,437</w:t>
            </w:r>
          </w:p>
        </w:tc>
      </w:tr>
      <w:tr>
        <w:trPr/>
        <w:tc>
          <w:tcPr>
            <w:tcW w:w="40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37,949</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27,843</w:t>
            </w:r>
          </w:p>
        </w:tc>
      </w:tr>
      <w:tr>
        <w:trPr/>
        <w:tc>
          <w:tcPr>
            <w:tcW w:w="40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gross deferred tax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776,030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753,777</w:t>
            </w:r>
          </w:p>
        </w:tc>
      </w:tr>
      <w:tr>
        <w:trPr/>
        <w:tc>
          <w:tcPr>
            <w:tcW w:w="40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Valuation allowance on deferred tax assets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(632,645)</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(585,820)</w:t>
            </w:r>
          </w:p>
        </w:tc>
      </w:tr>
      <w:tr>
        <w:trPr/>
        <w:tc>
          <w:tcPr>
            <w:tcW w:w="40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Deferred tax assets, net of valuation allowance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143,385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167,957</w:t>
            </w:r>
          </w:p>
        </w:tc>
      </w:tr>
      <w:tr>
        <w:trPr/>
        <w:tc>
          <w:tcPr>
            <w:tcW w:w="402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60"/>
              <w:ind w:left="0" w:right="0" w:hanging="0"/>
              <w:jc w:val="right"/>
              <w:rPr/>
            </w:pPr>
            <w:r>
              <w:rPr/>
              <w:t>​</w:t>
            </w:r>
          </w:p>
        </w:tc>
      </w:tr>
      <w:tr>
        <w:trPr/>
        <w:tc>
          <w:tcPr>
            <w:tcW w:w="40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(113,142)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(132,061)</w:t>
            </w:r>
          </w:p>
        </w:tc>
      </w:tr>
      <w:tr>
        <w:trPr/>
        <w:tc>
          <w:tcPr>
            <w:tcW w:w="402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(28,981)</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(34,193)</w:t>
            </w:r>
          </w:p>
        </w:tc>
      </w:tr>
      <w:tr>
        <w:trPr/>
        <w:tc>
          <w:tcPr>
            <w:tcW w:w="40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(1,960)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(1,703)</w:t>
            </w:r>
          </w:p>
        </w:tc>
      </w:tr>
      <w:tr>
        <w:trPr/>
        <w:tc>
          <w:tcPr>
            <w:tcW w:w="402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deferred tax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(144,083)</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(167,957)</w:t>
            </w:r>
          </w:p>
        </w:tc>
      </w:tr>
      <w:tr>
        <w:trPr/>
        <w:tc>
          <w:tcPr>
            <w:tcW w:w="402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deferred tax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(698)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bookmarkStart w:id="2721" w:name="Tc_sopgdqpFD0iuL0CvUC8eyA_7_0"/>
      <w:bookmarkStart w:id="2722" w:name="Tc_ww9xDlepsk-1VTRsyNELIA_6_0"/>
      <w:bookmarkStart w:id="2723" w:name="Tc_RL8tJHn1a0CouxAEsdfNNA_5_0"/>
      <w:bookmarkStart w:id="2724" w:name="Tc_QiXFw1o5YkW_UsySIKZaqA_4_0"/>
      <w:bookmarkStart w:id="2725" w:name="Tc_iRyEHIMUr0-46jMtMHqGfg_3_6"/>
      <w:bookmarkStart w:id="2726" w:name="Tc_TsbGJBsndk-YK2vUnGiRsw_3_4"/>
      <w:bookmarkStart w:id="2727" w:name="Tc_MX0RbMw5xkmCcNikTkXdBw_3_2"/>
      <w:bookmarkStart w:id="2728" w:name="Tc_DEYKkDk-tkaodndEcOPyJQ_2_6"/>
      <w:bookmarkStart w:id="2729" w:name="Tc_gorcHFdRJUCalIcm3oaDzg_2_4"/>
      <w:bookmarkStart w:id="2730" w:name="Tc_caW0eKsMOEWpoRwxVxrejg_2_2"/>
      <w:bookmarkStart w:id="2731" w:name="Tc_62vHm55zv0Ge5NCUJQmByg_1_2"/>
      <w:bookmarkEnd w:id="2721"/>
      <w:bookmarkEnd w:id="2722"/>
      <w:bookmarkEnd w:id="2723"/>
      <w:bookmarkEnd w:id="2724"/>
      <w:bookmarkEnd w:id="2725"/>
      <w:bookmarkEnd w:id="2726"/>
      <w:bookmarkEnd w:id="2727"/>
      <w:bookmarkEnd w:id="2728"/>
      <w:bookmarkEnd w:id="2729"/>
      <w:bookmarkEnd w:id="2730"/>
      <w:bookmarkEnd w:id="2731"/>
      <w:r>
        <w:rPr>
          <w:rFonts w:ascii="Times New Roman;Times;serif" w:hAnsi="Times New Roman;Times;serif"/>
          <w:sz w:val="20"/>
        </w:rPr>
        <w:t>A valuation allowance is provided against deferred income tax assets when the Group determines that it is more-likely-than-not that the deferred income tax assets will not be utilized in the foreseeable future. In making such determination, the Group evaluates a variety of factors including the Group’s operating history, accumulated deficit, existence of taxable temporary differences and reversal periods.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2025, the valuation allowances of US$632,645 were related to the deferred income tax assets of the certain subsidiaries of the Company which were in loss position. These entities were in a cumulative loss position, which is a significant negative indicator to overcome that sufficient income will be generated over the periods in which the deferred income tax assets are deductible or utilized. The ultimate realization of deferred income tax assets is dependent upon the generation of future taxable income during the periods in which those temporary differences become deductible or utilized. Management considers the scheduled reversal of deferred income tax liabilities, projected future taxable income and tax planning strategies in making this assessment.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Changes in valuation allowance were as follows:</w:t>
      </w:r>
    </w:p>
    <w:p>
      <w:pPr>
        <w:pStyle w:val="TextBody"/>
        <w:bidi w:val="0"/>
        <w:spacing w:lineRule="auto" w:line="307" w:before="0" w:after="160"/>
        <w:ind w:left="0" w:right="0" w:hanging="0"/>
        <w:jc w:val="both"/>
        <w:rPr/>
      </w:pPr>
      <w:r>
        <w:rPr/>
        <w:t>​</w:t>
      </w:r>
    </w:p>
    <w:tbl>
      <w:tblPr>
        <w:tblW w:w="6607" w:type="dxa"/>
        <w:jc w:val="left"/>
        <w:tblInd w:w="0" w:type="dxa"/>
        <w:tblLayout w:type="fixed"/>
        <w:tblCellMar>
          <w:top w:w="0" w:type="dxa"/>
          <w:left w:w="0" w:type="dxa"/>
          <w:bottom w:w="0" w:type="dxa"/>
          <w:right w:w="0" w:type="dxa"/>
        </w:tblCellMar>
      </w:tblPr>
      <w:tblGrid>
        <w:gridCol w:w="3106"/>
        <w:gridCol w:w="346"/>
        <w:gridCol w:w="781"/>
        <w:gridCol w:w="346"/>
        <w:gridCol w:w="796"/>
        <w:gridCol w:w="346"/>
        <w:gridCol w:w="88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972310" cy="175260"/>
                      <wp:effectExtent l="0" t="0" r="0" b="0"/>
                      <wp:wrapNone/>
                      <wp:docPr id="509" name="Frame504"/>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0"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95935" cy="175260"/>
                      <wp:effectExtent l="0" t="0" r="0" b="0"/>
                      <wp:wrapNone/>
                      <wp:docPr id="511" name="Frame5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2"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05460" cy="175260"/>
                      <wp:effectExtent l="0" t="0" r="0" b="0"/>
                      <wp:wrapNone/>
                      <wp:docPr id="513" name="Frame5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14"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62610" cy="175260"/>
                      <wp:effectExtent l="0" t="0" r="0" b="0"/>
                      <wp:wrapNone/>
                      <wp:docPr id="515" name="Frame5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15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1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31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year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585,820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390,737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202,715</w:t>
            </w:r>
          </w:p>
        </w:tc>
      </w:tr>
      <w:tr>
        <w:trPr/>
        <w:tc>
          <w:tcPr>
            <w:tcW w:w="310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Addition</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33,523</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209,569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189,952</w:t>
            </w:r>
          </w:p>
        </w:tc>
      </w:tr>
      <w:tr>
        <w:trPr/>
        <w:tc>
          <w:tcPr>
            <w:tcW w:w="31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Effect of foreign currency translation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13,302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(14,486)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(1,930)</w:t>
            </w:r>
          </w:p>
        </w:tc>
      </w:tr>
      <w:tr>
        <w:trPr/>
        <w:tc>
          <w:tcPr>
            <w:tcW w:w="310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Balance at the end of the year</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632,645</w:t>
            </w:r>
          </w:p>
        </w:tc>
        <w:tc>
          <w:tcPr>
            <w:tcW w:w="346" w:type="dxa"/>
            <w:tcBorders/>
            <w:vAlign w:val="center"/>
          </w:tcPr>
          <w:p>
            <w:pPr>
              <w:pStyle w:val="TableContents"/>
              <w:bidi w:val="0"/>
              <w:spacing w:lineRule="auto" w:line="307"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585,820</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390,737</w:t>
            </w:r>
          </w:p>
        </w:tc>
      </w:tr>
    </w:tbl>
    <w:p>
      <w:pPr>
        <w:pStyle w:val="TextBody"/>
        <w:bidi w:val="0"/>
        <w:spacing w:lineRule="auto" w:line="307" w:before="0" w:after="160"/>
        <w:ind w:left="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2025, the net operating loss carryforwards of the Company’s subsidiaries in Chinese mainland amounted to US$1,025,750, which can be carried forward for five years to offset future taxable profit. The net operating loss carryforwards of the Company’s subsidiaries in Chinese mainland, will expire during the period from 2026 to 2030.</w:t>
      </w:r>
    </w:p>
    <w:p>
      <w:pPr>
        <w:pStyle w:val="TextBody"/>
        <w:bidi w:val="0"/>
        <w:spacing w:lineRule="auto" w:line="307" w:before="0" w:after="160"/>
        <w:ind w:left="0" w:right="0" w:hanging="0"/>
        <w:jc w:val="both"/>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2025, the net operating loss carryforwards of the Company’s subsidiaries incorporated in UK amounted to US$362,623. Operating losses can be carried forward without time limitation but the annual limit of utilization of carryforward loss, without any cash tax impact, is GBP 5,000.</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2025, the net operating loss carryforwards of the Company’s subsidiaries incorporated in Netherlands amounted to US$164,619. Operating losses can be carried forward without time limitation but are available to offset the first EUR 1,000 of taxable profits and 50% of taxable profits in excess of this of the current fiscal year.</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2732" w:name="Tc_KVwAwBGIm0OhL56JUk0uOA_14_0"/>
      <w:bookmarkStart w:id="2733" w:name="Tc_k3Gnb5mjfE2BRFpuaGmcEQ_13_6"/>
      <w:bookmarkStart w:id="2734" w:name="Tc_N6b9S8kztEGF1Ws2gBG2kQ_13_4"/>
      <w:bookmarkStart w:id="2735" w:name="Tc_nkHrH4oerk2WCdxRmDamqQ_13_0"/>
      <w:bookmarkStart w:id="2736" w:name="Tc_HVvLw-5JbU247bGD0tt0QQ_12_6"/>
      <w:bookmarkStart w:id="2737" w:name="Tc_cuZCz7XIJ0-B6N7PFUG0dw_12_0"/>
      <w:bookmarkStart w:id="2738" w:name="Tc_TkTqbpXB_UiFIsncTyVChw_11_6"/>
      <w:bookmarkStart w:id="2739" w:name="Tc_z6WJoU_-OkWztklpXlR5YQ_11_0"/>
      <w:bookmarkStart w:id="2740" w:name="Tc_IHx4H6MCAk28DBR5ZUofRg_10_6"/>
      <w:bookmarkStart w:id="2741" w:name="Tc_RnhcLzovU0WSTmEzESujyA_10_2"/>
      <w:bookmarkStart w:id="2742" w:name="Tc_AzuVLpL6NkiJppyzEqQUvw_10_0"/>
      <w:bookmarkStart w:id="2743" w:name="Tc_GxvMNdEfgEeUzrUkF4y4Bg_9_4"/>
      <w:bookmarkStart w:id="2744" w:name="Tc_BBVdvVltGEusPuxNEu2LFQ_9_2"/>
      <w:bookmarkStart w:id="2745" w:name="Tc_kt_k1t4Y7UyWZwIRIARLfg_9_0"/>
      <w:bookmarkStart w:id="2746" w:name="Tc_Euv8DTkYVE6QeG0QeP5u-A_8_0"/>
      <w:bookmarkStart w:id="2747" w:name="Tc_snHUYezyQ02MLcdofmo8lw_7_4"/>
      <w:bookmarkStart w:id="2748" w:name="Tc_IJyHl7g-9kayleszWwDIsw_7_2"/>
      <w:bookmarkStart w:id="2749" w:name="Tc_Hcpgmx7RWE2uwFGq-88-YQ_7_0"/>
      <w:bookmarkStart w:id="2750" w:name="Tc_J5E52GBE-UKDxRUfYZE1Lg_6_6"/>
      <w:bookmarkStart w:id="2751" w:name="Tc_NcLgOzEHOEuZPjw5OiRVaw_6_2"/>
      <w:bookmarkStart w:id="2752" w:name="Tc_8UclgNz_bU2Ufn2NUwW_Xg_6_0"/>
      <w:bookmarkStart w:id="2753" w:name="Tc_t4w1q4AABUSMJ7Jyccu-fw_5_6"/>
      <w:bookmarkStart w:id="2754" w:name="Tc_nDVFTKP-Mkepepffp-zH-g_5_4"/>
      <w:bookmarkStart w:id="2755" w:name="Tc_oY7Bs4fvZEqZGE7sUPx8Bg_5_0"/>
      <w:bookmarkStart w:id="2756" w:name="Tc_Qz_etlL00UiCJ6sgQs8FuQ_4_4"/>
      <w:bookmarkStart w:id="2757" w:name="Tc_TP7pkWTVqUit1hK5USEOYQ_4_2"/>
      <w:bookmarkStart w:id="2758" w:name="Tc_SF1-tgegJUK39CJcOaQtdA_4_0"/>
      <w:bookmarkStart w:id="2759" w:name="Tc_pJ8bnVjjV0yeav5qhjMMpQ_3_4"/>
      <w:bookmarkStart w:id="2760" w:name="Tc_uPNIm8KJaUON-h3xhFun_A_3_2"/>
      <w:bookmarkStart w:id="2761" w:name="Tc_zVxI-nHfikm-mLNbKiMbzw_3_0"/>
      <w:bookmarkStart w:id="2762" w:name="Tc_-qGuz8EibUSeDelgKHJSLA_2_6"/>
      <w:bookmarkStart w:id="2763" w:name="Tc_Pd8nPicj30alGuB04VTCiw_2_4"/>
      <w:bookmarkStart w:id="2764" w:name="Tc_SRPJ3JdGkUuhtygLWjYzog_2_2"/>
      <w:bookmarkStart w:id="2765" w:name="Tc_ZjO4YRH0RU-n6mNWZ85r0Q_1_2"/>
      <w:bookmarkStart w:id="2766" w:name="_d4193f23_eff5_4a59_8acd_fc6804ce8b3c"/>
      <w:bookmarkStart w:id="2767" w:name="Tc_Uk1qvLgGi0yYzeQ57Klr5w_12_0"/>
      <w:bookmarkStart w:id="2768" w:name="Tc_q65AySAtYkSDQJ8YmvL_aQ_11_0"/>
      <w:bookmarkStart w:id="2769" w:name="Tc_wgh9JQ7k3024gSbrrE1ciQ_10_0"/>
      <w:bookmarkStart w:id="2770" w:name="Tc_zOpmFsExpU6-Kr3p6TZyzQ_9_0"/>
      <w:bookmarkStart w:id="2771" w:name="Tc_Mu995WVYg0G-Cx4UnuFnsw_8_0"/>
      <w:bookmarkStart w:id="2772" w:name="Tc_opjoeNxfY0qoYi9meRY6-g_7_0"/>
      <w:bookmarkStart w:id="2773" w:name="Tc_SCzhenviBkmSZMEr8uM0bw_6_2"/>
      <w:bookmarkStart w:id="2774" w:name="Tc_LkRrSTW-3E65iU8zA0dB9A_6_0"/>
      <w:bookmarkStart w:id="2775" w:name="Tc_OClL4mrwL02US1NVO_n_0w_5_0"/>
      <w:bookmarkStart w:id="2776" w:name="Tc_6DhNUBhacEKjgBLeyq9-LQ_4_0"/>
      <w:bookmarkStart w:id="2777" w:name="Tc_eeRWFVhm5EaH-RQkBob7Kw_3_6"/>
      <w:bookmarkStart w:id="2778" w:name="Tc_od1VaHtt-kC3w8_nxlo_Dw_3_4"/>
      <w:bookmarkStart w:id="2779" w:name="Tc_g9VSyhEKLEKLv8XumsjRfg_3_2"/>
      <w:bookmarkStart w:id="2780" w:name="Tc_ntGxElBgCEa37FSfRa7KpQ_2_6"/>
      <w:bookmarkStart w:id="2781" w:name="Tc_6skYtlTWD0OHdyv2eYC3bQ_2_4"/>
      <w:bookmarkStart w:id="2782" w:name="Tc_Tk1nJ4fu20W7ktz9w5AyAA_2_2"/>
      <w:bookmarkStart w:id="2783" w:name="Tc_igrZHeRUS0-ctHUpwG7PCg_1_2"/>
      <w:bookmarkStart w:id="2784" w:name="_c8c92db8_33f0_4d32_a92e_fdda88b64601"/>
      <w:bookmarkStart w:id="2785" w:name="Tc_KVwAwBGIm0OhL56JUk0uOA_14_0"/>
      <w:bookmarkStart w:id="2786" w:name="Tc_k3Gnb5mjfE2BRFpuaGmcEQ_13_6"/>
      <w:bookmarkStart w:id="2787" w:name="Tc_N6b9S8kztEGF1Ws2gBG2kQ_13_4"/>
      <w:bookmarkStart w:id="2788" w:name="Tc_nkHrH4oerk2WCdxRmDamqQ_13_0"/>
      <w:bookmarkStart w:id="2789" w:name="Tc_HVvLw-5JbU247bGD0tt0QQ_12_6"/>
      <w:bookmarkStart w:id="2790" w:name="Tc_cuZCz7XIJ0-B6N7PFUG0dw_12_0"/>
      <w:bookmarkStart w:id="2791" w:name="Tc_TkTqbpXB_UiFIsncTyVChw_11_6"/>
      <w:bookmarkStart w:id="2792" w:name="Tc_z6WJoU_-OkWztklpXlR5YQ_11_0"/>
      <w:bookmarkStart w:id="2793" w:name="Tc_IHx4H6MCAk28DBR5ZUofRg_10_6"/>
      <w:bookmarkStart w:id="2794" w:name="Tc_RnhcLzovU0WSTmEzESujyA_10_2"/>
      <w:bookmarkStart w:id="2795" w:name="Tc_AzuVLpL6NkiJppyzEqQUvw_10_0"/>
      <w:bookmarkStart w:id="2796" w:name="Tc_GxvMNdEfgEeUzrUkF4y4Bg_9_4"/>
      <w:bookmarkStart w:id="2797" w:name="Tc_BBVdvVltGEusPuxNEu2LFQ_9_2"/>
      <w:bookmarkStart w:id="2798" w:name="Tc_kt_k1t4Y7UyWZwIRIARLfg_9_0"/>
      <w:bookmarkStart w:id="2799" w:name="Tc_Euv8DTkYVE6QeG0QeP5u-A_8_0"/>
      <w:bookmarkStart w:id="2800" w:name="Tc_snHUYezyQ02MLcdofmo8lw_7_4"/>
      <w:bookmarkStart w:id="2801" w:name="Tc_IJyHl7g-9kayleszWwDIsw_7_2"/>
      <w:bookmarkStart w:id="2802" w:name="Tc_Hcpgmx7RWE2uwFGq-88-YQ_7_0"/>
      <w:bookmarkStart w:id="2803" w:name="Tc_J5E52GBE-UKDxRUfYZE1Lg_6_6"/>
      <w:bookmarkStart w:id="2804" w:name="Tc_NcLgOzEHOEuZPjw5OiRVaw_6_2"/>
      <w:bookmarkStart w:id="2805" w:name="Tc_8UclgNz_bU2Ufn2NUwW_Xg_6_0"/>
      <w:bookmarkStart w:id="2806" w:name="Tc_t4w1q4AABUSMJ7Jyccu-fw_5_6"/>
      <w:bookmarkStart w:id="2807" w:name="Tc_nDVFTKP-Mkepepffp-zH-g_5_4"/>
      <w:bookmarkStart w:id="2808" w:name="Tc_oY7Bs4fvZEqZGE7sUPx8Bg_5_0"/>
      <w:bookmarkStart w:id="2809" w:name="Tc_Qz_etlL00UiCJ6sgQs8FuQ_4_4"/>
      <w:bookmarkStart w:id="2810" w:name="Tc_TP7pkWTVqUit1hK5USEOYQ_4_2"/>
      <w:bookmarkStart w:id="2811" w:name="Tc_SF1-tgegJUK39CJcOaQtdA_4_0"/>
      <w:bookmarkStart w:id="2812" w:name="Tc_pJ8bnVjjV0yeav5qhjMMpQ_3_4"/>
      <w:bookmarkStart w:id="2813" w:name="Tc_uPNIm8KJaUON-h3xhFun_A_3_2"/>
      <w:bookmarkStart w:id="2814" w:name="Tc_zVxI-nHfikm-mLNbKiMbzw_3_0"/>
      <w:bookmarkStart w:id="2815" w:name="Tc_-qGuz8EibUSeDelgKHJSLA_2_6"/>
      <w:bookmarkStart w:id="2816" w:name="Tc_Pd8nPicj30alGuB04VTCiw_2_4"/>
      <w:bookmarkStart w:id="2817" w:name="Tc_SRPJ3JdGkUuhtygLWjYzog_2_2"/>
      <w:bookmarkStart w:id="2818" w:name="Tc_ZjO4YRH0RU-n6mNWZ85r0Q_1_2"/>
      <w:bookmarkStart w:id="2819" w:name="_d4193f23_eff5_4a59_8acd_fc6804ce8b3c"/>
      <w:bookmarkStart w:id="2820" w:name="Tc_Uk1qvLgGi0yYzeQ57Klr5w_12_0"/>
      <w:bookmarkStart w:id="2821" w:name="Tc_q65AySAtYkSDQJ8YmvL_aQ_11_0"/>
      <w:bookmarkStart w:id="2822" w:name="Tc_wgh9JQ7k3024gSbrrE1ciQ_10_0"/>
      <w:bookmarkStart w:id="2823" w:name="Tc_zOpmFsExpU6-Kr3p6TZyzQ_9_0"/>
      <w:bookmarkStart w:id="2824" w:name="Tc_Mu995WVYg0G-Cx4UnuFnsw_8_0"/>
      <w:bookmarkStart w:id="2825" w:name="Tc_opjoeNxfY0qoYi9meRY6-g_7_0"/>
      <w:bookmarkStart w:id="2826" w:name="Tc_SCzhenviBkmSZMEr8uM0bw_6_2"/>
      <w:bookmarkStart w:id="2827" w:name="Tc_LkRrSTW-3E65iU8zA0dB9A_6_0"/>
      <w:bookmarkStart w:id="2828" w:name="Tc_OClL4mrwL02US1NVO_n_0w_5_0"/>
      <w:bookmarkStart w:id="2829" w:name="Tc_6DhNUBhacEKjgBLeyq9-LQ_4_0"/>
      <w:bookmarkStart w:id="2830" w:name="Tc_eeRWFVhm5EaH-RQkBob7Kw_3_6"/>
      <w:bookmarkStart w:id="2831" w:name="Tc_od1VaHtt-kC3w8_nxlo_Dw_3_4"/>
      <w:bookmarkStart w:id="2832" w:name="Tc_g9VSyhEKLEKLv8XumsjRfg_3_2"/>
      <w:bookmarkStart w:id="2833" w:name="Tc_ntGxElBgCEa37FSfRa7KpQ_2_6"/>
      <w:bookmarkStart w:id="2834" w:name="Tc_6skYtlTWD0OHdyv2eYC3bQ_2_4"/>
      <w:bookmarkStart w:id="2835" w:name="Tc_Tk1nJ4fu20W7ktz9w5AyAA_2_2"/>
      <w:bookmarkStart w:id="2836" w:name="Tc_igrZHeRUS0-ctHUpwG7PCg_1_2"/>
      <w:bookmarkStart w:id="2837" w:name="_c8c92db8_33f0_4d32_a92e_fdda88b64601"/>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p>
    <w:tbl>
      <w:tblPr>
        <w:tblW w:w="2612" w:type="dxa"/>
        <w:jc w:val="left"/>
        <w:tblInd w:w="0" w:type="dxa"/>
        <w:tblLayout w:type="fixed"/>
        <w:tblCellMar>
          <w:top w:w="0" w:type="dxa"/>
          <w:left w:w="0" w:type="dxa"/>
          <w:bottom w:w="0" w:type="dxa"/>
          <w:right w:w="0" w:type="dxa"/>
        </w:tblCellMar>
      </w:tblPr>
      <w:tblGrid>
        <w:gridCol w:w="376"/>
        <w:gridCol w:w="223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21.</w:t>
            </w:r>
          </w:p>
        </w:tc>
        <w:tc>
          <w:tcPr>
            <w:tcW w:w="223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basic and diluted net loss per ordinary share computation and provides a reconciliation of the numerator and denominator for the years presented:</w:t>
      </w:r>
    </w:p>
    <w:p>
      <w:pPr>
        <w:pStyle w:val="TextBody"/>
        <w:bidi w:val="0"/>
        <w:spacing w:lineRule="auto" w:line="307"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699"/>
        <w:gridCol w:w="346"/>
        <w:gridCol w:w="1141"/>
        <w:gridCol w:w="346"/>
        <w:gridCol w:w="1141"/>
        <w:gridCol w:w="346"/>
        <w:gridCol w:w="1186"/>
      </w:tblGrid>
      <w:tr>
        <w:trPr/>
        <w:tc>
          <w:tcPr>
            <w:tcW w:w="5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618865" cy="175260"/>
                      <wp:effectExtent l="0" t="0" r="0" b="0"/>
                      <wp:wrapNone/>
                      <wp:docPr id="516" name="Frame511"/>
                      <a:graphic xmlns:a="http://schemas.openxmlformats.org/drawingml/2006/main">
                        <a:graphicData uri="http://schemas.microsoft.com/office/word/2010/wordprocessingShape">
                          <wps:wsp>
                            <wps:cNvSpPr txBox="1"/>
                            <wps:spPr>
                              <a:xfrm>
                                <a:off x="0" y="0"/>
                                <a:ext cx="361886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9710" cy="175260"/>
                      <wp:effectExtent l="0" t="0" r="0" b="0"/>
                      <wp:wrapNone/>
                      <wp:docPr id="517"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724535" cy="175260"/>
                      <wp:effectExtent l="0" t="0" r="0" b="0"/>
                      <wp:wrapNone/>
                      <wp:docPr id="518" name="Frame51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19"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724535" cy="175260"/>
                      <wp:effectExtent l="0" t="0" r="0" b="0"/>
                      <wp:wrapNone/>
                      <wp:docPr id="520" name="Frame5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1"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753110" cy="175260"/>
                      <wp:effectExtent l="0" t="0" r="0" b="0"/>
                      <wp:wrapNone/>
                      <wp:docPr id="522" name="Frame51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69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16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69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569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569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pPr>
            <w:r>
              <w:rPr/>
              <w:t>  ​</w:t>
            </w:r>
          </w:p>
        </w:tc>
      </w:tr>
      <w:tr>
        <w:trPr/>
        <w:tc>
          <w:tcPr>
            <w:tcW w:w="569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(464,220)</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(1,104,925)</w:t>
            </w:r>
          </w:p>
        </w:tc>
        <w:tc>
          <w:tcPr>
            <w:tcW w:w="346" w:type="dxa"/>
            <w:tcBorders/>
            <w:vAlign w:val="center"/>
          </w:tcPr>
          <w:p>
            <w:pPr>
              <w:pStyle w:val="TableContents"/>
              <w:bidi w:val="0"/>
              <w:spacing w:lineRule="auto" w:line="307" w:before="0" w:after="160"/>
              <w:ind w:left="0" w:right="0" w:hanging="0"/>
              <w:jc w:val="left"/>
              <w:rPr/>
            </w:pPr>
            <w:r>
              <w:rPr/>
              <w:t>​</w:t>
            </w:r>
          </w:p>
        </w:tc>
        <w:tc>
          <w:tcPr>
            <w:tcW w:w="11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(742,001)</w:t>
            </w:r>
          </w:p>
        </w:tc>
      </w:tr>
      <w:tr>
        <w:trPr/>
        <w:tc>
          <w:tcPr>
            <w:tcW w:w="569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Accretion of redeemable convertible preferred shares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(2,979)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(15,121)</w:t>
            </w:r>
          </w:p>
        </w:tc>
      </w:tr>
      <w:tr>
        <w:trPr/>
        <w:tc>
          <w:tcPr>
            <w:tcW w:w="5699"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Numerator for basic and diluted net loss per ordinary share calculation</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(464,220)</w:t>
            </w:r>
          </w:p>
        </w:tc>
        <w:tc>
          <w:tcPr>
            <w:tcW w:w="346" w:type="dxa"/>
            <w:tcBorders/>
            <w:vAlign w:val="center"/>
          </w:tcPr>
          <w:p>
            <w:pPr>
              <w:pStyle w:val="TableContents"/>
              <w:bidi w:val="0"/>
              <w:spacing w:lineRule="auto" w:line="307" w:before="0" w:after="16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(1,107,904)</w:t>
            </w:r>
          </w:p>
        </w:tc>
        <w:tc>
          <w:tcPr>
            <w:tcW w:w="346" w:type="dxa"/>
            <w:tcBorders/>
            <w:vAlign w:val="center"/>
          </w:tcPr>
          <w:p>
            <w:pPr>
              <w:pStyle w:val="TableContents"/>
              <w:bidi w:val="0"/>
              <w:spacing w:lineRule="auto" w:line="307" w:before="0" w:after="16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(757,122)</w:t>
            </w:r>
          </w:p>
        </w:tc>
      </w:tr>
      <w:tr>
        <w:trPr/>
        <w:tc>
          <w:tcPr>
            <w:tcW w:w="569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6" w:type="dxa"/>
            <w:tcBorders/>
            <w:shd w:fill="CCEEFF" w:val="clear"/>
            <w:vAlign w:val="center"/>
          </w:tcPr>
          <w:p>
            <w:pPr>
              <w:pStyle w:val="TableContents"/>
              <w:bidi w:val="0"/>
              <w:spacing w:lineRule="auto" w:line="307" w:before="0" w:after="1"/>
              <w:ind w:left="0" w:right="0" w:hanging="0"/>
              <w:jc w:val="right"/>
              <w:rPr/>
            </w:pPr>
            <w:r>
              <w:rPr/>
              <w:t>  ​</w:t>
            </w:r>
          </w:p>
        </w:tc>
      </w:tr>
      <w:tr>
        <w:trPr/>
        <w:tc>
          <w:tcPr>
            <w:tcW w:w="5699"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basic and diluted</w:t>
            </w:r>
            <w:r>
              <w:rPr>
                <w:rFonts w:ascii="Times New Roman;Times;serif" w:hAnsi="Times New Roman;Times;serif"/>
                <w:sz w:val="15"/>
              </w:rPr>
              <w:t>1</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648,535,169</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645,227,356</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474,621,603</w:t>
            </w:r>
          </w:p>
        </w:tc>
      </w:tr>
      <w:tr>
        <w:trPr/>
        <w:tc>
          <w:tcPr>
            <w:tcW w:w="569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Denominator for basic and diluted net loss per ordinary share calculation</w:t>
            </w:r>
            <w:r>
              <w:rPr>
                <w:rFonts w:ascii="Times New Roman;Times;serif" w:hAnsi="Times New Roman;Times;serif"/>
                <w:b/>
                <w:sz w:val="15"/>
              </w:rPr>
              <w:t>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648,535,169</w:t>
            </w:r>
          </w:p>
        </w:tc>
        <w:tc>
          <w:tcPr>
            <w:tcW w:w="346" w:type="dxa"/>
            <w:tcBorders/>
            <w:shd w:fill="CCEEFF" w:val="clear"/>
            <w:vAlign w:val="center"/>
          </w:tcPr>
          <w:p>
            <w:pPr>
              <w:pStyle w:val="TableContents"/>
              <w:bidi w:val="0"/>
              <w:spacing w:lineRule="auto" w:line="307" w:before="0" w:after="16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645,227,356</w:t>
            </w:r>
          </w:p>
        </w:tc>
        <w:tc>
          <w:tcPr>
            <w:tcW w:w="346" w:type="dxa"/>
            <w:tcBorders/>
            <w:shd w:fill="CCEEFF" w:val="clear"/>
            <w:vAlign w:val="center"/>
          </w:tcPr>
          <w:p>
            <w:pPr>
              <w:pStyle w:val="TableContents"/>
              <w:bidi w:val="0"/>
              <w:spacing w:lineRule="auto" w:line="307" w:before="0" w:after="16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474,621,603</w:t>
            </w:r>
          </w:p>
        </w:tc>
      </w:tr>
      <w:tr>
        <w:trPr/>
        <w:tc>
          <w:tcPr>
            <w:tcW w:w="5699"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loss per ordinary share attributable to ordinary shareholders</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186" w:type="dxa"/>
            <w:tcBorders/>
            <w:vAlign w:val="center"/>
          </w:tcPr>
          <w:p>
            <w:pPr>
              <w:pStyle w:val="TableContents"/>
              <w:bidi w:val="0"/>
              <w:spacing w:lineRule="auto" w:line="307" w:before="0" w:after="160"/>
              <w:ind w:left="0" w:right="0" w:hanging="0"/>
              <w:jc w:val="left"/>
              <w:rPr/>
            </w:pPr>
            <w:r>
              <w:rPr/>
              <w:t>​</w:t>
            </w:r>
          </w:p>
        </w:tc>
      </w:tr>
      <w:tr>
        <w:trPr/>
        <w:tc>
          <w:tcPr>
            <w:tcW w:w="5699" w:type="dxa"/>
            <w:tcBorders/>
            <w:shd w:fill="CCEEFF" w:val="clear"/>
            <w:vAlign w:val="center"/>
          </w:tcPr>
          <w:p>
            <w:pPr>
              <w:pStyle w:val="TableContents"/>
              <w:bidi w:val="0"/>
              <w:spacing w:lineRule="auto" w:line="240" w:before="0" w:after="1"/>
              <w:ind w:left="0" w:right="0" w:hanging="0"/>
              <w:jc w:val="left"/>
              <w:rPr/>
            </w:pPr>
            <w:r>
              <w:rPr/>
              <w:t> – </w:t>
            </w:r>
            <w:r>
              <w:rPr>
                <w:rFonts w:ascii="Times New Roman;Times;serif" w:hAnsi="Times New Roman;Times;serif"/>
                <w:sz w:val="20"/>
              </w:rPr>
              <w:t xml:space="preserve">Basic and diluted </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bl>
    <w:p>
      <w:pPr>
        <w:pStyle w:val="TextBody"/>
        <w:bidi w:val="0"/>
        <w:spacing w:lineRule="auto" w:line="240" w:before="0" w:after="20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Shares outstanding for all periods reflect the adjustment for Recapitalization.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For the purposes of calculating loss per share for the years ended December 31, 2025, 2024 and 2023, the weighted average number of ordinary shares outstanding used in the calculation has been retrospectively adjusted to reflect the Recapitalization (see Note 1(b)), as if the Recapitalization had occurred at the beginning of the earliest period presented. The calculation of basic loss per share excludes 1,417,544 unvested earn-out shares issued to the Sponsor which can only be vested upon meeting certain conditions.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outstanding potentially dilutive ordinary share equivalents adjusted to reflect the effect of Recapitalization have been excluded from the computation of diluted net loss per share attributable to ordinary shareholders for the years presented:</w:t>
      </w:r>
    </w:p>
    <w:p>
      <w:pPr>
        <w:pStyle w:val="TextBody"/>
        <w:bidi w:val="0"/>
        <w:spacing w:lineRule="auto" w:line="307" w:before="0" w:after="160"/>
        <w:ind w:left="0" w:right="0" w:hanging="0"/>
        <w:jc w:val="left"/>
        <w:rPr/>
      </w:pPr>
      <w:r>
        <w:rPr/>
        <w:t>​</w:t>
      </w:r>
    </w:p>
    <w:tbl>
      <w:tblPr>
        <w:tblW w:w="8677" w:type="dxa"/>
        <w:jc w:val="left"/>
        <w:tblInd w:w="0" w:type="dxa"/>
        <w:tblLayout w:type="fixed"/>
        <w:tblCellMar>
          <w:top w:w="0" w:type="dxa"/>
          <w:left w:w="0" w:type="dxa"/>
          <w:bottom w:w="0" w:type="dxa"/>
          <w:right w:w="0" w:type="dxa"/>
        </w:tblCellMar>
      </w:tblPr>
      <w:tblGrid>
        <w:gridCol w:w="4216"/>
        <w:gridCol w:w="346"/>
        <w:gridCol w:w="1141"/>
        <w:gridCol w:w="346"/>
        <w:gridCol w:w="1036"/>
        <w:gridCol w:w="346"/>
        <w:gridCol w:w="124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677160" cy="175260"/>
                      <wp:effectExtent l="0" t="0" r="0" b="0"/>
                      <wp:wrapNone/>
                      <wp:docPr id="523" name="Frame51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19710" cy="175260"/>
                      <wp:effectExtent l="0" t="0" r="0" b="0"/>
                      <wp:wrapNone/>
                      <wp:docPr id="524"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724535" cy="175260"/>
                      <wp:effectExtent l="0" t="0" r="0" b="0"/>
                      <wp:wrapNone/>
                      <wp:docPr id="525" name="Frame5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19710" cy="175260"/>
                      <wp:effectExtent l="0" t="0" r="0" b="0"/>
                      <wp:wrapNone/>
                      <wp:docPr id="526"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57860" cy="175260"/>
                      <wp:effectExtent l="0" t="0" r="0" b="0"/>
                      <wp:wrapNone/>
                      <wp:docPr id="527" name="Frame5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28"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791210" cy="175260"/>
                      <wp:effectExtent l="0" t="0" r="0" b="0"/>
                      <wp:wrapNone/>
                      <wp:docPr id="529" name="Frame52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411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21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12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42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Redeemable convertible preferred shares (Note 17)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68,228,526</w:t>
            </w:r>
          </w:p>
        </w:tc>
      </w:tr>
      <w:tr>
        <w:trPr/>
        <w:tc>
          <w:tcPr>
            <w:tcW w:w="42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Exchangeable notes (i) (Note 14)</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36,709,165</w:t>
            </w:r>
          </w:p>
        </w:tc>
      </w:tr>
      <w:tr>
        <w:trPr/>
        <w:tc>
          <w:tcPr>
            <w:tcW w:w="42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2025 Convertible Notes(ii) (Note 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140,282,138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shd w:fill="CCEEFF" w:val="clear"/>
            <w:vAlign w:val="center"/>
          </w:tcPr>
          <w:p>
            <w:pPr>
              <w:pStyle w:val="TableContents"/>
              <w:bidi w:val="0"/>
              <w:spacing w:lineRule="auto" w:line="307" w:before="0" w:after="1"/>
              <w:ind w:left="0" w:right="0" w:hanging="0"/>
              <w:jc w:val="right"/>
              <w:rPr/>
            </w:pPr>
            <w:r>
              <w:rPr/>
              <w:t>—</w:t>
            </w:r>
          </w:p>
        </w:tc>
      </w:tr>
      <w:tr>
        <w:trPr/>
        <w:tc>
          <w:tcPr>
            <w:tcW w:w="42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2024 Convertible Notes (iii) (Note 15)</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31,779,905</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vAlign w:val="center"/>
          </w:tcPr>
          <w:p>
            <w:pPr>
              <w:pStyle w:val="TableContents"/>
              <w:bidi w:val="0"/>
              <w:spacing w:lineRule="auto" w:line="307" w:before="0" w:after="1"/>
              <w:ind w:left="0" w:right="0" w:hanging="0"/>
              <w:jc w:val="right"/>
              <w:rPr/>
            </w:pPr>
            <w:r>
              <w:rPr/>
              <w:t>—</w:t>
            </w:r>
          </w:p>
        </w:tc>
      </w:tr>
      <w:tr>
        <w:trPr/>
        <w:tc>
          <w:tcPr>
            <w:tcW w:w="42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2023 Convertible Notes (iv) (Note 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2,029,407</w:t>
            </w:r>
          </w:p>
        </w:tc>
      </w:tr>
      <w:tr>
        <w:trPr/>
        <w:tc>
          <w:tcPr>
            <w:tcW w:w="42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 options(v)</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12,051,138</w:t>
            </w:r>
          </w:p>
        </w:tc>
        <w:tc>
          <w:tcPr>
            <w:tcW w:w="346"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13,570,227</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10,073,233</w:t>
            </w:r>
          </w:p>
        </w:tc>
      </w:tr>
      <w:tr>
        <w:trPr/>
        <w:tc>
          <w:tcPr>
            <w:tcW w:w="42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Warrant (vi)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711,044</w:t>
            </w:r>
          </w:p>
        </w:tc>
      </w:tr>
      <w:tr>
        <w:trPr/>
        <w:tc>
          <w:tcPr>
            <w:tcW w:w="42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Meritz put option (vii) (Note 13)</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32,500,000</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vAlign w:val="center"/>
          </w:tcPr>
          <w:p>
            <w:pPr>
              <w:pStyle w:val="TableContents"/>
              <w:bidi w:val="0"/>
              <w:spacing w:lineRule="auto" w:line="307" w:before="0" w:after="1"/>
              <w:ind w:left="0" w:right="0" w:hanging="0"/>
              <w:jc w:val="right"/>
              <w:rPr/>
            </w:pPr>
            <w:r>
              <w:rPr/>
              <w:t>—</w:t>
            </w:r>
          </w:p>
        </w:tc>
      </w:tr>
      <w:tr>
        <w:trPr/>
        <w:tc>
          <w:tcPr>
            <w:tcW w:w="42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Public Warrant (viii) (Note 12)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9,054,522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9,054,522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shd w:fill="CCEEFF" w:val="clear"/>
            <w:vAlign w:val="center"/>
          </w:tcPr>
          <w:p>
            <w:pPr>
              <w:pStyle w:val="TableContents"/>
              <w:bidi w:val="0"/>
              <w:spacing w:lineRule="auto" w:line="307" w:before="0" w:after="1"/>
              <w:ind w:left="0" w:right="0" w:hanging="0"/>
              <w:jc w:val="right"/>
              <w:rPr/>
            </w:pPr>
            <w:r>
              <w:rPr/>
              <w:t>—</w:t>
            </w:r>
          </w:p>
        </w:tc>
      </w:tr>
      <w:tr>
        <w:trPr/>
        <w:tc>
          <w:tcPr>
            <w:tcW w:w="42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xml:space="preserve">Sponsor Warrant (viii) (Note 12) </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5,486,784</w:t>
            </w:r>
          </w:p>
        </w:tc>
        <w:tc>
          <w:tcPr>
            <w:tcW w:w="346"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5,486,784</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vAlign w:val="center"/>
          </w:tcPr>
          <w:p>
            <w:pPr>
              <w:pStyle w:val="TableContents"/>
              <w:bidi w:val="0"/>
              <w:spacing w:lineRule="auto" w:line="307" w:before="0" w:after="1"/>
              <w:ind w:left="0" w:right="0" w:hanging="0"/>
              <w:jc w:val="right"/>
              <w:rPr/>
            </w:pPr>
            <w:r>
              <w:rPr/>
              <w:t>—</w:t>
            </w:r>
          </w:p>
        </w:tc>
      </w:tr>
      <w:tr>
        <w:trPr/>
        <w:tc>
          <w:tcPr>
            <w:tcW w:w="42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ATW Convertible Notes (ix) (Note 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6,941,467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r>
      <w:tr>
        <w:trPr/>
        <w:tc>
          <w:tcPr>
            <w:tcW w:w="421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173,816,049</w:t>
            </w:r>
          </w:p>
        </w:tc>
        <w:tc>
          <w:tcPr>
            <w:tcW w:w="346" w:type="dxa"/>
            <w:tcBorders/>
            <w:vAlign w:val="center"/>
          </w:tcPr>
          <w:p>
            <w:pPr>
              <w:pStyle w:val="TableContents"/>
              <w:bidi w:val="0"/>
              <w:spacing w:lineRule="auto" w:line="307" w:before="0" w:after="16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92,391,438</w:t>
            </w:r>
          </w:p>
        </w:tc>
        <w:tc>
          <w:tcPr>
            <w:tcW w:w="346" w:type="dxa"/>
            <w:tcBorders/>
            <w:vAlign w:val="center"/>
          </w:tcPr>
          <w:p>
            <w:pPr>
              <w:pStyle w:val="TableContents"/>
              <w:bidi w:val="0"/>
              <w:spacing w:lineRule="auto" w:line="307" w:before="0" w:after="160"/>
              <w:ind w:left="0" w:right="0" w:hanging="0"/>
              <w:jc w:val="left"/>
              <w:rPr/>
            </w:pPr>
            <w:r>
              <w:rPr/>
              <w:t>​</w:t>
            </w:r>
          </w:p>
        </w:tc>
        <w:tc>
          <w:tcPr>
            <w:tcW w:w="1246"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117,751,375</w:t>
            </w:r>
          </w:p>
        </w:tc>
      </w:tr>
    </w:tbl>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(i)Represents the number of potentially dilutive ordinary shares equivalent after Recapitalization on as-if-converted basis, calculated by the fixed monetary value of US$367,092 (equivalent to RMB2,600,000) divided by the fixed conversion price of US$10 per share as of December 31, 2023.</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(ii)Represents the number of potentially dilutive ordinary shares equivalent on as-if-converted basis, calculated by the principal and accrued interest of US$189,263 divided by the estimated fair value of ordinary shares as of December 31, 2025, which was not included in the calculation of diluted loss per share due to their antidilutive effect.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(iii)Represents the number of potentially dilutive ordinary shares equivalent on as-if-converted basis, calculated by the fixed monetary value of US$109,784 divided by the estimated fair value of ordinary shares as of December 31, 2024, which was not included in the calculation of diluted loss per share due to their antidilutive effect.</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(iv)For the year ended December 31, 2023, the conversion of 2023 Convertible Notes was not included in the calculation of basic or diluted loss per share, as the conversion was contingent upon the consummation of the Business Combination, which was not satisfied as of December 31, 2023.</w:t>
      </w:r>
    </w:p>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(v)For the year ended December 31, 2025, 12,051,138 vested and unvested share options were not included in the calculation of basic or diluted loss per share as their exercise price was above underlying stock price.</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13,570,227 vested and unvested share options were not included in the calculation of basic or diluted loss per share due to their antidilutive effect using treasury stock method.</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For the year ended December 31, 2023, 10,073,233 outstanding share options were not included in the calculation of basic or diluted loss per share, as the issuance of such awards was contingent upon a qualified initial public offering (“Qualified IPO” which is defined as an initial public offering and listing or back door listing (including via Business Combination), which was not satisfied as of the year end.</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(vi)For the year ended December 31, 2023, the warrant to purchase maximum 711,044 Series Pre-A Preferred Shares after Recapitalization was not included in the calculation of basic or diluted loss per share, as the issuance of such shares was contingent upon a qualifying event, which was not satisfied as of December 31, 2023.</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(vii)For the year ended December 31, 2024, the exercise of put option issued to Meritz was not included in the calculation of diluted loss per share due to antidilutive effect using reverse treasury stock method.</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(viii)For the years ended December 31, 2025 and 2024, Public and Sponsor Warrants were not included in the calculation of diluted loss per share as their exercise price was above underlying stock price.</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(ix)Represents the number of potentially dilutive ordinary shares equivalent on as-if-converted basis, calculated by the principal and accrued interest of US$8,942 divided by the average closing market price of ordinary shares, which was not included in the calculation of diluted loss per share due to their antidilutive effect.</w:t>
      </w:r>
    </w:p>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2"/>
        </w:rPr>
        <w:t>(x)</w:t>
      </w:r>
      <w:r>
        <w:rPr>
          <w:rFonts w:ascii="Times New Roman;Times;serif" w:hAnsi="Times New Roman;Times;serif"/>
          <w:sz w:val="20"/>
        </w:rPr>
        <w:t>The exchange or conversion of Lightning Speed Exchangeable Notes, Kingway Exchangeable Notes and Subsidiary Convertible Note to its respective equity holders as mentioned in Note 14 and Note 15, respectively, have no effect on the number of the Company’s outstanding ordinary shares. The potential common shares of Lightning Speed, Kingway and Ningbo Robotics, subsidiaries of the Company, were excluded from the computation of diluted net loss per share attributable to ordinary shareholders for the periods presented due to their antidilutive effect.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2838" w:name="Tc_XS9piViu-Ei5hx61YvMzzQ_7_0"/>
      <w:bookmarkStart w:id="2839" w:name="Tc_HxNhwtjtz0i3xiVYlnhISQ_6_0"/>
      <w:bookmarkStart w:id="2840" w:name="Tc_zXHWSm4oqECvz1JFOj2osg_5_0"/>
      <w:bookmarkStart w:id="2841" w:name="Tc_MdbkUPWIk0-kmIl25b_O-Q_4_0"/>
      <w:bookmarkStart w:id="2842" w:name="Tc_qSOrZAZFB0-oQb5UlZwEcg_3_6"/>
      <w:bookmarkStart w:id="2843" w:name="Tc_lDTUct32VEKxsUuv36v8ew_3_4"/>
      <w:bookmarkStart w:id="2844" w:name="Tc_yGCu5KXyu0WEuJ0k4KUSTQ_3_2"/>
      <w:bookmarkStart w:id="2845" w:name="Tc_w2fVh1pntUSmdTp_kY1FRQ_2_6"/>
      <w:bookmarkStart w:id="2846" w:name="Tc_BGGI8CqBR0SH4Go9sHuQyQ_2_4"/>
      <w:bookmarkStart w:id="2847" w:name="Tc_qJj6GXwqYkOAqdwxJbqWxw_2_2"/>
      <w:bookmarkStart w:id="2848" w:name="Tc_hM1nq2QCOkKfCeqxv1XnyA_1_2"/>
      <w:bookmarkStart w:id="2849" w:name="Tc_ex1anvPqR0mRenv_3-Dddw_26_0"/>
      <w:bookmarkStart w:id="2850" w:name="Tc_XOPwDlHL4UmtFcEyxdVjAg_25_0"/>
      <w:bookmarkStart w:id="2851" w:name="Tc_P5ek0TK6wEGN4VMY-A8sGQ_23_0"/>
      <w:bookmarkStart w:id="2852" w:name="Tc_p3vsUwfoHEqdy-YVNZ6M6g_22_0"/>
      <w:bookmarkStart w:id="2853" w:name="Tc_BePyAQJ8k0qKGVq7BYE9vQ_21_0"/>
      <w:bookmarkStart w:id="2854" w:name="Tc_v3flQv0sh0a5pCdbyRSaKQ_19_0"/>
      <w:bookmarkStart w:id="2855" w:name="Tc_zGRlJkbE_UWJLFz-zG2Jiw_18_0"/>
      <w:bookmarkStart w:id="2856" w:name="Tc_deedXkJpgkuMj5sgrmF_3g_17_0"/>
      <w:bookmarkStart w:id="2857" w:name="Tc_Q5gdqMkBDEKLZvBbBUXpMA_15_0"/>
      <w:bookmarkStart w:id="2858" w:name="Tc_1tPNOk9w-k2G0LwDrKFjig_13_0"/>
      <w:bookmarkStart w:id="2859" w:name="Tc_I1XJY4whLkanqqK66dacEg_12_0"/>
      <w:bookmarkStart w:id="2860" w:name="Tc_ZfRcp-2h-E2KmapIRGgrTg_11_0"/>
      <w:bookmarkStart w:id="2861" w:name="Tc_5IVsDUz9dkGwv5BODEwz_w_10_0"/>
      <w:bookmarkStart w:id="2862" w:name="Tc_PcC30GXCs0uWFZ74h7639A_8_0"/>
      <w:bookmarkStart w:id="2863" w:name="Tc_XjVazchrO0SoMD2kNEXXHQ_7_0"/>
      <w:bookmarkStart w:id="2864" w:name="Tc_T1YGulc-NEiFF_0KIO5Psg_6_0"/>
      <w:bookmarkStart w:id="2865" w:name="Tc_efcLP7yUbEafYspfA-7-gw_5_0"/>
      <w:bookmarkStart w:id="2866" w:name="Tc_q4jiF0-vwECZtyrSfXQz7A_4_0"/>
      <w:bookmarkStart w:id="2867" w:name="Tc_EJZEzSVnN0-o1_Z4lb5Z8w_3_6"/>
      <w:bookmarkStart w:id="2868" w:name="Tc__-gfdMaclkqXu8Z-N6Rnqw_3_4"/>
      <w:bookmarkStart w:id="2869" w:name="Tc_mbG6HBwfTkSwj-8uAJ-7_A_3_2"/>
      <w:bookmarkStart w:id="2870" w:name="Tc_2uvFD3kuMk2MXRu9tsJFQA_2_6"/>
      <w:bookmarkStart w:id="2871" w:name="Tc_u6g6DrFJ3EOTl0eN-F_b2A_2_4"/>
      <w:bookmarkStart w:id="2872" w:name="Tc_gNdNXhIJEUGVgCY--eMbOg_2_2"/>
      <w:bookmarkStart w:id="2873" w:name="Tc_1qail4HYI0KSZygaqbx_aQ_1_2"/>
      <w:bookmarkStart w:id="2874" w:name="_3e4751da_1015_44c7_8980_fba0bac8ed12"/>
      <w:bookmarkStart w:id="2875" w:name="Tc_XS9piViu-Ei5hx61YvMzzQ_7_0"/>
      <w:bookmarkStart w:id="2876" w:name="Tc_HxNhwtjtz0i3xiVYlnhISQ_6_0"/>
      <w:bookmarkStart w:id="2877" w:name="Tc_zXHWSm4oqECvz1JFOj2osg_5_0"/>
      <w:bookmarkStart w:id="2878" w:name="Tc_MdbkUPWIk0-kmIl25b_O-Q_4_0"/>
      <w:bookmarkStart w:id="2879" w:name="Tc_qSOrZAZFB0-oQb5UlZwEcg_3_6"/>
      <w:bookmarkStart w:id="2880" w:name="Tc_lDTUct32VEKxsUuv36v8ew_3_4"/>
      <w:bookmarkStart w:id="2881" w:name="Tc_yGCu5KXyu0WEuJ0k4KUSTQ_3_2"/>
      <w:bookmarkStart w:id="2882" w:name="Tc_w2fVh1pntUSmdTp_kY1FRQ_2_6"/>
      <w:bookmarkStart w:id="2883" w:name="Tc_BGGI8CqBR0SH4Go9sHuQyQ_2_4"/>
      <w:bookmarkStart w:id="2884" w:name="Tc_qJj6GXwqYkOAqdwxJbqWxw_2_2"/>
      <w:bookmarkStart w:id="2885" w:name="Tc_hM1nq2QCOkKfCeqxv1XnyA_1_2"/>
      <w:bookmarkStart w:id="2886" w:name="Tc_ex1anvPqR0mRenv_3-Dddw_26_0"/>
      <w:bookmarkStart w:id="2887" w:name="Tc_XOPwDlHL4UmtFcEyxdVjAg_25_0"/>
      <w:bookmarkStart w:id="2888" w:name="Tc_P5ek0TK6wEGN4VMY-A8sGQ_23_0"/>
      <w:bookmarkStart w:id="2889" w:name="Tc_p3vsUwfoHEqdy-YVNZ6M6g_22_0"/>
      <w:bookmarkStart w:id="2890" w:name="Tc_BePyAQJ8k0qKGVq7BYE9vQ_21_0"/>
      <w:bookmarkStart w:id="2891" w:name="Tc_v3flQv0sh0a5pCdbyRSaKQ_19_0"/>
      <w:bookmarkStart w:id="2892" w:name="Tc_zGRlJkbE_UWJLFz-zG2Jiw_18_0"/>
      <w:bookmarkStart w:id="2893" w:name="Tc_deedXkJpgkuMj5sgrmF_3g_17_0"/>
      <w:bookmarkStart w:id="2894" w:name="Tc_Q5gdqMkBDEKLZvBbBUXpMA_15_0"/>
      <w:bookmarkStart w:id="2895" w:name="Tc_1tPNOk9w-k2G0LwDrKFjig_13_0"/>
      <w:bookmarkStart w:id="2896" w:name="Tc_I1XJY4whLkanqqK66dacEg_12_0"/>
      <w:bookmarkStart w:id="2897" w:name="Tc_ZfRcp-2h-E2KmapIRGgrTg_11_0"/>
      <w:bookmarkStart w:id="2898" w:name="Tc_5IVsDUz9dkGwv5BODEwz_w_10_0"/>
      <w:bookmarkStart w:id="2899" w:name="Tc_PcC30GXCs0uWFZ74h7639A_8_0"/>
      <w:bookmarkStart w:id="2900" w:name="Tc_XjVazchrO0SoMD2kNEXXHQ_7_0"/>
      <w:bookmarkStart w:id="2901" w:name="Tc_T1YGulc-NEiFF_0KIO5Psg_6_0"/>
      <w:bookmarkStart w:id="2902" w:name="Tc_efcLP7yUbEafYspfA-7-gw_5_0"/>
      <w:bookmarkStart w:id="2903" w:name="Tc_q4jiF0-vwECZtyrSfXQz7A_4_0"/>
      <w:bookmarkStart w:id="2904" w:name="Tc_EJZEzSVnN0-o1_Z4lb5Z8w_3_6"/>
      <w:bookmarkStart w:id="2905" w:name="Tc__-gfdMaclkqXu8Z-N6Rnqw_3_4"/>
      <w:bookmarkStart w:id="2906" w:name="Tc_mbG6HBwfTkSwj-8uAJ-7_A_3_2"/>
      <w:bookmarkStart w:id="2907" w:name="Tc_2uvFD3kuMk2MXRu9tsJFQA_2_6"/>
      <w:bookmarkStart w:id="2908" w:name="Tc_u6g6DrFJ3EOTl0eN-F_b2A_2_4"/>
      <w:bookmarkStart w:id="2909" w:name="Tc_gNdNXhIJEUGVgCY--eMbOg_2_2"/>
      <w:bookmarkStart w:id="2910" w:name="Tc_1qail4HYI0KSZygaqbx_aQ_1_2"/>
      <w:bookmarkStart w:id="2911" w:name="_3e4751da_1015_44c7_8980_fba0bac8ed12"/>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p>
    <w:tbl>
      <w:tblPr>
        <w:tblW w:w="1577" w:type="dxa"/>
        <w:jc w:val="left"/>
        <w:tblInd w:w="0" w:type="dxa"/>
        <w:tblLayout w:type="fixed"/>
        <w:tblCellMar>
          <w:top w:w="0" w:type="dxa"/>
          <w:left w:w="0" w:type="dxa"/>
          <w:bottom w:w="0" w:type="dxa"/>
          <w:right w:w="0" w:type="dxa"/>
        </w:tblCellMar>
      </w:tblPr>
      <w:tblGrid>
        <w:gridCol w:w="376"/>
        <w:gridCol w:w="1201"/>
      </w:tblGrid>
      <w:tr>
        <w:trPr/>
        <w:tc>
          <w:tcPr>
            <w:tcW w:w="376" w:type="dxa"/>
            <w:tcBorders/>
            <w:vAlign w:val="center"/>
          </w:tcPr>
          <w:p>
            <w:pPr>
              <w:pStyle w:val="TableContents"/>
              <w:bidi w:val="0"/>
              <w:spacing w:lineRule="auto" w:line="285" w:before="0" w:after="160"/>
              <w:jc w:val="left"/>
              <w:rPr>
                <w:rFonts w:ascii="Times New Roman;Times;serif" w:hAnsi="Times New Roman;Times;serif"/>
                <w:b/>
                <w:sz w:val="20"/>
              </w:rPr>
            </w:pPr>
            <w:r>
              <w:rPr>
                <w:rFonts w:ascii="Times New Roman;Times;serif" w:hAnsi="Times New Roman;Times;serif"/>
                <w:b/>
                <w:sz w:val="20"/>
              </w:rPr>
              <w:t>22.</w:t>
            </w:r>
          </w:p>
        </w:tc>
        <w:tc>
          <w:tcPr>
            <w:tcW w:w="1201" w:type="dxa"/>
            <w:tcBorders/>
            <w:vAlign w:val="center"/>
          </w:tcPr>
          <w:p>
            <w:pPr>
              <w:pStyle w:val="TableContents"/>
              <w:bidi w:val="0"/>
              <w:spacing w:lineRule="auto" w:line="285" w:before="0" w:after="160"/>
              <w:jc w:val="left"/>
              <w:rPr>
                <w:rFonts w:ascii="Times New Roman;Times;serif" w:hAnsi="Times New Roman;Times;serif"/>
                <w:b/>
                <w:sz w:val="20"/>
              </w:rPr>
            </w:pPr>
            <w:r>
              <w:rPr>
                <w:rFonts w:ascii="Times New Roman;Times;serif" w:hAnsi="Times New Roman;Times;serif"/>
                <w:b/>
                <w:sz w:val="20"/>
              </w:rPr>
              <w:t>REVENUES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Group’s revenues were disaggregated by service lines as follows:</w:t>
      </w:r>
    </w:p>
    <w:p>
      <w:pPr>
        <w:pStyle w:val="TextBody"/>
        <w:bidi w:val="0"/>
        <w:spacing w:lineRule="auto" w:line="307" w:before="0" w:after="160"/>
        <w:ind w:left="0" w:right="0" w:hanging="0"/>
        <w:jc w:val="left"/>
        <w:rPr/>
      </w:pPr>
      <w:r>
        <w:rPr/>
        <w:t>​</w:t>
      </w:r>
    </w:p>
    <w:tbl>
      <w:tblPr>
        <w:tblW w:w="6112" w:type="dxa"/>
        <w:jc w:val="left"/>
        <w:tblInd w:w="0" w:type="dxa"/>
        <w:tblLayout w:type="fixed"/>
        <w:tblCellMar>
          <w:top w:w="0" w:type="dxa"/>
          <w:left w:w="0" w:type="dxa"/>
          <w:bottom w:w="0" w:type="dxa"/>
          <w:right w:w="0" w:type="dxa"/>
        </w:tblCellMar>
      </w:tblPr>
      <w:tblGrid>
        <w:gridCol w:w="2626"/>
        <w:gridCol w:w="346"/>
        <w:gridCol w:w="781"/>
        <w:gridCol w:w="346"/>
        <w:gridCol w:w="781"/>
        <w:gridCol w:w="346"/>
        <w:gridCol w:w="88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667510" cy="175260"/>
                      <wp:effectExtent l="0" t="0" r="0" b="0"/>
                      <wp:wrapNone/>
                      <wp:docPr id="530" name="Frame525"/>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31"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95935" cy="175260"/>
                      <wp:effectExtent l="0" t="0" r="0" b="0"/>
                      <wp:wrapNone/>
                      <wp:docPr id="532" name="Frame5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3"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95935" cy="175260"/>
                      <wp:effectExtent l="0" t="0" r="0" b="0"/>
                      <wp:wrapNone/>
                      <wp:docPr id="534" name="Frame5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35"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62610" cy="175260"/>
                      <wp:effectExtent l="0" t="0" r="0" b="0"/>
                      <wp:wrapNone/>
                      <wp:docPr id="536" name="Frame5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6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26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6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Service line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pPr>
            <w:r>
              <w:rPr/>
              <w:t>  ​</w:t>
            </w:r>
          </w:p>
        </w:tc>
      </w:tr>
      <w:tr>
        <w:trPr/>
        <w:tc>
          <w:tcPr>
            <w:tcW w:w="26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Sales of goods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pPr>
            <w:r>
              <w:rPr/>
              <w:t>  ​</w:t>
            </w:r>
          </w:p>
        </w:tc>
      </w:tr>
      <w:tr>
        <w:trPr/>
        <w:tc>
          <w:tcPr>
            <w:tcW w:w="2626" w:type="dxa"/>
            <w:tcBorders/>
            <w:shd w:fill="CCEEFF" w:val="clear"/>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EV lifestyle models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351,860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627,683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464,172</w:t>
            </w:r>
          </w:p>
        </w:tc>
      </w:tr>
      <w:tr>
        <w:trPr/>
        <w:tc>
          <w:tcPr>
            <w:tcW w:w="2626" w:type="dxa"/>
            <w:tcBorders/>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Sports cars</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75,745</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211,771</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183,160</w:t>
            </w:r>
          </w:p>
        </w:tc>
      </w:tr>
      <w:tr>
        <w:trPr/>
        <w:tc>
          <w:tcPr>
            <w:tcW w:w="2626" w:type="dxa"/>
            <w:tcBorders/>
            <w:shd w:fill="CCEEFF" w:val="clear"/>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Parts and others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29,264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33,445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9,394</w:t>
            </w:r>
          </w:p>
        </w:tc>
      </w:tr>
      <w:tr>
        <w:trPr/>
        <w:tc>
          <w:tcPr>
            <w:tcW w:w="26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456,869</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872,899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656,726</w:t>
            </w:r>
          </w:p>
        </w:tc>
      </w:tr>
      <w:tr>
        <w:trPr/>
        <w:tc>
          <w:tcPr>
            <w:tcW w:w="26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Sales of goods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60"/>
              <w:ind w:left="0" w:right="0" w:hanging="0"/>
              <w:jc w:val="right"/>
              <w:rPr/>
            </w:pPr>
            <w:r>
              <w:rPr/>
              <w:t>​</w:t>
            </w:r>
          </w:p>
        </w:tc>
      </w:tr>
      <w:tr>
        <w:trPr/>
        <w:tc>
          <w:tcPr>
            <w:tcW w:w="2626" w:type="dxa"/>
            <w:tcBorders/>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EV lifestyle models</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2,016</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6,650</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1,093</w:t>
            </w:r>
          </w:p>
        </w:tc>
      </w:tr>
      <w:tr>
        <w:trPr/>
        <w:tc>
          <w:tcPr>
            <w:tcW w:w="2626" w:type="dxa"/>
            <w:tcBorders/>
            <w:shd w:fill="CCEEFF" w:val="clear"/>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Sports cars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3,318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951</w:t>
            </w:r>
          </w:p>
        </w:tc>
      </w:tr>
      <w:tr>
        <w:trPr/>
        <w:tc>
          <w:tcPr>
            <w:tcW w:w="2626" w:type="dxa"/>
            <w:tcBorders/>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Parts and others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3,627</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8,194</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1,388</w:t>
            </w:r>
          </w:p>
        </w:tc>
      </w:tr>
      <w:tr>
        <w:trPr/>
        <w:tc>
          <w:tcPr>
            <w:tcW w:w="26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5,933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18,162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3,432</w:t>
            </w:r>
          </w:p>
        </w:tc>
      </w:tr>
      <w:tr>
        <w:trPr/>
        <w:tc>
          <w:tcPr>
            <w:tcW w:w="262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462,802</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891,061</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660,158</w:t>
            </w:r>
          </w:p>
        </w:tc>
      </w:tr>
      <w:tr>
        <w:trPr/>
        <w:tc>
          <w:tcPr>
            <w:tcW w:w="26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60"/>
              <w:ind w:left="0" w:right="0" w:hanging="0"/>
              <w:jc w:val="right"/>
              <w:rPr/>
            </w:pPr>
            <w:r>
              <w:rPr/>
              <w:t>​</w:t>
            </w:r>
          </w:p>
        </w:tc>
      </w:tr>
      <w:tr>
        <w:trPr/>
        <w:tc>
          <w:tcPr>
            <w:tcW w:w="26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Services- third parties</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60"/>
              <w:ind w:left="0" w:right="0" w:hanging="0"/>
              <w:jc w:val="right"/>
              <w:rPr/>
            </w:pPr>
            <w:r>
              <w:rPr/>
              <w:t>​</w:t>
            </w:r>
          </w:p>
        </w:tc>
      </w:tr>
      <w:tr>
        <w:trPr/>
        <w:tc>
          <w:tcPr>
            <w:tcW w:w="2626" w:type="dxa"/>
            <w:tcBorders/>
            <w:shd w:fill="CCEEFF" w:val="clear"/>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R&amp;D service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3,448</w:t>
            </w:r>
          </w:p>
        </w:tc>
      </w:tr>
      <w:tr>
        <w:trPr/>
        <w:tc>
          <w:tcPr>
            <w:tcW w:w="2626" w:type="dxa"/>
            <w:tcBorders/>
            <w:vAlign w:val="center"/>
          </w:tcPr>
          <w:p>
            <w:pPr>
              <w:pStyle w:val="TableContents"/>
              <w:bidi w:val="0"/>
              <w:spacing w:lineRule="auto" w:line="240" w:before="0" w:after="1"/>
              <w:ind w:left="0" w:right="0" w:hanging="0"/>
              <w:jc w:val="left"/>
              <w:rPr/>
            </w:pPr>
            <w:r>
              <w:rPr/>
              <w:t> – </w:t>
            </w:r>
            <w:r>
              <w:rPr>
                <w:rFonts w:ascii="Times New Roman;Times;serif" w:hAnsi="Times New Roman;Times;serif"/>
                <w:sz w:val="20"/>
              </w:rPr>
              <w:t>others</w:t>
            </w:r>
            <w:r>
              <w:rPr>
                <w:rFonts w:ascii="Times New Roman;Times;serif" w:hAnsi="Times New Roman;Times;serif"/>
                <w:sz w:val="15"/>
              </w:rPr>
              <w:t>1</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8,367</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7,706</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2,829</w:t>
            </w:r>
          </w:p>
        </w:tc>
      </w:tr>
      <w:tr>
        <w:trPr/>
        <w:tc>
          <w:tcPr>
            <w:tcW w:w="26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27,251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8,930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6,277</w:t>
            </w:r>
          </w:p>
        </w:tc>
      </w:tr>
      <w:tr>
        <w:trPr/>
        <w:tc>
          <w:tcPr>
            <w:tcW w:w="26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Services-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60"/>
              <w:ind w:left="0" w:right="0" w:hanging="0"/>
              <w:jc w:val="right"/>
              <w:rPr/>
            </w:pPr>
            <w:r>
              <w:rPr/>
              <w:t>​</w:t>
            </w:r>
          </w:p>
        </w:tc>
      </w:tr>
      <w:tr>
        <w:trPr/>
        <w:tc>
          <w:tcPr>
            <w:tcW w:w="2626" w:type="dxa"/>
            <w:tcBorders/>
            <w:shd w:fill="CCEEFF" w:val="clear"/>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R&amp;D service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25,101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22,799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10,619</w:t>
            </w:r>
          </w:p>
        </w:tc>
      </w:tr>
      <w:tr>
        <w:trPr/>
        <w:tc>
          <w:tcPr>
            <w:tcW w:w="2626" w:type="dxa"/>
            <w:tcBorders/>
            <w:vAlign w:val="center"/>
          </w:tcPr>
          <w:p>
            <w:pPr>
              <w:pStyle w:val="TableContents"/>
              <w:bidi w:val="0"/>
              <w:spacing w:lineRule="auto" w:line="240" w:before="0" w:after="1"/>
              <w:ind w:left="0" w:right="0" w:hanging="0"/>
              <w:jc w:val="left"/>
              <w:rPr/>
            </w:pPr>
            <w:r>
              <w:rPr/>
              <w:t> – </w:t>
            </w:r>
            <w:r>
              <w:rPr>
                <w:rFonts w:ascii="Times New Roman;Times;serif" w:hAnsi="Times New Roman;Times;serif"/>
                <w:sz w:val="20"/>
              </w:rPr>
              <w:t>others</w:t>
            </w:r>
            <w:r>
              <w:rPr>
                <w:rFonts w:ascii="Times New Roman;Times;serif" w:hAnsi="Times New Roman;Times;serif"/>
                <w:sz w:val="15"/>
              </w:rPr>
              <w:t>2</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3,944</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1,559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1,954</w:t>
            </w:r>
          </w:p>
        </w:tc>
      </w:tr>
      <w:tr>
        <w:trPr/>
        <w:tc>
          <w:tcPr>
            <w:tcW w:w="26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29,045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24,358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12,573</w:t>
            </w:r>
          </w:p>
        </w:tc>
      </w:tr>
      <w:tr>
        <w:trPr/>
        <w:tc>
          <w:tcPr>
            <w:tcW w:w="262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56,296</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33,288</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18,850</w:t>
            </w:r>
          </w:p>
        </w:tc>
      </w:tr>
      <w:tr>
        <w:trPr/>
        <w:tc>
          <w:tcPr>
            <w:tcW w:w="26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519,098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924,349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679,008</w:t>
            </w:r>
          </w:p>
        </w:tc>
      </w:tr>
    </w:tbl>
    <w:p>
      <w:pPr>
        <w:pStyle w:val="TextBody"/>
        <w:bidi w:val="0"/>
        <w:spacing w:lineRule="auto" w:line="240" w:before="0" w:after="18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Others primarily include trainings, installed premium intelligent driving system and upgrades, free battery charging services, maintenance services and vehicle internet connection services.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xml:space="preserve"> Others primarily include commission service fee.</w:t>
      </w:r>
    </w:p>
    <w:p>
      <w:pPr>
        <w:pStyle w:val="TextBody"/>
        <w:bidi w:val="0"/>
        <w:spacing w:lineRule="auto" w:line="307" w:before="0" w:after="160"/>
        <w:ind w:left="0" w:right="0" w:hanging="0"/>
        <w:jc w:val="left"/>
        <w:rPr/>
      </w:pPr>
      <w:r>
        <w:rPr/>
        <w:t>​</w:t>
      </w:r>
    </w:p>
    <w:p>
      <w:pPr>
        <w:pStyle w:val="TextBody"/>
        <w:bidi w:val="0"/>
        <w:spacing w:lineRule="auto" w:line="285" w:before="40" w:after="200"/>
        <w:ind w:left="0" w:right="0" w:hanging="0"/>
        <w:jc w:val="left"/>
        <w:rPr>
          <w:rFonts w:ascii="Times New Roman;Times;serif" w:hAnsi="Times New Roman;Times;serif"/>
          <w:b/>
          <w:i/>
          <w:sz w:val="20"/>
        </w:rPr>
      </w:pPr>
      <w:r>
        <w:rPr>
          <w:rFonts w:ascii="Times New Roman;Times;serif" w:hAnsi="Times New Roman;Times;serif"/>
          <w:b/>
          <w:i/>
          <w:sz w:val="20"/>
        </w:rPr>
        <w:t>Geographic information</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Group’s revenues by geographic areas based on customers locations:</w:t>
      </w:r>
    </w:p>
    <w:p>
      <w:pPr>
        <w:pStyle w:val="TextBody"/>
        <w:bidi w:val="0"/>
        <w:spacing w:lineRule="auto" w:line="307" w:before="0" w:after="160"/>
        <w:ind w:left="0" w:right="0" w:hanging="0"/>
        <w:jc w:val="left"/>
        <w:rPr/>
      </w:pPr>
      <w:r>
        <w:rPr/>
        <w:t>​</w:t>
      </w:r>
    </w:p>
    <w:tbl>
      <w:tblPr>
        <w:tblW w:w="6412" w:type="dxa"/>
        <w:jc w:val="left"/>
        <w:tblInd w:w="0" w:type="dxa"/>
        <w:tblLayout w:type="fixed"/>
        <w:tblCellMar>
          <w:top w:w="0" w:type="dxa"/>
          <w:left w:w="0" w:type="dxa"/>
          <w:bottom w:w="0" w:type="dxa"/>
          <w:right w:w="0" w:type="dxa"/>
        </w:tblCellMar>
      </w:tblPr>
      <w:tblGrid>
        <w:gridCol w:w="2926"/>
        <w:gridCol w:w="346"/>
        <w:gridCol w:w="781"/>
        <w:gridCol w:w="346"/>
        <w:gridCol w:w="781"/>
        <w:gridCol w:w="346"/>
        <w:gridCol w:w="8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858010" cy="175260"/>
                      <wp:effectExtent l="0" t="0" r="0" b="0"/>
                      <wp:wrapNone/>
                      <wp:docPr id="537" name="Frame532"/>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38" name="Frame5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95935" cy="175260"/>
                      <wp:effectExtent l="0" t="0" r="0" b="0"/>
                      <wp:wrapNone/>
                      <wp:docPr id="539" name="Frame5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0"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95935" cy="175260"/>
                      <wp:effectExtent l="0" t="0" r="0" b="0"/>
                      <wp:wrapNone/>
                      <wp:docPr id="541" name="Frame5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2"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562610" cy="175260"/>
                      <wp:effectExtent l="0" t="0" r="0" b="0"/>
                      <wp:wrapNone/>
                      <wp:docPr id="543" name="Frame53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14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9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292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9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Chinese mainland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262,772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314,368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419,448</w:t>
            </w:r>
          </w:p>
        </w:tc>
      </w:tr>
      <w:tr>
        <w:trPr/>
        <w:tc>
          <w:tcPr>
            <w:tcW w:w="29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UK</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102,930</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208,255</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83,827</w:t>
            </w:r>
          </w:p>
        </w:tc>
      </w:tr>
      <w:tr>
        <w:trPr/>
        <w:tc>
          <w:tcPr>
            <w:tcW w:w="292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European countries, excluding UK</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112,028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209,724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97,217</w:t>
            </w:r>
          </w:p>
        </w:tc>
      </w:tr>
      <w:tr>
        <w:trPr/>
        <w:tc>
          <w:tcPr>
            <w:tcW w:w="292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All others</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41,368</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192,002</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78,516</w:t>
            </w:r>
          </w:p>
        </w:tc>
      </w:tr>
      <w:tr>
        <w:trPr/>
        <w:tc>
          <w:tcPr>
            <w:tcW w:w="292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519,098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924,349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679,008</w:t>
            </w:r>
          </w:p>
        </w:tc>
      </w:tr>
    </w:tbl>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hanging="0"/>
        <w:jc w:val="left"/>
        <w:rPr>
          <w:rFonts w:ascii="Times New Roman;Times;serif" w:hAnsi="Times New Roman;Times;serif"/>
          <w:b/>
          <w:i/>
          <w:sz w:val="20"/>
        </w:rPr>
      </w:pPr>
      <w:bookmarkStart w:id="2912" w:name="Tc_phT-Lhof-0SFF7vLpjTrqg_9_0"/>
      <w:bookmarkStart w:id="2913" w:name="Tc_yYJ7wZNcE0-CLjHFEZznQw_8_0"/>
      <w:bookmarkStart w:id="2914" w:name="Tc_BYO7w1Bk_km7nYBweXrjJQ_7_0"/>
      <w:bookmarkStart w:id="2915" w:name="Tc_VNjqhwrjJ0-gH6sn19vEgQ_6_0"/>
      <w:bookmarkStart w:id="2916" w:name="Tc_SeOcLoSd5kq7urOIkkrrZA_5_0"/>
      <w:bookmarkStart w:id="2917" w:name="Tc_mLw5DmmpYECNcHZlICnpMA_4_0"/>
      <w:bookmarkStart w:id="2918" w:name="Tc_JsuDfyIKLEWUIllCIt6zCQ_3_4"/>
      <w:bookmarkStart w:id="2919" w:name="Tc_ivPoP87YzUenpJ_PBZ23kQ_3_2"/>
      <w:bookmarkStart w:id="2920" w:name="Tc_A9AwC2XsCEGVm7X3PvoRCw_2_4"/>
      <w:bookmarkStart w:id="2921" w:name="Tc_yXnw4LLdS0GU38GKAt6k7w_2_2"/>
      <w:bookmarkStart w:id="2922" w:name="Tc_46KoKyQdUE-N4877R5ly7g_1_2"/>
      <w:bookmarkStart w:id="2923" w:name="_a1610522_8cc4_4ac4_9992_866b0260c650"/>
      <w:bookmarkEnd w:id="2912"/>
      <w:bookmarkEnd w:id="2913"/>
      <w:bookmarkEnd w:id="2914"/>
      <w:bookmarkEnd w:id="2915"/>
      <w:bookmarkEnd w:id="2916"/>
      <w:bookmarkEnd w:id="2917"/>
      <w:bookmarkEnd w:id="2918"/>
      <w:bookmarkEnd w:id="2919"/>
      <w:bookmarkEnd w:id="2920"/>
      <w:bookmarkEnd w:id="2921"/>
      <w:bookmarkEnd w:id="2922"/>
      <w:bookmarkEnd w:id="2923"/>
      <w:r>
        <w:rPr>
          <w:rFonts w:ascii="Times New Roman;Times;serif" w:hAnsi="Times New Roman;Times;serif"/>
          <w:b/>
          <w:i/>
          <w:sz w:val="20"/>
        </w:rPr>
        <w:t>Contract liabilities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Contract liabilities consisted of the following:</w:t>
      </w:r>
    </w:p>
    <w:p>
      <w:pPr>
        <w:pStyle w:val="TextBody"/>
        <w:bidi w:val="0"/>
        <w:spacing w:lineRule="auto" w:line="307" w:before="0" w:after="160"/>
        <w:ind w:left="0" w:right="0" w:hanging="0"/>
        <w:jc w:val="left"/>
        <w:rPr/>
      </w:pPr>
      <w:r>
        <w:rPr/>
        <w:t>​</w:t>
      </w:r>
    </w:p>
    <w:tbl>
      <w:tblPr>
        <w:tblW w:w="5990" w:type="dxa"/>
        <w:jc w:val="left"/>
        <w:tblInd w:w="0" w:type="dxa"/>
        <w:tblLayout w:type="fixed"/>
        <w:tblCellMar>
          <w:top w:w="0" w:type="dxa"/>
          <w:left w:w="0" w:type="dxa"/>
          <w:bottom w:w="0" w:type="dxa"/>
          <w:right w:w="0" w:type="dxa"/>
        </w:tblCellMar>
      </w:tblPr>
      <w:tblGrid>
        <w:gridCol w:w="3841"/>
        <w:gridCol w:w="346"/>
        <w:gridCol w:w="676"/>
        <w:gridCol w:w="346"/>
        <w:gridCol w:w="781"/>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439035" cy="175260"/>
                      <wp:effectExtent l="0" t="0" r="0" b="0"/>
                      <wp:wrapNone/>
                      <wp:docPr id="544" name="Frame539"/>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45"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429260" cy="175260"/>
                      <wp:effectExtent l="0" t="0" r="0" b="0"/>
                      <wp:wrapNone/>
                      <wp:docPr id="546" name="Frame5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47" name="Frame5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95935" cy="175260"/>
                      <wp:effectExtent l="0" t="0" r="0" b="0"/>
                      <wp:wrapNone/>
                      <wp:docPr id="548" name="Frame5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8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8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84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pPr>
            <w:r>
              <w:rPr/>
              <w:t>  ​</w:t>
            </w:r>
          </w:p>
        </w:tc>
      </w:tr>
      <w:tr>
        <w:trPr/>
        <w:tc>
          <w:tcPr>
            <w:tcW w:w="3841" w:type="dxa"/>
            <w:tcBorders/>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Contract liabilities – third parties</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18,459</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33,964</w:t>
            </w:r>
          </w:p>
        </w:tc>
      </w:tr>
      <w:tr>
        <w:trPr/>
        <w:tc>
          <w:tcPr>
            <w:tcW w:w="3841" w:type="dxa"/>
            <w:tcBorders/>
            <w:shd w:fill="CCEEFF" w:val="clear"/>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Contract liabilities – related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384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60"/>
              <w:ind w:left="0" w:right="0" w:hanging="0"/>
              <w:jc w:val="right"/>
              <w:rPr/>
            </w:pPr>
            <w:r>
              <w:rPr/>
              <w:t>​</w:t>
            </w:r>
          </w:p>
        </w:tc>
      </w:tr>
      <w:tr>
        <w:trPr/>
        <w:tc>
          <w:tcPr>
            <w:tcW w:w="3841" w:type="dxa"/>
            <w:tcBorders/>
            <w:shd w:fill="CCEEFF" w:val="clear"/>
            <w:vAlign w:val="center"/>
          </w:tcPr>
          <w:p>
            <w:pPr>
              <w:pStyle w:val="TableContents"/>
              <w:bidi w:val="0"/>
              <w:spacing w:lineRule="auto" w:line="307" w:before="0" w:after="1"/>
              <w:ind w:left="0" w:right="0" w:hanging="0"/>
              <w:jc w:val="left"/>
              <w:rPr/>
            </w:pPr>
            <w:r>
              <w:rPr/>
              <w:t> – </w:t>
            </w:r>
            <w:r>
              <w:rPr>
                <w:rFonts w:ascii="Times New Roman;Times;serif" w:hAnsi="Times New Roman;Times;serif"/>
                <w:sz w:val="20"/>
              </w:rPr>
              <w:t>Contract liabilities – third parties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7,458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8,683</w:t>
            </w:r>
          </w:p>
        </w:tc>
      </w:tr>
      <w:tr>
        <w:trPr/>
        <w:tc>
          <w:tcPr>
            <w:tcW w:w="384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Contract liabilities, current and non-current</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26,145</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42,797</w:t>
            </w:r>
          </w:p>
        </w:tc>
      </w:tr>
    </w:tbl>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This item is included in accrued expenses and other current liabilities — related parties in the consolidated balance sheets as of December 31, 2025 and 2024.</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Contract liabilities represent transaction price allocated to the performance obligations that are not yet satisfied or partially satisfied, which primarily arises from the undelivered vehicles, intelligent driving system, household charging piles, charging cards, free battery charging service, the extended lifetime warranty, maintenance service, vehicle internet connection services as well as technical research and development services. Amounts that are expected to recognize as revenues within one-year are included as current contract liabilities with the remaining balance recognized as other non-current liabilities.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Among the balance of contract liabilities of US$42,797 as of December 31, 2024, US$32,124 was recognized as revenue during the year ended December 31, 2025. The Group expects that US$30,445 of transaction price allocated to unsatisfied performance obligation as of December 31, 2025 will be recognized as revenues within one year. The remaining US$14,244 will be recognized over the remaining contract periods over 1 to 10 years.</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23.</w:t>
            </w:r>
          </w:p>
        </w:tc>
        <w:tc>
          <w:tcPr>
            <w:tcW w:w="292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FAIR VALUE MEASUREMENT</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Assets and liabilities measured at fair value on a recurring basis include derivative assets, investment securities, securities pledged to an investor, exchangeable notes, convertible notes, warrant liabilities and put option liabilities.</w:t>
      </w:r>
    </w:p>
    <w:p>
      <w:pPr>
        <w:pStyle w:val="TextBody"/>
        <w:bidi w:val="0"/>
        <w:spacing w:lineRule="auto" w:line="307" w:before="0" w:after="200"/>
        <w:ind w:left="0" w:right="0" w:firstLine="72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2924" w:name="Tc_-XxzldT0F0CZR8L6QuRvmA_16_6"/>
      <w:bookmarkStart w:id="2925" w:name="Tc_1XtwnX-0Y0uXN5DVs_cq-g_16_4"/>
      <w:bookmarkStart w:id="2926" w:name="Tc_21WqU5-azE2mO-Xe7nTznw_16_0"/>
      <w:bookmarkStart w:id="2927" w:name="Tc_H2CLocC5yUm9rnlnRtu-vw_15_6"/>
      <w:bookmarkStart w:id="2928" w:name="Tc_QEWNA_PV_E-spH293wqdaA_15_4"/>
      <w:bookmarkStart w:id="2929" w:name="Tc_uDVoXXySeU6ZZBE6JrfGYw_15_0"/>
      <w:bookmarkStart w:id="2930" w:name="Tc_YgJLUeJ-QUahmBwQdK0_7Q_14_6"/>
      <w:bookmarkStart w:id="2931" w:name="Tc_nhVhpFmyQkKhw5Y2OGB53w_14_0"/>
      <w:bookmarkStart w:id="2932" w:name="Tc_CJVyoLsfGUOUDSX-_P3BrA_13_6"/>
      <w:bookmarkStart w:id="2933" w:name="Tc_jQdBX_EyhUyXV0zAeP1mqg_13_4"/>
      <w:bookmarkStart w:id="2934" w:name="Tc__0soJ_URrE-K18xRmVdBQA_13_0"/>
      <w:bookmarkStart w:id="2935" w:name="Tc_up6GHVhPlkypYovCytIrdw_12_0"/>
      <w:bookmarkStart w:id="2936" w:name="Tc_y--4XjoH5UqOrrMp3N1cdg_11_8"/>
      <w:bookmarkStart w:id="2937" w:name="Tc_a6QLMZkp2UKRgUeti3V_1A_11_4"/>
      <w:bookmarkStart w:id="2938" w:name="Tc_AQpCrt8Dq0Gn_ofV1rw2Yw_11_0"/>
      <w:bookmarkStart w:id="2939" w:name="Tc_an0_WHqDg0-x29SBoT1sDQ_10_8"/>
      <w:bookmarkStart w:id="2940" w:name="Tc_uqxkCBffIUCDwUZJYosdzA_10_6"/>
      <w:bookmarkStart w:id="2941" w:name="Tc_Noqc5-XIn02t7ebm6ti0Ew_10_0"/>
      <w:bookmarkStart w:id="2942" w:name="Tc_kom77uTktUekWQML-YogCA_9_8"/>
      <w:bookmarkStart w:id="2943" w:name="Tc_ZIOMmouYG0aYdfVGh244gQ_9_6"/>
      <w:bookmarkStart w:id="2944" w:name="Tc_L5TgpbhCZUqdS3UR4k87ng_9_0"/>
      <w:bookmarkStart w:id="2945" w:name="Tc_EJ1IwV_UCkewVfaF5ZhP3w_8_0"/>
      <w:bookmarkStart w:id="2946" w:name="Tc_kuBJquUkC0y4oOLdZFcemQ_7_8"/>
      <w:bookmarkStart w:id="2947" w:name="Tc_qevYqFryREOvT-6JCEUjBQ_7_6"/>
      <w:bookmarkStart w:id="2948" w:name="Tc_6z-b3yEmX0imRU4sApi9Hg_7_4"/>
      <w:bookmarkStart w:id="2949" w:name="Tc_cfgZAweOIU-wS4wQZUVESQ_7_2"/>
      <w:bookmarkStart w:id="2950" w:name="Tc_KeSmSnzEWkucmh7uuWj8Hw_6_8"/>
      <w:bookmarkStart w:id="2951" w:name="Tc_65-C3GhTiUuKLhqQUJD4aQ_6_6"/>
      <w:bookmarkStart w:id="2952" w:name="Tc_xwEAFWJAzkOi9fL-se6geQ_6_4"/>
      <w:bookmarkStart w:id="2953" w:name="Tc_LoO4JzqCg0yXdAYwJkB3Lw_6_2"/>
      <w:bookmarkStart w:id="2954" w:name="Tc_Gdfo1gizsEeqYA8xDJGWuA_5_8"/>
      <w:bookmarkStart w:id="2955" w:name="Tc_9qTilh3dqEq7Vj506FAsRQ_5_6"/>
      <w:bookmarkStart w:id="2956" w:name="Tc_nhvjxF6VakCmFohNUxmf_g_5_4"/>
      <w:bookmarkStart w:id="2957" w:name="Tc_FnrqruKYKU23hBSXxJQw0A_5_2"/>
      <w:bookmarkStart w:id="2958" w:name="Tc_-OySoZbM6UCzVcdJeKmrTw_4_8"/>
      <w:bookmarkStart w:id="2959" w:name="Tc_tcvYJr-mx0er5Pt1XmHn3w_4_6"/>
      <w:bookmarkStart w:id="2960" w:name="Tc_Y4LLF-Iv2UO8MkSWdNCKkw_4_4"/>
      <w:bookmarkStart w:id="2961" w:name="Tc_mwhjzAoEBUW-cdf5HkhoRA_4_2"/>
      <w:bookmarkStart w:id="2962" w:name="Tc_EEaTJ3sJ7U2yHsHSu1ikrw_3_8"/>
      <w:bookmarkStart w:id="2963" w:name="Tc__n4hduMq8kaPodwYroWI1g_3_6"/>
      <w:bookmarkStart w:id="2964" w:name="Tc_6ZA7MG0HR0euZqc3x0OlAA_3_4"/>
      <w:bookmarkStart w:id="2965" w:name="Tc_b23Ji4RrnEyLkrI1rsjhIA_2_6"/>
      <w:bookmarkStart w:id="2966" w:name="Tc_CzHJ7EKNBU2gkmsvrCancw_2_4"/>
      <w:bookmarkStart w:id="2967" w:name="Tc_JNqrYjP9i0mcyNHydChqLg_1_4"/>
      <w:bookmarkStart w:id="2968" w:name="_a678ecd2_b0b9_4e2a_bf0e_8762dd8f02d3"/>
      <w:bookmarkStart w:id="2969" w:name="Tc_PZSb20MPj0mvXDUGo-VecQ_13_6"/>
      <w:bookmarkStart w:id="2970" w:name="Tc_c6nkBBBdDkuqU2qiNGiuSw_13_4"/>
      <w:bookmarkStart w:id="2971" w:name="Tc__F-dDIeOcE2T9T9SyidIrQ_13_0"/>
      <w:bookmarkStart w:id="2972" w:name="Tc_DcW5FBgu1kuNw9oSh5-2Og_12_6"/>
      <w:bookmarkStart w:id="2973" w:name="Tc_fLECaVho1UiAWjc1HNw6aw_12_4"/>
      <w:bookmarkStart w:id="2974" w:name="Tc_oVlm0IuVK0CqXUG8Er1azw_12_0"/>
      <w:bookmarkStart w:id="2975" w:name="Tc_zfEDT7sUTUyRv99y0AwUkw_11_8"/>
      <w:bookmarkStart w:id="2976" w:name="Tc_A5HOSuj9HE-JgK9zjEaRuw_11_6"/>
      <w:bookmarkStart w:id="2977" w:name="Tc_afKy_yn1vkWvmxZMRsTpAQ_11_0"/>
      <w:bookmarkStart w:id="2978" w:name="Tc_Qj7xKevEZE6kH1N4qzuqKQ_10_0"/>
      <w:bookmarkStart w:id="2979" w:name="Tc_L3_Io2CIh0Sv2eayAF9-fw_9_8"/>
      <w:bookmarkStart w:id="2980" w:name="Tc_DqI3f7W5bU2XNA5c3LETBA_9_6"/>
      <w:bookmarkStart w:id="2981" w:name="Tc_fPDsYacQBkSKT6VFOmngyg_9_0"/>
      <w:bookmarkStart w:id="2982" w:name="Tc_bAdo4Y2QUEmoGJERJ3pvOg_8_0"/>
      <w:bookmarkStart w:id="2983" w:name="Tc_ou847GBbGkiEVcFyu0DnRw_7_8"/>
      <w:bookmarkStart w:id="2984" w:name="Tc_7boUOJJnikKysSCORXPK6g_7_6"/>
      <w:bookmarkStart w:id="2985" w:name="Tc_UzMd5xZCTEehfU8169EL0Q_7_4"/>
      <w:bookmarkStart w:id="2986" w:name="Tc_lb5JpNasskK2pt9I3imySg_7_2"/>
      <w:bookmarkStart w:id="2987" w:name="Tc_pgiHyPXkyUirGwwhWGFY1g_6_8"/>
      <w:bookmarkStart w:id="2988" w:name="Tc_bvh8N_794E2zg0-PLd0uAw_6_6"/>
      <w:bookmarkStart w:id="2989" w:name="Tc_8xahigaNxk-mzgRm2wc8RA_6_4"/>
      <w:bookmarkStart w:id="2990" w:name="Tc_bsPZ6y_qhUuXpNwMG4O2BA_6_2"/>
      <w:bookmarkStart w:id="2991" w:name="Tc_V7Dkz0JIfEKn_HzQmKdTLg_5_8"/>
      <w:bookmarkStart w:id="2992" w:name="Tc_gt-b_F4uW0itDTZ5BadMZA_5_6"/>
      <w:bookmarkStart w:id="2993" w:name="Tc_kl2n5syzSUi-ZZ5GD1dQww_5_4"/>
      <w:bookmarkStart w:id="2994" w:name="Tc_8IV812ID3UGYorQeCbAZiA_5_2"/>
      <w:bookmarkStart w:id="2995" w:name="Tc_VmaGD7xI_UW-WJB2RZfEjw_4_8"/>
      <w:bookmarkStart w:id="2996" w:name="Tc_0nPP6F-qYkq2m99RyxECxg_4_6"/>
      <w:bookmarkStart w:id="2997" w:name="Tc_rPSLYr7u7Eq51jG6F35-Dw_4_4"/>
      <w:bookmarkStart w:id="2998" w:name="Tc_ZzTL4YDpfEGjlFeVmI2mQw_4_2"/>
      <w:bookmarkStart w:id="2999" w:name="Tc_I4c2y5xeJ0-ja9eEL-1AEw_3_8"/>
      <w:bookmarkStart w:id="3000" w:name="Tc_kEbrhO7zRkKECqFjRYJaXA_3_6"/>
      <w:bookmarkStart w:id="3001" w:name="Tc_aickhqOjxkGUG0clzWcK-g_3_4"/>
      <w:bookmarkStart w:id="3002" w:name="Tc_4KwrYsUXwUmxCsJffcd9oA_2_6"/>
      <w:bookmarkStart w:id="3003" w:name="Tc_GpX-T57XhkiKiHcHa2JvPA_2_4"/>
      <w:bookmarkStart w:id="3004" w:name="Tc_EBUZc5jO90Wat_sYANgyhg_1_4"/>
      <w:bookmarkStart w:id="3005" w:name="_4a930909_29db_413e_849d_172161e40ca1"/>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r>
        <w:rPr>
          <w:rFonts w:ascii="Times New Roman;Times;serif" w:hAnsi="Times New Roman;Times;serif"/>
          <w:sz w:val="20"/>
        </w:rPr>
        <w:t>The following tables set the major financial instruments measured at fair value, by level within the fair value hierarchy as of December 31, 2025 and 2024.</w:t>
      </w:r>
    </w:p>
    <w:p>
      <w:pPr>
        <w:pStyle w:val="TextBody"/>
        <w:bidi w:val="0"/>
        <w:spacing w:lineRule="auto" w:line="307" w:before="0" w:after="160"/>
        <w:ind w:left="0" w:right="0" w:hanging="0"/>
        <w:jc w:val="left"/>
        <w:rPr/>
      </w:pPr>
      <w:r>
        <w:rPr/>
        <w:t>​</w:t>
      </w:r>
    </w:p>
    <w:tbl>
      <w:tblPr>
        <w:tblW w:w="7824" w:type="dxa"/>
        <w:jc w:val="left"/>
        <w:tblInd w:w="0" w:type="dxa"/>
        <w:tblLayout w:type="fixed"/>
        <w:tblCellMar>
          <w:top w:w="0" w:type="dxa"/>
          <w:left w:w="0" w:type="dxa"/>
          <w:bottom w:w="0" w:type="dxa"/>
          <w:right w:w="0" w:type="dxa"/>
        </w:tblCellMar>
      </w:tblPr>
      <w:tblGrid>
        <w:gridCol w:w="1831"/>
        <w:gridCol w:w="346"/>
        <w:gridCol w:w="1321"/>
        <w:gridCol w:w="346"/>
        <w:gridCol w:w="1216"/>
        <w:gridCol w:w="346"/>
        <w:gridCol w:w="931"/>
        <w:gridCol w:w="346"/>
        <w:gridCol w:w="114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162685" cy="175260"/>
                      <wp:effectExtent l="0" t="0" r="0" b="0"/>
                      <wp:wrapNone/>
                      <wp:docPr id="549" name="Frame544"/>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0"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838835" cy="175260"/>
                      <wp:effectExtent l="0" t="0" r="0" b="0"/>
                      <wp:wrapNone/>
                      <wp:docPr id="551" name="Frame54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19710" cy="175260"/>
                      <wp:effectExtent l="0" t="0" r="0" b="0"/>
                      <wp:wrapNone/>
                      <wp:docPr id="552"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772160" cy="175260"/>
                      <wp:effectExtent l="0" t="0" r="0" b="0"/>
                      <wp:wrapNone/>
                      <wp:docPr id="553" name="Frame54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54"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91185" cy="175260"/>
                      <wp:effectExtent l="0" t="0" r="0" b="0"/>
                      <wp:wrapNone/>
                      <wp:docPr id="555" name="Frame5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56"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724535" cy="175260"/>
                      <wp:effectExtent l="0" t="0" r="0" b="0"/>
                      <wp:wrapNone/>
                      <wp:docPr id="557" name="Frame55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98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Quoted Prices </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Significant </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60"/>
              <w:ind w:left="0" w:right="0" w:hanging="0"/>
              <w:jc w:val="right"/>
              <w:rPr/>
            </w:pPr>
            <w:r>
              <w:rPr/>
              <w:t>​</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Active </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Significant</w:t>
            </w:r>
            <w:r>
              <w:rPr>
                <w:rFonts w:ascii="Times New Roman;Times;serif" w:hAnsi="Times New Roman;Times;serif"/>
                <w:sz w:val="16"/>
              </w:rPr>
              <w:t> </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Fair Value as of</w:t>
            </w:r>
            <w:r>
              <w:rPr>
                <w:rFonts w:ascii="Times New Roman;Times;serif" w:hAnsi="Times New Roman;Times;serif"/>
                <w:sz w:val="16"/>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3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r>
      <w:tr>
        <w:trPr/>
        <w:tc>
          <w:tcPr>
            <w:tcW w:w="1831" w:type="dxa"/>
            <w:tcBorders/>
            <w:shd w:fill="CCEEFF" w:val="clear"/>
            <w:vAlign w:val="center"/>
          </w:tcPr>
          <w:p>
            <w:pPr>
              <w:pStyle w:val="TableContents"/>
              <w:bidi w:val="0"/>
              <w:spacing w:lineRule="auto" w:line="307" w:before="0" w:after="1"/>
              <w:ind w:left="0" w:right="0" w:hanging="0"/>
              <w:jc w:val="left"/>
              <w:rPr/>
            </w:pPr>
            <w:r>
              <w:rPr/>
              <w:t> </w:t>
            </w: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  ​</w:t>
            </w:r>
          </w:p>
        </w:tc>
      </w:tr>
      <w:tr>
        <w:trPr/>
        <w:tc>
          <w:tcPr>
            <w:tcW w:w="18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1,811</w:t>
            </w:r>
          </w:p>
        </w:tc>
        <w:tc>
          <w:tcPr>
            <w:tcW w:w="346" w:type="dxa"/>
            <w:tcBorders/>
            <w:vAlign w:val="center"/>
          </w:tcPr>
          <w:p>
            <w:pPr>
              <w:pStyle w:val="TableContents"/>
              <w:bidi w:val="0"/>
              <w:spacing w:lineRule="auto" w:line="307" w:before="0" w:after="160"/>
              <w:ind w:left="0" w:right="0" w:hanging="0"/>
              <w:jc w:val="left"/>
              <w:rPr/>
            </w:pPr>
            <w:r>
              <w:rPr/>
              <w:t>​</w:t>
            </w:r>
          </w:p>
        </w:tc>
        <w:tc>
          <w:tcPr>
            <w:tcW w:w="121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1,811</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18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60"/>
              <w:ind w:left="0" w:right="0" w:hanging="0"/>
              <w:jc w:val="right"/>
              <w:rPr/>
            </w:pPr>
            <w:r>
              <w:rPr/>
              <w:t>​</w:t>
            </w:r>
          </w:p>
        </w:tc>
      </w:tr>
      <w:tr>
        <w:trPr/>
        <w:tc>
          <w:tcPr>
            <w:tcW w:w="18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vAlign w:val="center"/>
          </w:tcPr>
          <w:p>
            <w:pPr>
              <w:pStyle w:val="TableContents"/>
              <w:bidi w:val="0"/>
              <w:spacing w:lineRule="auto" w:line="307" w:before="0" w:after="160"/>
              <w:ind w:left="0" w:right="0" w:hanging="0"/>
              <w:jc w:val="left"/>
              <w:rPr/>
            </w:pPr>
            <w:r>
              <w:rPr/>
              <w:t>​</w:t>
            </w:r>
          </w:p>
        </w:tc>
        <w:tc>
          <w:tcPr>
            <w:tcW w:w="121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vAlign w:val="center"/>
          </w:tcPr>
          <w:p>
            <w:pPr>
              <w:pStyle w:val="TableContents"/>
              <w:bidi w:val="0"/>
              <w:spacing w:lineRule="auto" w:line="307" w:before="0" w:after="1"/>
              <w:ind w:left="0" w:right="0" w:hanging="0"/>
              <w:jc w:val="right"/>
              <w:rPr/>
            </w:pPr>
            <w:r>
              <w:rPr/>
              <w:t>—</w:t>
            </w:r>
          </w:p>
        </w:tc>
      </w:tr>
      <w:tr>
        <w:trPr/>
        <w:tc>
          <w:tcPr>
            <w:tcW w:w="183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276,604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1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276,604</w:t>
            </w:r>
          </w:p>
        </w:tc>
      </w:tr>
      <w:tr>
        <w:trPr/>
        <w:tc>
          <w:tcPr>
            <w:tcW w:w="183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Exchangeable notes</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128,852</w:t>
            </w:r>
          </w:p>
        </w:tc>
        <w:tc>
          <w:tcPr>
            <w:tcW w:w="346" w:type="dxa"/>
            <w:tcBorders/>
            <w:vAlign w:val="center"/>
          </w:tcPr>
          <w:p>
            <w:pPr>
              <w:pStyle w:val="TableContents"/>
              <w:bidi w:val="0"/>
              <w:spacing w:lineRule="auto" w:line="307" w:before="0" w:after="1"/>
              <w:ind w:left="0" w:right="0" w:hanging="0"/>
              <w:jc w:val="left"/>
              <w:rPr/>
            </w:pPr>
            <w:r>
              <w:rPr/>
              <w:t> </w:t>
            </w:r>
          </w:p>
        </w:tc>
        <w:tc>
          <w:tcPr>
            <w:tcW w:w="121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128,852</w:t>
            </w:r>
          </w:p>
        </w:tc>
      </w:tr>
    </w:tbl>
    <w:p>
      <w:pPr>
        <w:pStyle w:val="TextBody"/>
        <w:bidi w:val="0"/>
        <w:spacing w:lineRule="auto" w:line="307" w:before="0" w:after="160"/>
        <w:ind w:left="0" w:right="0" w:hanging="0"/>
        <w:jc w:val="left"/>
        <w:rPr/>
      </w:pPr>
      <w:r>
        <w:rPr/>
        <w:t>​</w:t>
      </w:r>
    </w:p>
    <w:tbl>
      <w:tblPr>
        <w:tblW w:w="8769" w:type="dxa"/>
        <w:jc w:val="left"/>
        <w:tblInd w:w="0" w:type="dxa"/>
        <w:tblLayout w:type="fixed"/>
        <w:tblCellMar>
          <w:top w:w="0" w:type="dxa"/>
          <w:left w:w="0" w:type="dxa"/>
          <w:bottom w:w="0" w:type="dxa"/>
          <w:right w:w="0" w:type="dxa"/>
        </w:tblCellMar>
      </w:tblPr>
      <w:tblGrid>
        <w:gridCol w:w="2776"/>
        <w:gridCol w:w="346"/>
        <w:gridCol w:w="1321"/>
        <w:gridCol w:w="346"/>
        <w:gridCol w:w="1216"/>
        <w:gridCol w:w="346"/>
        <w:gridCol w:w="931"/>
        <w:gridCol w:w="346"/>
        <w:gridCol w:w="114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762760" cy="175260"/>
                      <wp:effectExtent l="0" t="0" r="0" b="0"/>
                      <wp:wrapNone/>
                      <wp:docPr id="558" name="Frame553"/>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9710" cy="175260"/>
                      <wp:effectExtent l="0" t="0" r="0" b="0"/>
                      <wp:wrapNone/>
                      <wp:docPr id="559"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838835" cy="175260"/>
                      <wp:effectExtent l="0" t="0" r="0" b="0"/>
                      <wp:wrapNone/>
                      <wp:docPr id="560" name="Frame55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61"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772160" cy="175260"/>
                      <wp:effectExtent l="0" t="0" r="0" b="0"/>
                      <wp:wrapNone/>
                      <wp:docPr id="562" name="Frame55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3" name="Frame5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91185" cy="175260"/>
                      <wp:effectExtent l="0" t="0" r="0" b="0"/>
                      <wp:wrapNone/>
                      <wp:docPr id="564" name="Frame5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19710" cy="175260"/>
                      <wp:effectExtent l="0" t="0" r="0" b="0"/>
                      <wp:wrapNone/>
                      <wp:docPr id="565"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724535" cy="175260"/>
                      <wp:effectExtent l="0" t="0" r="0" b="0"/>
                      <wp:wrapNone/>
                      <wp:docPr id="566" name="Frame56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98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277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Quoted Prices </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Significant </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60"/>
              <w:ind w:left="0" w:right="0" w:hanging="0"/>
              <w:jc w:val="right"/>
              <w:rPr/>
            </w:pPr>
            <w:r>
              <w:rPr/>
              <w:t>​</w:t>
            </w:r>
          </w:p>
        </w:tc>
      </w:tr>
      <w:tr>
        <w:trPr/>
        <w:tc>
          <w:tcPr>
            <w:tcW w:w="277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Active </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Significant</w:t>
            </w:r>
            <w:r>
              <w:rPr>
                <w:rFonts w:ascii="Times New Roman;Times;serif" w:hAnsi="Times New Roman;Times;serif"/>
                <w:sz w:val="16"/>
              </w:rPr>
              <w:t> </w:t>
            </w:r>
          </w:p>
        </w:tc>
      </w:tr>
      <w:tr>
        <w:trPr/>
        <w:tc>
          <w:tcPr>
            <w:tcW w:w="277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sz w:val="16"/>
              </w:rPr>
            </w:pPr>
            <w:r>
              <w:rPr>
                <w:rFonts w:ascii="Times New Roman;Times;serif" w:hAnsi="Times New Roman;Times;serif"/>
                <w:b/>
                <w:sz w:val="16"/>
              </w:rPr>
              <w:t>Fair Value as of</w:t>
            </w:r>
            <w:r>
              <w:rPr>
                <w:rFonts w:ascii="Times New Roman;Times;serif" w:hAnsi="Times New Roman;Times;serif"/>
                <w:sz w:val="16"/>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77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77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6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307" w:before="0" w:after="16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307" w:before="0" w:after="16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77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32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216"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93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
              <w:ind w:left="0" w:right="0" w:hanging="0"/>
              <w:jc w:val="center"/>
              <w:rPr/>
            </w:pPr>
            <w:r>
              <w:rPr/>
              <w:t>  ​ ​ ​</w:t>
            </w:r>
          </w:p>
        </w:tc>
        <w:tc>
          <w:tcPr>
            <w:tcW w:w="1141" w:type="dxa"/>
            <w:tcBorders/>
            <w:vAlign w:val="center"/>
          </w:tcPr>
          <w:p>
            <w:pPr>
              <w:pStyle w:val="TableContents"/>
              <w:bidi w:val="0"/>
              <w:spacing w:lineRule="auto" w:line="307" w:before="0" w:after="1"/>
              <w:ind w:left="0" w:right="0" w:hanging="0"/>
              <w:jc w:val="center"/>
              <w:rPr>
                <w:rFonts w:ascii="Times New Roman;Times;serif" w:hAnsi="Times New Roman;Times;serif"/>
                <w:b/>
                <w:i/>
                <w:sz w:val="16"/>
              </w:rPr>
            </w:pPr>
            <w:r>
              <w:rPr>
                <w:rFonts w:ascii="Times New Roman;Times;serif" w:hAnsi="Times New Roman;Times;serif"/>
                <w:b/>
                <w:i/>
                <w:sz w:val="16"/>
              </w:rPr>
              <w:t>US$</w:t>
            </w:r>
          </w:p>
        </w:tc>
      </w:tr>
      <w:tr>
        <w:trPr/>
        <w:tc>
          <w:tcPr>
            <w:tcW w:w="2776" w:type="dxa"/>
            <w:tcBorders/>
            <w:shd w:fill="CCEEFF" w:val="clear"/>
            <w:vAlign w:val="center"/>
          </w:tcPr>
          <w:p>
            <w:pPr>
              <w:pStyle w:val="TableContents"/>
              <w:bidi w:val="0"/>
              <w:spacing w:lineRule="auto" w:line="307" w:before="0" w:after="1"/>
              <w:ind w:left="0" w:right="0" w:hanging="0"/>
              <w:jc w:val="left"/>
              <w:rPr/>
            </w:pPr>
            <w:r>
              <w:rPr/>
              <w:t> </w:t>
            </w: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  ​</w:t>
            </w:r>
          </w:p>
        </w:tc>
      </w:tr>
      <w:tr>
        <w:trPr/>
        <w:tc>
          <w:tcPr>
            <w:tcW w:w="277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46" w:type="dxa"/>
            <w:tcBorders/>
            <w:vAlign w:val="center"/>
          </w:tcPr>
          <w:p>
            <w:pPr>
              <w:pStyle w:val="TableContents"/>
              <w:bidi w:val="0"/>
              <w:spacing w:lineRule="auto" w:line="307" w:before="0" w:after="1"/>
              <w:ind w:left="0" w:right="0" w:hanging="0"/>
              <w:jc w:val="left"/>
              <w:rPr/>
            </w:pPr>
            <w:r>
              <w:rPr/>
              <w:t> </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2,221</w:t>
            </w:r>
          </w:p>
        </w:tc>
        <w:tc>
          <w:tcPr>
            <w:tcW w:w="346" w:type="dxa"/>
            <w:tcBorders/>
            <w:vAlign w:val="center"/>
          </w:tcPr>
          <w:p>
            <w:pPr>
              <w:pStyle w:val="TableContents"/>
              <w:bidi w:val="0"/>
              <w:spacing w:lineRule="auto" w:line="307" w:before="0" w:after="160"/>
              <w:ind w:left="0" w:right="0" w:hanging="0"/>
              <w:jc w:val="left"/>
              <w:rPr/>
            </w:pPr>
            <w:r>
              <w:rPr/>
              <w:t>​</w:t>
            </w:r>
          </w:p>
        </w:tc>
        <w:tc>
          <w:tcPr>
            <w:tcW w:w="121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2,221</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vAlign w:val="center"/>
          </w:tcPr>
          <w:p>
            <w:pPr>
              <w:pStyle w:val="TableContents"/>
              <w:bidi w:val="0"/>
              <w:spacing w:lineRule="auto" w:line="307" w:before="0" w:after="1"/>
              <w:ind w:left="0" w:right="0" w:hanging="0"/>
              <w:jc w:val="right"/>
              <w:rPr/>
            </w:pPr>
            <w:r>
              <w:rPr/>
              <w:t>—</w:t>
            </w:r>
          </w:p>
        </w:tc>
      </w:tr>
      <w:tr>
        <w:trPr/>
        <w:tc>
          <w:tcPr>
            <w:tcW w:w="277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Securities pledged to an investor</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315,796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2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315,796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41" w:type="dxa"/>
            <w:tcBorders/>
            <w:shd w:fill="CCEEFF" w:val="clear"/>
            <w:vAlign w:val="center"/>
          </w:tcPr>
          <w:p>
            <w:pPr>
              <w:pStyle w:val="TableContents"/>
              <w:bidi w:val="0"/>
              <w:spacing w:lineRule="auto" w:line="307" w:before="0" w:after="1"/>
              <w:ind w:left="0" w:right="0" w:hanging="0"/>
              <w:jc w:val="right"/>
              <w:rPr/>
            </w:pPr>
            <w:r>
              <w:rPr/>
              <w:t>—</w:t>
            </w:r>
          </w:p>
        </w:tc>
      </w:tr>
      <w:tr>
        <w:trPr/>
        <w:tc>
          <w:tcPr>
            <w:tcW w:w="277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Derivative asset</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694</w:t>
            </w:r>
          </w:p>
        </w:tc>
        <w:tc>
          <w:tcPr>
            <w:tcW w:w="346" w:type="dxa"/>
            <w:tcBorders/>
            <w:vAlign w:val="center"/>
          </w:tcPr>
          <w:p>
            <w:pPr>
              <w:pStyle w:val="TableContents"/>
              <w:bidi w:val="0"/>
              <w:spacing w:lineRule="auto" w:line="307" w:before="0" w:after="160"/>
              <w:ind w:left="0" w:right="0" w:hanging="0"/>
              <w:jc w:val="left"/>
              <w:rPr/>
            </w:pPr>
            <w:r>
              <w:rPr/>
              <w:t>​</w:t>
            </w:r>
          </w:p>
        </w:tc>
        <w:tc>
          <w:tcPr>
            <w:tcW w:w="121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694</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pPr>
            <w:r>
              <w:rPr/>
              <w:t>—</w:t>
            </w:r>
          </w:p>
        </w:tc>
      </w:tr>
      <w:tr>
        <w:trPr/>
        <w:tc>
          <w:tcPr>
            <w:tcW w:w="277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pPr>
            <w:r>
              <w:rPr/>
              <w:t>  ​</w:t>
            </w:r>
          </w:p>
        </w:tc>
      </w:tr>
      <w:tr>
        <w:trPr/>
        <w:tc>
          <w:tcPr>
            <w:tcW w:w="277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Put option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309,115</w:t>
            </w:r>
          </w:p>
        </w:tc>
        <w:tc>
          <w:tcPr>
            <w:tcW w:w="346" w:type="dxa"/>
            <w:tcBorders/>
            <w:vAlign w:val="center"/>
          </w:tcPr>
          <w:p>
            <w:pPr>
              <w:pStyle w:val="TableContents"/>
              <w:bidi w:val="0"/>
              <w:spacing w:lineRule="auto" w:line="307" w:before="0" w:after="1"/>
              <w:ind w:left="0" w:right="0" w:hanging="0"/>
              <w:jc w:val="left"/>
              <w:rPr/>
            </w:pPr>
            <w:r>
              <w:rPr/>
              <w:t> </w:t>
            </w:r>
          </w:p>
        </w:tc>
        <w:tc>
          <w:tcPr>
            <w:tcW w:w="12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309,115</w:t>
            </w:r>
          </w:p>
        </w:tc>
      </w:tr>
      <w:tr>
        <w:trPr/>
        <w:tc>
          <w:tcPr>
            <w:tcW w:w="277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3,340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1,996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1,344</w:t>
            </w:r>
          </w:p>
        </w:tc>
      </w:tr>
      <w:tr>
        <w:trPr/>
        <w:tc>
          <w:tcPr>
            <w:tcW w:w="277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132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188,156</w:t>
            </w:r>
          </w:p>
        </w:tc>
        <w:tc>
          <w:tcPr>
            <w:tcW w:w="346" w:type="dxa"/>
            <w:tcBorders/>
            <w:vAlign w:val="center"/>
          </w:tcPr>
          <w:p>
            <w:pPr>
              <w:pStyle w:val="TableContents"/>
              <w:bidi w:val="0"/>
              <w:spacing w:lineRule="auto" w:line="307" w:before="0" w:after="160"/>
              <w:ind w:left="0" w:right="0" w:hanging="0"/>
              <w:jc w:val="left"/>
              <w:rPr/>
            </w:pPr>
            <w:r>
              <w:rPr/>
              <w:t>​</w:t>
            </w:r>
          </w:p>
        </w:tc>
        <w:tc>
          <w:tcPr>
            <w:tcW w:w="121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4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188,156</w:t>
            </w:r>
          </w:p>
        </w:tc>
      </w:tr>
      <w:tr>
        <w:trPr/>
        <w:tc>
          <w:tcPr>
            <w:tcW w:w="277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Exchangeable notes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102,999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21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102,999</w:t>
            </w:r>
          </w:p>
        </w:tc>
      </w:tr>
    </w:tbl>
    <w:p>
      <w:pPr>
        <w:pStyle w:val="TextBody"/>
        <w:bidi w:val="0"/>
        <w:spacing w:lineRule="auto" w:line="307" w:before="0" w:after="160"/>
        <w:ind w:left="0" w:right="0" w:hanging="0"/>
        <w:jc w:val="left"/>
        <w:rPr/>
      </w:pPr>
      <w:r>
        <w:rPr/>
        <w:t>​</w:t>
      </w:r>
    </w:p>
    <w:p>
      <w:pPr>
        <w:pStyle w:val="TextBody"/>
        <w:bidi w:val="0"/>
        <w:spacing w:lineRule="auto" w:line="285" w:before="40" w:after="200"/>
        <w:ind w:left="720" w:right="0" w:hanging="0"/>
        <w:jc w:val="left"/>
        <w:rPr>
          <w:rFonts w:ascii="Times New Roman;Times;serif" w:hAnsi="Times New Roman;Times;serif"/>
          <w:i/>
          <w:sz w:val="20"/>
        </w:rPr>
      </w:pPr>
      <w:r>
        <w:rPr>
          <w:rFonts w:ascii="Times New Roman;Times;serif" w:hAnsi="Times New Roman;Times;serif"/>
          <w:i/>
          <w:sz w:val="20"/>
        </w:rPr>
        <w:t>Valuation Techniques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Investment securities: The Group invested in a listed equity securities, ECARX, and values the equity securities using quoted prices for the underlying securities in active markets. Accordingly, the Group classifies the valuation technique that use these inputs as Level 1.</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Derivative asset: Derivative asset represents forward currency contracts. The fair value is estimated by discounting the difference between the contractual forward price and the current available forward price for the residual maturity of the contract using observable market rates.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Securities pledged to an investor: The estimated fair values of the securities are determined using available market information. Accordingly, the Group classifies the valuation technique that use these inputs as Level 1.</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Put option liabilities, exchangeable notes and convertible notes: As the Group’s put option liabilities, exchangeable notes and convertible notes are not traded in an active market with readily observable quoted prices, the Group uses significant unobservable inputs (Level 3) to measure the fair value of the put option liabilities, exchangeable notes and convertible notes at inception and at each subsequent balance sheet date. See Notes 13, 14 and 15 for information about the significant unobservable inputs used in the respective fair value measurements.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Public Warrants and Sponsor Warrants: As of December 31, 2025, Public Warrants and Sponsor Warrants are classified as Level 1 due to the use of the observed trading price. As of December 31, 2024, Public Warrants is classified as Level 1 due to the use of the observed trading price, while Sponsor Warrants is classified as Level 3 due to the use of the significant unobservable inputs (Level 3) used in the fair value measurements (Note 12).</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other financial assets and liabilities of the Group primarily consist of cash and cash equivalents, restricted cash, accounts receivable, loan receivables and other receivables included in prepayments and other current assets and other non-current assets, short-term borrowings, accounts payable, other payables included in accrued expenses and other current liabilities and other non-current liabilities and operating lease liabilities. As of December 31, 2025 and 2024, the fair values of operating leases liabilities approximated to their carrying values, which were due to that the underlying interest rates approximated to the market rates for similar instruments with similar maturities, and the carrying amounts of other financial instruments approximated to their fair values, which were due to short term maturity of these instruments.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Group’s non-financial assets, such as property, equipment and software and intangible assets, would be measured at fair value only if they were determined to be impaired.</w:t>
      </w:r>
    </w:p>
    <w:p>
      <w:pPr>
        <w:pStyle w:val="Normal"/>
        <w:bidi w:val="0"/>
        <w:spacing w:before="0" w:after="0"/>
        <w:jc w:val="left"/>
        <w:rPr>
          <w:sz w:val="4"/>
          <w:szCs w:val="4"/>
        </w:rPr>
      </w:pPr>
      <w:r>
        <w:rPr>
          <w:sz w:val="4"/>
          <w:szCs w:val="4"/>
        </w:rPr>
      </w:r>
      <w:bookmarkStart w:id="3006" w:name="Tc_c91nSAI6gECXa1ZZ0DBLUA_13_10"/>
      <w:bookmarkStart w:id="3007" w:name="Tc_2H41aTlzLUqI9ISIghY-7w_13_0"/>
      <w:bookmarkStart w:id="3008" w:name="Tc_B29SbTCd_UmrtIqiJOgIKg_12_10"/>
      <w:bookmarkStart w:id="3009" w:name="Tc_uYh9R3dK6kCAXUlBNLkiPw_12_0"/>
      <w:bookmarkStart w:id="3010" w:name="Tc_YRc-Uo2S9kOKcT7YKIbbWg_11_10"/>
      <w:bookmarkStart w:id="3011" w:name="Tc_HkfBGkWLpkqvorEG2grPAA_11_0"/>
      <w:bookmarkStart w:id="3012" w:name="Tc_ZG5m-5jYJ0afiSkNOFOlew_9_10"/>
      <w:bookmarkStart w:id="3013" w:name="Tc_HxXzVsSTR0Op3mFPivzvbQ_9_8"/>
      <w:bookmarkStart w:id="3014" w:name="Tc_EE5-BWwAgEuT_T_eDWxuaA_9_0"/>
      <w:bookmarkStart w:id="3015" w:name="Tc_xwo2CQvVH0uLdUqqecQYeg_8_10"/>
      <w:bookmarkStart w:id="3016" w:name="Tc_LQNlngWm9kysLGjSKPys0w_8_8"/>
      <w:bookmarkStart w:id="3017" w:name="Tc_8BXskNwo-E2Q2Lw3VsNmCA_8_0"/>
      <w:bookmarkStart w:id="3018" w:name="Tc_KcX2xBV-1Eu8wwvo_8aRCw_6_0"/>
      <w:bookmarkStart w:id="3019" w:name="Tc_1sUkj2LuHkumkFiT3pcV0A_5_10"/>
      <w:bookmarkStart w:id="3020" w:name="Tc_Dp2ZOAzrNkSfrHpLYZHEog_5_6"/>
      <w:bookmarkStart w:id="3021" w:name="Tc_DfBadNSDNE2iUb4PfudHgw_5_4"/>
      <w:bookmarkStart w:id="3022" w:name="Tc_5DQ6Bg0-6UC0hGq_8Z4GlA_4_10"/>
      <w:bookmarkStart w:id="3023" w:name="Tc_KrpqNJp_O0qTXYbtjbW0Rw_4_8"/>
      <w:bookmarkStart w:id="3024" w:name="Tc_RKvts1UCvkCN2JTrVZDGyw_4_6"/>
      <w:bookmarkStart w:id="3025" w:name="Tc_VYrDk9UJvkmL7vacIDtz4g_4_4"/>
      <w:bookmarkStart w:id="3026" w:name="Tc_ajz1zgPt_kiRqPf3U7zFRA_4_2"/>
      <w:bookmarkStart w:id="3027" w:name="Tc_-5yQZZr1-UOF1Jsh6_subQ_3_10"/>
      <w:bookmarkStart w:id="3028" w:name="Tc_qwuLrzAB9U2v8OBRQLAfFQ_3_8"/>
      <w:bookmarkStart w:id="3029" w:name="Tc_MAV_es_oPEqWdSXkJcgsBg_3_6"/>
      <w:bookmarkStart w:id="3030" w:name="Tc_U3qjmE3JwEuMYtAodcenFw_3_4"/>
      <w:bookmarkStart w:id="3031" w:name="Tc_FabjN8vvkUO_KWv-rHNaaA_3_2"/>
      <w:bookmarkStart w:id="3032" w:name="Tc_0ySFtrEmX0ePVxhdWorbcg_2_10"/>
      <w:bookmarkStart w:id="3033" w:name="Tc_7vPm_WAvsUe0P36nM99rIQ_2_8"/>
      <w:bookmarkStart w:id="3034" w:name="Tc_5vX3KCiukketk0Y6xEIsVg_2_6"/>
      <w:bookmarkStart w:id="3035" w:name="Tc_UdEfEJWRW0mM3RyrgklXcg_2_4"/>
      <w:bookmarkStart w:id="3036" w:name="Tc_XlmsaFdw3k6XXNYDncrA5w_1_8"/>
      <w:bookmarkStart w:id="3037" w:name="Tc_K-OIvgB6n0yEimbRB74ZWg_1_6"/>
      <w:bookmarkStart w:id="3038" w:name="Tc_c91nSAI6gECXa1ZZ0DBLUA_13_10"/>
      <w:bookmarkStart w:id="3039" w:name="Tc_2H41aTlzLUqI9ISIghY-7w_13_0"/>
      <w:bookmarkStart w:id="3040" w:name="Tc_B29SbTCd_UmrtIqiJOgIKg_12_10"/>
      <w:bookmarkStart w:id="3041" w:name="Tc_uYh9R3dK6kCAXUlBNLkiPw_12_0"/>
      <w:bookmarkStart w:id="3042" w:name="Tc_YRc-Uo2S9kOKcT7YKIbbWg_11_10"/>
      <w:bookmarkStart w:id="3043" w:name="Tc_HkfBGkWLpkqvorEG2grPAA_11_0"/>
      <w:bookmarkStart w:id="3044" w:name="Tc_ZG5m-5jYJ0afiSkNOFOlew_9_10"/>
      <w:bookmarkStart w:id="3045" w:name="Tc_HxXzVsSTR0Op3mFPivzvbQ_9_8"/>
      <w:bookmarkStart w:id="3046" w:name="Tc_EE5-BWwAgEuT_T_eDWxuaA_9_0"/>
      <w:bookmarkStart w:id="3047" w:name="Tc_xwo2CQvVH0uLdUqqecQYeg_8_10"/>
      <w:bookmarkStart w:id="3048" w:name="Tc_LQNlngWm9kysLGjSKPys0w_8_8"/>
      <w:bookmarkStart w:id="3049" w:name="Tc_8BXskNwo-E2Q2Lw3VsNmCA_8_0"/>
      <w:bookmarkStart w:id="3050" w:name="Tc_KcX2xBV-1Eu8wwvo_8aRCw_6_0"/>
      <w:bookmarkStart w:id="3051" w:name="Tc_1sUkj2LuHkumkFiT3pcV0A_5_10"/>
      <w:bookmarkStart w:id="3052" w:name="Tc_Dp2ZOAzrNkSfrHpLYZHEog_5_6"/>
      <w:bookmarkStart w:id="3053" w:name="Tc_DfBadNSDNE2iUb4PfudHgw_5_4"/>
      <w:bookmarkStart w:id="3054" w:name="Tc_5DQ6Bg0-6UC0hGq_8Z4GlA_4_10"/>
      <w:bookmarkStart w:id="3055" w:name="Tc_KrpqNJp_O0qTXYbtjbW0Rw_4_8"/>
      <w:bookmarkStart w:id="3056" w:name="Tc_RKvts1UCvkCN2JTrVZDGyw_4_6"/>
      <w:bookmarkStart w:id="3057" w:name="Tc_VYrDk9UJvkmL7vacIDtz4g_4_4"/>
      <w:bookmarkStart w:id="3058" w:name="Tc_ajz1zgPt_kiRqPf3U7zFRA_4_2"/>
      <w:bookmarkStart w:id="3059" w:name="Tc_-5yQZZr1-UOF1Jsh6_subQ_3_10"/>
      <w:bookmarkStart w:id="3060" w:name="Tc_qwuLrzAB9U2v8OBRQLAfFQ_3_8"/>
      <w:bookmarkStart w:id="3061" w:name="Tc_MAV_es_oPEqWdSXkJcgsBg_3_6"/>
      <w:bookmarkStart w:id="3062" w:name="Tc_U3qjmE3JwEuMYtAodcenFw_3_4"/>
      <w:bookmarkStart w:id="3063" w:name="Tc_FabjN8vvkUO_KWv-rHNaaA_3_2"/>
      <w:bookmarkStart w:id="3064" w:name="Tc_0ySFtrEmX0ePVxhdWorbcg_2_10"/>
      <w:bookmarkStart w:id="3065" w:name="Tc_7vPm_WAvsUe0P36nM99rIQ_2_8"/>
      <w:bookmarkStart w:id="3066" w:name="Tc_5vX3KCiukketk0Y6xEIsVg_2_6"/>
      <w:bookmarkStart w:id="3067" w:name="Tc_UdEfEJWRW0mM3RyrgklXcg_2_4"/>
      <w:bookmarkStart w:id="3068" w:name="Tc_XlmsaFdw3k6XXNYDncrA5w_1_8"/>
      <w:bookmarkStart w:id="3069" w:name="Tc_K-OIvgB6n0yEimbRB74ZWg_1_6"/>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p>
    <w:tbl>
      <w:tblPr>
        <w:tblW w:w="3527" w:type="dxa"/>
        <w:jc w:val="left"/>
        <w:tblInd w:w="0" w:type="dxa"/>
        <w:tblLayout w:type="fixed"/>
        <w:tblCellMar>
          <w:top w:w="0" w:type="dxa"/>
          <w:left w:w="0" w:type="dxa"/>
          <w:bottom w:w="0" w:type="dxa"/>
          <w:right w:w="0" w:type="dxa"/>
        </w:tblCellMar>
      </w:tblPr>
      <w:tblGrid>
        <w:gridCol w:w="376"/>
        <w:gridCol w:w="315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24.</w:t>
            </w:r>
          </w:p>
        </w:tc>
        <w:tc>
          <w:tcPr>
            <w:tcW w:w="315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Company’ s shareholders approved and adopted a share incentive plan in September 2022, or the 2022 Share Incentive Plan, for the purpose of attracting and retaining the best available personnel, providing additional incentives to employees, directors and consultants, and promoting the success of the Group’s business. Under the 2022 Share Incentive Plan, the Company is authorized to grant options. The maximum aggregate number of ordinary shares that may be issued pursuant to all awards under the 2022 Share Incentive Plan is 51,550,661. During the years ended December 31, 2025, 2024 and 2023, 2,674,523, 6,494,086 and 775,561 options were granted under the 2022 Share Incentive Plan, respectively, among which, nil, 174,970 and nil share options were granted to non-employee service providers respectively, and nil, 51,640 and nil share option were granted to directors or officers respectively.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Share options granted under the 2022 Share Incentive Plan have a contractual term of ten years and have varying vesting terms that requires the grantees to render services for a period </w:t>
      </w:r>
      <w:r>
        <w:rPr>
          <w:rFonts w:ascii="Times New Roman;Times;serif" w:hAnsi="Times New Roman;Times;serif"/>
          <w:b w:val="false"/>
          <w:i w:val="false"/>
          <w:caps w:val="false"/>
          <w:smallCaps w:val="false"/>
          <w:sz w:val="20"/>
        </w:rPr>
        <w:t>maximum</w:t>
      </w:r>
      <w:r>
        <w:rPr>
          <w:rFonts w:ascii="Times New Roman;Times;serif" w:hAnsi="Times New Roman;Times;serif"/>
          <w:sz w:val="20"/>
        </w:rPr>
        <w:t xml:space="preserve"> to three years under which the grantees earn an entitlement to vest over such stipulated services period. The share awards are only exercisable subject to the grantee’s continuous service and the consummation of a Qualified IPO by the Group.</w:t>
      </w:r>
    </w:p>
    <w:p>
      <w:pPr>
        <w:pStyle w:val="TextBody"/>
        <w:bidi w:val="0"/>
        <w:spacing w:lineRule="auto" w:line="285" w:before="40" w:after="200"/>
        <w:ind w:left="0" w:right="0" w:hanging="0"/>
        <w:jc w:val="left"/>
        <w:rPr>
          <w:rFonts w:ascii="Times New Roman;Times;serif" w:hAnsi="Times New Roman;Times;serif"/>
          <w:b/>
          <w:i/>
          <w:sz w:val="20"/>
        </w:rPr>
      </w:pPr>
      <w:r>
        <w:rPr>
          <w:rFonts w:ascii="Times New Roman;Times;serif" w:hAnsi="Times New Roman;Times;serif"/>
          <w:b/>
          <w:i/>
          <w:sz w:val="20"/>
        </w:rPr>
        <w:t>Share options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 summary of the share options activities for the year ended December 31, 2025 are presented below:</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99"/>
        <w:gridCol w:w="346"/>
        <w:gridCol w:w="1046"/>
        <w:gridCol w:w="346"/>
        <w:gridCol w:w="1081"/>
        <w:gridCol w:w="346"/>
        <w:gridCol w:w="886"/>
        <w:gridCol w:w="346"/>
        <w:gridCol w:w="946"/>
        <w:gridCol w:w="346"/>
        <w:gridCol w:w="917"/>
      </w:tblGrid>
      <w:tr>
        <w:trPr/>
        <w:tc>
          <w:tcPr>
            <w:tcW w:w="3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285365" cy="175260"/>
                      <wp:effectExtent l="0" t="0" r="0" b="0"/>
                      <wp:wrapNone/>
                      <wp:docPr id="567" name="Frame562"/>
                      <a:graphic xmlns:a="http://schemas.openxmlformats.org/drawingml/2006/main">
                        <a:graphicData uri="http://schemas.microsoft.com/office/word/2010/wordprocessingShape">
                          <wps:wsp>
                            <wps:cNvSpPr txBox="1"/>
                            <wps:spPr>
                              <a:xfrm>
                                <a:off x="0" y="0"/>
                                <a:ext cx="228536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19710" cy="175260"/>
                      <wp:effectExtent l="0" t="0" r="0" b="0"/>
                      <wp:wrapNone/>
                      <wp:docPr id="568"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64210" cy="175260"/>
                      <wp:effectExtent l="0" t="0" r="0" b="0"/>
                      <wp:wrapNone/>
                      <wp:docPr id="569" name="Frame564"/>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0" name="Frame5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86435" cy="175260"/>
                      <wp:effectExtent l="0" t="0" r="0" b="0"/>
                      <wp:wrapNone/>
                      <wp:docPr id="571" name="Frame56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2"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562610" cy="175260"/>
                      <wp:effectExtent l="0" t="0" r="0" b="0"/>
                      <wp:wrapNone/>
                      <wp:docPr id="573" name="Frame5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74"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00710" cy="175260"/>
                      <wp:effectExtent l="0" t="0" r="0" b="0"/>
                      <wp:wrapNone/>
                      <wp:docPr id="575" name="Frame57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76" name="Frame5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82295" cy="175260"/>
                      <wp:effectExtent l="0" t="0" r="0" b="0"/>
                      <wp:wrapNone/>
                      <wp:docPr id="577" name="Frame572"/>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59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0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08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307" w:before="0" w:after="1"/>
              <w:ind w:left="0" w:right="0" w:hanging="0"/>
              <w:jc w:val="center"/>
              <w:rPr/>
            </w:pPr>
            <w:r>
              <w:rPr/>
              <w:t>  ​ ​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307" w:before="0" w:after="1"/>
              <w:ind w:left="0" w:right="0" w:hanging="0"/>
              <w:jc w:val="center"/>
              <w:rPr/>
            </w:pPr>
            <w:r>
              <w:rPr/>
              <w:t>  ​ ​ ​</w:t>
            </w:r>
          </w:p>
        </w:tc>
        <w:tc>
          <w:tcPr>
            <w:tcW w:w="917" w:type="dxa"/>
            <w:tcBorders/>
            <w:vAlign w:val="center"/>
          </w:tcPr>
          <w:p>
            <w:pPr>
              <w:pStyle w:val="TableContents"/>
              <w:bidi w:val="0"/>
              <w:spacing w:lineRule="auto" w:line="307" w:before="0" w:after="160"/>
              <w:ind w:left="0" w:right="0" w:hanging="0"/>
              <w:jc w:val="center"/>
              <w:rPr/>
            </w:pPr>
            <w:r>
              <w:rPr/>
              <w:t>​</w:t>
            </w:r>
          </w:p>
        </w:tc>
      </w:tr>
      <w:tr>
        <w:trPr/>
        <w:tc>
          <w:tcPr>
            <w:tcW w:w="359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46"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lineRule="auto" w:line="307" w:before="0" w:after="160"/>
              <w:ind w:left="0" w:right="0" w:hanging="0"/>
              <w:jc w:val="center"/>
              <w:rPr/>
            </w:pPr>
            <w:r>
              <w:rPr/>
              <w:t>​</w:t>
            </w:r>
          </w:p>
        </w:tc>
        <w:tc>
          <w:tcPr>
            <w:tcW w:w="917"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Aggregate</w:t>
            </w:r>
          </w:p>
        </w:tc>
      </w:tr>
      <w:tr>
        <w:trPr/>
        <w:tc>
          <w:tcPr>
            <w:tcW w:w="359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b/>
                <w:sz w:val="16"/>
              </w:rPr>
              <w:t>Number of</w:t>
            </w:r>
            <w:r>
              <w:rPr>
                <w:rFonts w:ascii="Times New Roman;Times;serif" w:hAnsi="Times New Roman;Times;serif"/>
                <w:sz w:val="16"/>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grant-date</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lineRule="auto" w:line="307" w:before="0" w:after="160"/>
              <w:ind w:left="0" w:right="0" w:hanging="0"/>
              <w:jc w:val="center"/>
              <w:rPr/>
            </w:pPr>
            <w:r>
              <w:rPr/>
              <w:t>​</w:t>
            </w:r>
          </w:p>
        </w:tc>
        <w:tc>
          <w:tcPr>
            <w:tcW w:w="917"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intrinsic</w:t>
            </w:r>
          </w:p>
        </w:tc>
      </w:tr>
      <w:tr>
        <w:trPr/>
        <w:tc>
          <w:tcPr>
            <w:tcW w:w="359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307" w:before="0" w:after="16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b/>
                <w:sz w:val="16"/>
              </w:rPr>
              <w:t>exercise</w:t>
            </w:r>
            <w:r>
              <w:rPr>
                <w:rFonts w:ascii="Times New Roman;Times;serif" w:hAnsi="Times New Roman;Times;serif"/>
                <w:sz w:val="16"/>
              </w:rPr>
              <w:t> </w:t>
            </w:r>
            <w:r>
              <w:rPr>
                <w:rFonts w:ascii="Times New Roman;Times;serif" w:hAnsi="Times New Roman;Times;serif"/>
                <w:b/>
                <w:sz w:val="16"/>
              </w:rPr>
              <w:t>price</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lineRule="auto" w:line="307" w:before="0" w:after="160"/>
              <w:ind w:left="0" w:right="0" w:hanging="0"/>
              <w:jc w:val="center"/>
              <w:rPr/>
            </w:pPr>
            <w:r>
              <w:rPr/>
              <w:t>​</w:t>
            </w:r>
          </w:p>
        </w:tc>
        <w:tc>
          <w:tcPr>
            <w:tcW w:w="91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value</w:t>
            </w:r>
          </w:p>
        </w:tc>
      </w:tr>
      <w:tr>
        <w:trPr/>
        <w:tc>
          <w:tcPr>
            <w:tcW w:w="359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046" w:type="dxa"/>
            <w:tcBorders/>
            <w:vAlign w:val="center"/>
          </w:tcPr>
          <w:p>
            <w:pPr>
              <w:pStyle w:val="TableContents"/>
              <w:bidi w:val="0"/>
              <w:spacing w:lineRule="auto" w:line="307" w:before="0" w:after="1"/>
              <w:ind w:left="0" w:right="0" w:hanging="0"/>
              <w:jc w:val="center"/>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center"/>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917"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59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13,570,227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2.31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8.39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27,354</w:t>
            </w:r>
          </w:p>
        </w:tc>
      </w:tr>
      <w:tr>
        <w:trPr/>
        <w:tc>
          <w:tcPr>
            <w:tcW w:w="3599"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108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17" w:type="dxa"/>
            <w:tcBorders/>
            <w:vAlign w:val="center"/>
          </w:tcPr>
          <w:p>
            <w:pPr>
              <w:pStyle w:val="TableContents"/>
              <w:bidi w:val="0"/>
              <w:spacing w:lineRule="auto" w:line="307" w:before="0" w:after="160"/>
              <w:ind w:left="0" w:right="0" w:hanging="0"/>
              <w:jc w:val="left"/>
              <w:rPr/>
            </w:pPr>
            <w:r>
              <w:rPr/>
              <w:t>​</w:t>
            </w:r>
          </w:p>
        </w:tc>
      </w:tr>
      <w:tr>
        <w:trPr/>
        <w:tc>
          <w:tcPr>
            <w:tcW w:w="359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2,674,523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7" w:type="dxa"/>
            <w:tcBorders/>
            <w:shd w:fill="CCEEFF" w:val="clear"/>
            <w:vAlign w:val="center"/>
          </w:tcPr>
          <w:p>
            <w:pPr>
              <w:pStyle w:val="TableContents"/>
              <w:bidi w:val="0"/>
              <w:spacing w:lineRule="auto" w:line="307" w:before="0" w:after="1"/>
              <w:ind w:left="0" w:right="0" w:hanging="0"/>
              <w:jc w:val="right"/>
              <w:rPr/>
            </w:pPr>
            <w:r>
              <w:rPr/>
              <w:t>—</w:t>
            </w:r>
          </w:p>
        </w:tc>
      </w:tr>
      <w:tr>
        <w:trPr/>
        <w:tc>
          <w:tcPr>
            <w:tcW w:w="3599"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lineRule="auto" w:line="307" w:before="0" w:after="160"/>
              <w:ind w:left="0" w:right="0" w:hanging="0"/>
              <w:jc w:val="left"/>
              <w:rPr/>
            </w:pPr>
            <w:r>
              <w:rPr/>
              <w:t>​</w:t>
            </w:r>
          </w:p>
        </w:tc>
        <w:tc>
          <w:tcPr>
            <w:tcW w:w="10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(4,193,612)</w:t>
            </w:r>
          </w:p>
        </w:tc>
        <w:tc>
          <w:tcPr>
            <w:tcW w:w="346" w:type="dxa"/>
            <w:tcBorders/>
            <w:vAlign w:val="center"/>
          </w:tcPr>
          <w:p>
            <w:pPr>
              <w:pStyle w:val="TableContents"/>
              <w:bidi w:val="0"/>
              <w:spacing w:lineRule="auto" w:line="307" w:before="0" w:after="160"/>
              <w:ind w:left="0" w:right="0" w:hanging="0"/>
              <w:jc w:val="left"/>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17" w:type="dxa"/>
            <w:tcBorders/>
            <w:vAlign w:val="center"/>
          </w:tcPr>
          <w:p>
            <w:pPr>
              <w:pStyle w:val="TableContents"/>
              <w:bidi w:val="0"/>
              <w:spacing w:lineRule="auto" w:line="307" w:before="0" w:after="1"/>
              <w:ind w:left="0" w:right="0" w:hanging="0"/>
              <w:jc w:val="right"/>
              <w:rPr/>
            </w:pPr>
            <w:r>
              <w:rPr/>
              <w:t>—</w:t>
            </w:r>
          </w:p>
        </w:tc>
      </w:tr>
      <w:tr>
        <w:trPr/>
        <w:tc>
          <w:tcPr>
            <w:tcW w:w="3599" w:type="dxa"/>
            <w:tcBorders/>
            <w:shd w:fill="CCEEFF" w:val="clear"/>
            <w:vAlign w:val="center"/>
          </w:tcPr>
          <w:p>
            <w:pPr>
              <w:pStyle w:val="TableContents"/>
              <w:bidi w:val="0"/>
              <w:spacing w:lineRule="auto" w:line="307" w:before="0" w:after="160"/>
              <w:ind w:left="0" w:right="0" w:hanging="0"/>
              <w:jc w:val="lef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8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7" w:type="dxa"/>
            <w:tcBorders/>
            <w:shd w:fill="CCEEFF" w:val="clear"/>
            <w:vAlign w:val="center"/>
          </w:tcPr>
          <w:p>
            <w:pPr>
              <w:pStyle w:val="TableContents"/>
              <w:bidi w:val="0"/>
              <w:spacing w:lineRule="auto" w:line="307" w:before="0" w:after="160"/>
              <w:ind w:left="0" w:right="0" w:hanging="0"/>
              <w:jc w:val="left"/>
              <w:rPr/>
            </w:pPr>
            <w:r>
              <w:rPr/>
              <w:t>​</w:t>
            </w:r>
          </w:p>
        </w:tc>
      </w:tr>
      <w:tr>
        <w:trPr/>
        <w:tc>
          <w:tcPr>
            <w:tcW w:w="3599"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2025</w:t>
            </w:r>
          </w:p>
        </w:tc>
        <w:tc>
          <w:tcPr>
            <w:tcW w:w="346" w:type="dxa"/>
            <w:tcBorders/>
            <w:vAlign w:val="center"/>
          </w:tcPr>
          <w:p>
            <w:pPr>
              <w:pStyle w:val="TableContents"/>
              <w:bidi w:val="0"/>
              <w:spacing w:lineRule="auto" w:line="307" w:before="0" w:after="160"/>
              <w:ind w:left="0" w:right="0" w:hanging="0"/>
              <w:jc w:val="left"/>
              <w:rPr/>
            </w:pPr>
            <w:r>
              <w:rPr/>
              <w:t>​</w:t>
            </w:r>
          </w:p>
        </w:tc>
        <w:tc>
          <w:tcPr>
            <w:tcW w:w="10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12,051,138</w:t>
            </w:r>
          </w:p>
        </w:tc>
        <w:tc>
          <w:tcPr>
            <w:tcW w:w="346" w:type="dxa"/>
            <w:tcBorders/>
            <w:vAlign w:val="center"/>
          </w:tcPr>
          <w:p>
            <w:pPr>
              <w:pStyle w:val="TableContents"/>
              <w:bidi w:val="0"/>
              <w:spacing w:lineRule="auto" w:line="307" w:before="0" w:after="160"/>
              <w:ind w:left="0" w:right="0" w:hanging="0"/>
              <w:jc w:val="left"/>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2.05</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7.79</w:t>
            </w:r>
          </w:p>
        </w:tc>
        <w:tc>
          <w:tcPr>
            <w:tcW w:w="346" w:type="dxa"/>
            <w:tcBorders/>
            <w:vAlign w:val="center"/>
          </w:tcPr>
          <w:p>
            <w:pPr>
              <w:pStyle w:val="TableContents"/>
              <w:bidi w:val="0"/>
              <w:spacing w:lineRule="auto" w:line="307" w:before="0" w:after="160"/>
              <w:ind w:left="0" w:right="0" w:hanging="0"/>
              <w:jc w:val="left"/>
              <w:rPr/>
            </w:pPr>
            <w:r>
              <w:rPr/>
              <w:t>​</w:t>
            </w:r>
          </w:p>
        </w:tc>
        <w:tc>
          <w:tcPr>
            <w:tcW w:w="917" w:type="dxa"/>
            <w:tcBorders/>
            <w:vAlign w:val="center"/>
          </w:tcPr>
          <w:p>
            <w:pPr>
              <w:pStyle w:val="TableContents"/>
              <w:bidi w:val="0"/>
              <w:spacing w:lineRule="auto" w:line="307" w:before="0" w:after="1"/>
              <w:ind w:left="0" w:right="0" w:hanging="0"/>
              <w:jc w:val="right"/>
              <w:rPr/>
            </w:pPr>
            <w:r>
              <w:rPr/>
              <w:t>—</w:t>
            </w:r>
          </w:p>
        </w:tc>
      </w:tr>
      <w:tr>
        <w:trPr/>
        <w:tc>
          <w:tcPr>
            <w:tcW w:w="3599"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Vested and expected to vest as of December 31, 2025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12,051,138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2.05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7.79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7" w:type="dxa"/>
            <w:tcBorders/>
            <w:shd w:fill="CCEEFF" w:val="clear"/>
            <w:vAlign w:val="center"/>
          </w:tcPr>
          <w:p>
            <w:pPr>
              <w:pStyle w:val="TableContents"/>
              <w:bidi w:val="0"/>
              <w:spacing w:lineRule="auto" w:line="307" w:before="0" w:after="1"/>
              <w:ind w:left="0" w:right="0" w:hanging="0"/>
              <w:jc w:val="right"/>
              <w:rPr/>
            </w:pPr>
            <w:r>
              <w:rPr/>
              <w:t>—</w:t>
            </w:r>
          </w:p>
        </w:tc>
      </w:tr>
      <w:tr>
        <w:trPr/>
        <w:tc>
          <w:tcPr>
            <w:tcW w:w="3599"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Exercisable as of December 31, 2025</w:t>
            </w:r>
          </w:p>
        </w:tc>
        <w:tc>
          <w:tcPr>
            <w:tcW w:w="346" w:type="dxa"/>
            <w:tcBorders/>
            <w:vAlign w:val="center"/>
          </w:tcPr>
          <w:p>
            <w:pPr>
              <w:pStyle w:val="TableContents"/>
              <w:bidi w:val="0"/>
              <w:spacing w:lineRule="auto" w:line="307" w:before="0" w:after="160"/>
              <w:ind w:left="0" w:right="0" w:hanging="0"/>
              <w:jc w:val="left"/>
              <w:rPr/>
            </w:pPr>
            <w:r>
              <w:rPr/>
              <w:t>​</w:t>
            </w:r>
          </w:p>
        </w:tc>
        <w:tc>
          <w:tcPr>
            <w:tcW w:w="104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12,028,990</w:t>
            </w:r>
          </w:p>
        </w:tc>
        <w:tc>
          <w:tcPr>
            <w:tcW w:w="346" w:type="dxa"/>
            <w:tcBorders/>
            <w:vAlign w:val="center"/>
          </w:tcPr>
          <w:p>
            <w:pPr>
              <w:pStyle w:val="TableContents"/>
              <w:bidi w:val="0"/>
              <w:spacing w:lineRule="auto" w:line="307" w:before="0" w:after="160"/>
              <w:ind w:left="0" w:right="0" w:hanging="0"/>
              <w:jc w:val="left"/>
              <w:rPr/>
            </w:pPr>
            <w:r>
              <w:rPr/>
              <w:t>​</w:t>
            </w:r>
          </w:p>
        </w:tc>
        <w:tc>
          <w:tcPr>
            <w:tcW w:w="1081"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2.05</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7.79</w:t>
            </w:r>
          </w:p>
        </w:tc>
        <w:tc>
          <w:tcPr>
            <w:tcW w:w="346" w:type="dxa"/>
            <w:tcBorders/>
            <w:vAlign w:val="center"/>
          </w:tcPr>
          <w:p>
            <w:pPr>
              <w:pStyle w:val="TableContents"/>
              <w:bidi w:val="0"/>
              <w:spacing w:lineRule="auto" w:line="307" w:before="0" w:after="160"/>
              <w:ind w:left="0" w:right="0" w:hanging="0"/>
              <w:jc w:val="left"/>
              <w:rPr/>
            </w:pPr>
            <w:r>
              <w:rPr/>
              <w:t>​</w:t>
            </w:r>
          </w:p>
        </w:tc>
        <w:tc>
          <w:tcPr>
            <w:tcW w:w="917" w:type="dxa"/>
            <w:tcBorders/>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0"/>
        <w:ind w:left="0" w:right="0" w:firstLine="720"/>
        <w:jc w:val="both"/>
        <w:rPr>
          <w:rFonts w:ascii="Times New Roman;Times;serif" w:hAnsi="Times New Roman;Times;serif"/>
          <w:sz w:val="20"/>
        </w:rPr>
      </w:pPr>
      <w:bookmarkStart w:id="3070" w:name="_Hlk195781720"/>
      <w:bookmarkStart w:id="3071" w:name="Tc_cEXfQlnE7kS9-wW5BGOD_A_7_6"/>
      <w:bookmarkStart w:id="3072" w:name="Tc_L5xEysko7kia0yArEV3nLQ_6_6"/>
      <w:bookmarkStart w:id="3073" w:name="Tc_KW6UQ8mfP0q4soylG7G91A_6_0"/>
      <w:bookmarkStart w:id="3074" w:name="Tc_YBtB9FilKkOr5GtpCMsY7g_5_6"/>
      <w:bookmarkStart w:id="3075" w:name="Tc_WwoaRCrD4USnIBdrinnHMg_5_0"/>
      <w:bookmarkStart w:id="3076" w:name="Tc_foBnB5OxhEuxnX_hYg4hIg_4_6"/>
      <w:bookmarkStart w:id="3077" w:name="Tc_1sYsb9cvDkewIUGpcSax1g_4_0"/>
      <w:bookmarkStart w:id="3078" w:name="Tc_CqqYHXVSVU6N7ADTlbw3zA_3_6"/>
      <w:bookmarkStart w:id="3079" w:name="Tc_d8y6XqvKnk-mIpXJUlqSGg_3_4"/>
      <w:bookmarkStart w:id="3080" w:name="Tc_nadF5J9zm0OocV87_MeGhQ_3_2"/>
      <w:bookmarkStart w:id="3081" w:name="Tc_gTK4TQPbjEWAIoudOyGjjg_2_6"/>
      <w:bookmarkStart w:id="3082" w:name="Tc_wSqfbD9ktEq3uJATVo5mlg_2_4"/>
      <w:bookmarkStart w:id="3083" w:name="Tc_k-YxyUOdOkKEpVyt2TBL5w_2_2"/>
      <w:bookmarkStart w:id="3084" w:name="Tc_0W5GfIjpf0uJUkj9e2LHMQ_1_2"/>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r>
        <w:rPr>
          <w:rFonts w:ascii="Times New Roman;Times;serif" w:hAnsi="Times New Roman;Times;serif"/>
          <w:sz w:val="20"/>
        </w:rPr>
        <w:t>Compensation expenses recognized for share options during the years ended December 31, 2025, 2024 and 2023 were allocated as follows:</w:t>
      </w:r>
    </w:p>
    <w:p>
      <w:pPr>
        <w:pStyle w:val="TextBody"/>
        <w:bidi w:val="0"/>
        <w:spacing w:lineRule="auto" w:line="307" w:before="0" w:after="160"/>
        <w:ind w:left="0" w:right="0" w:hanging="0"/>
        <w:jc w:val="left"/>
        <w:rPr/>
      </w:pPr>
      <w:r>
        <w:rPr/>
        <w:t>​</w:t>
      </w:r>
    </w:p>
    <w:tbl>
      <w:tblPr>
        <w:tblW w:w="5887" w:type="dxa"/>
        <w:jc w:val="left"/>
        <w:tblInd w:w="0" w:type="dxa"/>
        <w:tblLayout w:type="fixed"/>
        <w:tblCellMar>
          <w:top w:w="0" w:type="dxa"/>
          <w:left w:w="0" w:type="dxa"/>
          <w:bottom w:w="0" w:type="dxa"/>
          <w:right w:w="0" w:type="dxa"/>
        </w:tblCellMar>
      </w:tblPr>
      <w:tblGrid>
        <w:gridCol w:w="3091"/>
        <w:gridCol w:w="346"/>
        <w:gridCol w:w="571"/>
        <w:gridCol w:w="346"/>
        <w:gridCol w:w="676"/>
        <w:gridCol w:w="346"/>
        <w:gridCol w:w="51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962785" cy="175260"/>
                      <wp:effectExtent l="0" t="0" r="0" b="0"/>
                      <wp:wrapNone/>
                      <wp:docPr id="578" name="Frame57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79" name="Frame5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362585" cy="175260"/>
                      <wp:effectExtent l="0" t="0" r="0" b="0"/>
                      <wp:wrapNone/>
                      <wp:docPr id="580" name="Frame5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81"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429260" cy="175260"/>
                      <wp:effectExtent l="0" t="0" r="0" b="0"/>
                      <wp:wrapNone/>
                      <wp:docPr id="582" name="Frame5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83" name="Frame5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324485" cy="175260"/>
                      <wp:effectExtent l="0" t="0" r="0" b="0"/>
                      <wp:wrapNone/>
                      <wp:docPr id="584" name="Frame57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right"/>
              <w:rPr/>
            </w:pPr>
            <w:r>
              <w:rPr/>
              <w:t>  ​ ​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3091" w:type="dxa"/>
            <w:tcBorders/>
            <w:vAlign w:val="center"/>
          </w:tcPr>
          <w:p>
            <w:pPr>
              <w:pStyle w:val="TableContents"/>
              <w:bidi w:val="0"/>
              <w:spacing w:lineRule="auto" w:line="307" w:before="0" w:after="160"/>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51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950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16,241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11" w:type="dxa"/>
            <w:tcBorders/>
            <w:shd w:fill="CCEEFF" w:val="clear"/>
            <w:vAlign w:val="center"/>
          </w:tcPr>
          <w:p>
            <w:pPr>
              <w:pStyle w:val="TableContents"/>
              <w:bidi w:val="0"/>
              <w:spacing w:lineRule="auto" w:line="307" w:before="0" w:after="1"/>
              <w:ind w:left="0" w:right="0" w:hanging="0"/>
              <w:jc w:val="right"/>
              <w:rPr/>
            </w:pPr>
            <w:r>
              <w:rPr/>
              <w:t>—</w:t>
            </w:r>
          </w:p>
        </w:tc>
      </w:tr>
      <w:tr>
        <w:trPr/>
        <w:tc>
          <w:tcPr>
            <w:tcW w:w="3091" w:type="dxa"/>
            <w:tcBorders/>
            <w:vAlign w:val="center"/>
          </w:tcPr>
          <w:p>
            <w:pPr>
              <w:pStyle w:val="TableContents"/>
              <w:bidi w:val="0"/>
              <w:spacing w:lineRule="auto" w:line="307" w:before="0" w:after="1"/>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1,247</w:t>
            </w:r>
          </w:p>
        </w:tc>
        <w:tc>
          <w:tcPr>
            <w:tcW w:w="346" w:type="dxa"/>
            <w:tcBorders/>
            <w:vAlign w:val="center"/>
          </w:tcPr>
          <w:p>
            <w:pPr>
              <w:pStyle w:val="TableContents"/>
              <w:bidi w:val="0"/>
              <w:spacing w:lineRule="auto" w:line="307" w:before="0" w:after="1"/>
              <w:ind w:left="0" w:right="0" w:hanging="0"/>
              <w:jc w:val="left"/>
              <w:rPr/>
            </w:pPr>
            <w:r>
              <w:rPr/>
              <w:t> </w:t>
            </w:r>
          </w:p>
        </w:tc>
        <w:tc>
          <w:tcPr>
            <w:tcW w:w="511" w:type="dxa"/>
            <w:tcBorders/>
            <w:vAlign w:val="center"/>
          </w:tcPr>
          <w:p>
            <w:pPr>
              <w:pStyle w:val="TableContents"/>
              <w:bidi w:val="0"/>
              <w:spacing w:lineRule="auto" w:line="307" w:before="0" w:after="1"/>
              <w:ind w:left="0" w:right="0" w:hanging="0"/>
              <w:jc w:val="right"/>
              <w:rPr/>
            </w:pPr>
            <w:r>
              <w:rPr/>
              <w:t>—</w:t>
            </w:r>
          </w:p>
        </w:tc>
      </w:tr>
      <w:tr>
        <w:trPr/>
        <w:tc>
          <w:tcPr>
            <w:tcW w:w="30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1,148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14,442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r>
      <w:tr>
        <w:trPr/>
        <w:tc>
          <w:tcPr>
            <w:tcW w:w="30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2,274</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31,930</w:t>
            </w:r>
          </w:p>
        </w:tc>
        <w:tc>
          <w:tcPr>
            <w:tcW w:w="346" w:type="dxa"/>
            <w:tcBorders/>
            <w:vAlign w:val="center"/>
          </w:tcPr>
          <w:p>
            <w:pPr>
              <w:pStyle w:val="TableContents"/>
              <w:bidi w:val="0"/>
              <w:spacing w:lineRule="auto" w:line="307" w:before="0" w:after="1"/>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160"/>
        <w:ind w:left="0" w:right="0" w:firstLine="720"/>
        <w:jc w:val="left"/>
        <w:rPr/>
      </w:pPr>
      <w:r>
        <w:rPr/>
        <w:t>​</w:t>
      </w:r>
    </w:p>
    <w:p>
      <w:pPr>
        <w:pStyle w:val="TextBody"/>
        <w:bidi w:val="0"/>
        <w:spacing w:lineRule="auto" w:line="285" w:before="0" w:after="200"/>
        <w:ind w:left="0" w:right="0" w:firstLine="720"/>
        <w:jc w:val="left"/>
        <w:rPr>
          <w:rFonts w:ascii="Times New Roman;Times;serif" w:hAnsi="Times New Roman;Times;serif"/>
          <w:sz w:val="22"/>
        </w:rPr>
      </w:pPr>
      <w:r>
        <w:rPr>
          <w:rFonts w:ascii="Times New Roman;Times;serif" w:hAnsi="Times New Roman;Times;serif"/>
          <w:sz w:val="20"/>
        </w:rPr>
        <w:t>As of December 31, 2025, there was US$39</w:t>
      </w:r>
      <w:r>
        <w:rPr>
          <w:rFonts w:ascii="Times New Roman;Times;serif" w:hAnsi="Times New Roman;Times;serif"/>
          <w:sz w:val="22"/>
        </w:rPr>
        <w:t xml:space="preserve"> </w:t>
      </w:r>
      <w:r>
        <w:rPr>
          <w:rFonts w:ascii="Times New Roman;Times;serif" w:hAnsi="Times New Roman;Times;serif"/>
          <w:sz w:val="20"/>
        </w:rPr>
        <w:t>of unrecognized share-based compensation expenses related to the share options granted. The expenses are expected to be recognized over a weighted-average period of 1.6</w:t>
      </w:r>
      <w:r>
        <w:rPr>
          <w:rFonts w:ascii="Times New Roman;Times;serif" w:hAnsi="Times New Roman;Times;serif"/>
          <w:sz w:val="22"/>
        </w:rPr>
        <w:t xml:space="preserve"> </w:t>
      </w:r>
      <w:r>
        <w:rPr>
          <w:rFonts w:ascii="Times New Roman;Times;serif" w:hAnsi="Times New Roman;Times;serif"/>
          <w:sz w:val="20"/>
        </w:rPr>
        <w:t>years.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For the year ended December 31, 2023, the Group did not recognize any share-based compensation expenses for the share options granted as all awards contain a performance condition which is contingent upon the completion of a Qualified IPO and is not considered probable until the event happens.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the Group consummated the Business Combination and recognized share-based compensation expenses of US$31,930.</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bookmarkStart w:id="3085" w:name="Tc_ShjlVKh8WkqXjfI3WogMRA_8_6"/>
      <w:bookmarkStart w:id="3086" w:name="Tc_d7iD6OnRqk2fkHjbtDLXdA_8_4"/>
      <w:bookmarkStart w:id="3087" w:name="Tc_ZkTx10ivtEqUo9P7CXT2vA_8_2"/>
      <w:bookmarkStart w:id="3088" w:name="Tc_6cxeB2spokKXwheNkv5JMw_8_0"/>
      <w:bookmarkStart w:id="3089" w:name="Tc_lfobaXHX2UeDgW8JJlCLtQ_7_6"/>
      <w:bookmarkStart w:id="3090" w:name="Tc_h4MzG15KBka006Q4XW8HJQ_7_4"/>
      <w:bookmarkStart w:id="3091" w:name="Tc_2joBQHNDxEi4Mh3wv6IpcQ_7_2"/>
      <w:bookmarkStart w:id="3092" w:name="Tc_UI5Bo3ELJ0qS-vZWdtYq1Q_7_0"/>
      <w:bookmarkStart w:id="3093" w:name="Tc_7CWdHheJTke1EohtE1kPkA_6_6"/>
      <w:bookmarkStart w:id="3094" w:name="Tc_23XOeoNsdUCi4v6DN39OFA_6_4"/>
      <w:bookmarkStart w:id="3095" w:name="Tc_GkGSqAD00Emp3K5lo6FIVQ_6_2"/>
      <w:bookmarkStart w:id="3096" w:name="Tc_mJNTIHdD0Ey81B6dKsz49g_6_0"/>
      <w:bookmarkStart w:id="3097" w:name="Tc_CnaZhY6GhE2iXM9267dXLQ_5_7"/>
      <w:bookmarkStart w:id="3098" w:name="Tc_5qsncViMSUiQOn5IXEF5Hg_5_5"/>
      <w:bookmarkStart w:id="3099" w:name="Tc_rbEDbkyfBU24tofzAgX1Bw_5_3"/>
      <w:bookmarkStart w:id="3100" w:name="Tc_P29Ux5H5J06cay67j8KUIw_5_0"/>
      <w:bookmarkStart w:id="3101" w:name="Tc_iWPtiEecy0uqRvyxd4OW2w_4_7"/>
      <w:bookmarkStart w:id="3102" w:name="Tc_j2vlxmCUf0eGnbtakUiELg_4_6"/>
      <w:bookmarkStart w:id="3103" w:name="Tc_1b1Drcgahkashft0oTcVLg_4_5"/>
      <w:bookmarkStart w:id="3104" w:name="Tc_1YgEqkOiwUqHHc5KrEPNcA_4_4"/>
      <w:bookmarkStart w:id="3105" w:name="Tc_5WMyh4f0P0G9n90aJSvCOQ_4_3"/>
      <w:bookmarkStart w:id="3106" w:name="Tc_FfIu-2TOhk6oTVeB1RtMeg_4_2"/>
      <w:bookmarkStart w:id="3107" w:name="Tc_dYsz0GnbukW73F7TNclUdg_4_0"/>
      <w:bookmarkStart w:id="3108" w:name="Tc_xreni0ZJSkG4aghhpCZAuA_3_7"/>
      <w:bookmarkStart w:id="3109" w:name="Tc_9mGl2eYkNUGJz6DCps_xSA_3_6"/>
      <w:bookmarkStart w:id="3110" w:name="Tc_Rz6fGZ_-WkmPkRf9wF33tg_3_5"/>
      <w:bookmarkStart w:id="3111" w:name="Tc_0ZnOxrwQMEmjTqPtpElD7A_3_4"/>
      <w:bookmarkStart w:id="3112" w:name="Tc_qfeWZBMe_UyCZZHy4eeqyA_3_3"/>
      <w:bookmarkStart w:id="3113" w:name="Tc_DAGrUYuLbkKnfSaR1Lacnw_3_2"/>
      <w:bookmarkStart w:id="3114" w:name="Tc_DZ-gHbIrK067brQUbrJQJQ_3_0"/>
      <w:bookmarkStart w:id="3115" w:name="Tc_ysUDoqAmDkC3px441PJzfA_2_6"/>
      <w:bookmarkStart w:id="3116" w:name="Tc_vW9RrM808UeClalkVULugA_2_4"/>
      <w:bookmarkStart w:id="3117" w:name="Tc_Qr60-U0nuUWMdup_af2Wtw_2_2"/>
      <w:bookmarkStart w:id="3118" w:name="Tc_Zw3_nfUoHky8X2avOHtq3Q_2_0"/>
      <w:bookmarkStart w:id="3119" w:name="Tc__oeDVNAvLUalg-aIUF_bfw_1_2"/>
      <w:bookmarkStart w:id="3120" w:name="_2079bd02_3a07_4871_be11_779283d6e799"/>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r>
        <w:rPr>
          <w:rFonts w:ascii="Times New Roman;Times;serif" w:hAnsi="Times New Roman;Times;serif"/>
          <w:sz w:val="20"/>
        </w:rPr>
        <w:t>For the options granted to employees of an entity controlled by the controlling shareholder of the Company (“Company A”), the Group elects to recognize the fair value of these options as dividends to the shareholder upon exercise. As of December 31, 2025, the number of shares to be issued upon the exercise of these options was 387,593. The total fair value of these awards measured on the grant date was US$855. As the Company A is providing sports cars to the Group and the Group pays the purchase price at market rates, no share-based compensation expense is reflected for these grants. None of options granted to employees of Company A were exercised for the years ended December 31, 2025 and 2024.</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fair values of the options granted were estimated on grant dates using the binomial option pricing model with the following assumptions used:</w:t>
      </w:r>
    </w:p>
    <w:p>
      <w:pPr>
        <w:pStyle w:val="TextBody"/>
        <w:bidi w:val="0"/>
        <w:spacing w:lineRule="auto" w:line="307" w:before="0" w:after="160"/>
        <w:ind w:left="0" w:right="0" w:hanging="0"/>
        <w:jc w:val="left"/>
        <w:rPr/>
      </w:pPr>
      <w:r>
        <w:rPr/>
        <w:t>​</w:t>
      </w:r>
    </w:p>
    <w:tbl>
      <w:tblPr>
        <w:tblW w:w="9653" w:type="dxa"/>
        <w:jc w:val="left"/>
        <w:tblInd w:w="0" w:type="dxa"/>
        <w:tblLayout w:type="fixed"/>
        <w:tblCellMar>
          <w:top w:w="0" w:type="dxa"/>
          <w:left w:w="0" w:type="dxa"/>
          <w:bottom w:w="0" w:type="dxa"/>
          <w:right w:w="0" w:type="dxa"/>
        </w:tblCellMar>
      </w:tblPr>
      <w:tblGrid>
        <w:gridCol w:w="3541"/>
        <w:gridCol w:w="346"/>
        <w:gridCol w:w="1576"/>
        <w:gridCol w:w="361"/>
        <w:gridCol w:w="1576"/>
        <w:gridCol w:w="361"/>
        <w:gridCol w:w="1576"/>
        <w:gridCol w:w="31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248535" cy="175260"/>
                      <wp:effectExtent l="0" t="0" r="0" b="0"/>
                      <wp:wrapNone/>
                      <wp:docPr id="585" name="Frame580"/>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86"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000760" cy="175260"/>
                      <wp:effectExtent l="0" t="0" r="0" b="0"/>
                      <wp:wrapNone/>
                      <wp:docPr id="587" name="Frame582"/>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29235" cy="175260"/>
                      <wp:effectExtent l="0" t="0" r="0" b="0"/>
                      <wp:wrapNone/>
                      <wp:docPr id="588" name="Frame58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000760" cy="175260"/>
                      <wp:effectExtent l="0" t="0" r="0" b="0"/>
                      <wp:wrapNone/>
                      <wp:docPr id="589" name="Frame58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29235" cy="175260"/>
                      <wp:effectExtent l="0" t="0" r="0" b="0"/>
                      <wp:wrapNone/>
                      <wp:docPr id="590" name="Frame58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000760" cy="175260"/>
                      <wp:effectExtent l="0" t="0" r="0" b="0"/>
                      <wp:wrapNone/>
                      <wp:docPr id="591" name="Frame58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0660" cy="175260"/>
                      <wp:effectExtent l="0" t="0" r="0" b="0"/>
                      <wp:wrapNone/>
                      <wp:docPr id="592" name="Frame58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545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354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Grant dates:</w:t>
            </w:r>
          </w:p>
        </w:tc>
        <w:tc>
          <w:tcPr>
            <w:tcW w:w="346" w:type="dxa"/>
            <w:tcBorders/>
            <w:vAlign w:val="center"/>
          </w:tcPr>
          <w:p>
            <w:pPr>
              <w:pStyle w:val="TableContents"/>
              <w:bidi w:val="0"/>
              <w:spacing w:lineRule="auto" w:line="307" w:before="0" w:after="1"/>
              <w:ind w:left="0" w:right="0" w:hanging="0"/>
              <w:jc w:val="left"/>
              <w:rPr/>
            </w:pPr>
            <w:r>
              <w:rPr/>
              <w:t>  ​ ​ ​</w:t>
            </w:r>
          </w:p>
        </w:tc>
        <w:tc>
          <w:tcPr>
            <w:tcW w:w="15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lineRule="auto" w:line="307" w:before="0" w:after="1"/>
              <w:ind w:left="0" w:right="0" w:hanging="0"/>
              <w:jc w:val="left"/>
              <w:rPr/>
            </w:pPr>
            <w:r>
              <w:rPr/>
              <w:t>  ​ ​ ​</w:t>
            </w:r>
          </w:p>
        </w:tc>
        <w:tc>
          <w:tcPr>
            <w:tcW w:w="15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lineRule="auto" w:line="307" w:before="0" w:after="1"/>
              <w:ind w:left="0" w:right="0" w:hanging="0"/>
              <w:jc w:val="left"/>
              <w:rPr/>
            </w:pPr>
            <w:r>
              <w:rPr/>
              <w:t>  ​ ​ ​</w:t>
            </w:r>
          </w:p>
        </w:tc>
        <w:tc>
          <w:tcPr>
            <w:tcW w:w="15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35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Risk</w:t>
              <w:noBreakHyphen/>
              <w:t xml:space="preserve">free interest rate </w:t>
            </w:r>
            <w:r>
              <w:rPr>
                <w:rFonts w:ascii="Times New Roman;Times;serif" w:hAnsi="Times New Roman;Times;serif"/>
                <w:sz w:val="15"/>
              </w:rPr>
              <w:t>(i)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4.20%-4.53</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3.71%-4.58</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3.4%-4.79</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Expected volatility </w:t>
            </w:r>
            <w:r>
              <w:rPr>
                <w:rFonts w:ascii="Times New Roman;Times;serif" w:hAnsi="Times New Roman;Times;serif"/>
                <w:sz w:val="15"/>
              </w:rPr>
              <w:t>(ii)</w:t>
            </w:r>
          </w:p>
        </w:tc>
        <w:tc>
          <w:tcPr>
            <w:tcW w:w="346" w:type="dxa"/>
            <w:tcBorders/>
            <w:vAlign w:val="center"/>
          </w:tcPr>
          <w:p>
            <w:pPr>
              <w:pStyle w:val="TableContents"/>
              <w:bidi w:val="0"/>
              <w:spacing w:lineRule="auto" w:line="307" w:before="0" w:after="160"/>
              <w:ind w:left="0" w:right="0" w:hanging="0"/>
              <w:jc w:val="left"/>
              <w:rPr/>
            </w:pPr>
            <w:r>
              <w:rPr/>
              <w:t>​</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55.58%-56.22</w:t>
            </w:r>
          </w:p>
        </w:tc>
        <w:tc>
          <w:tcPr>
            <w:tcW w:w="3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54.11%-55.59</w:t>
            </w:r>
          </w:p>
        </w:tc>
        <w:tc>
          <w:tcPr>
            <w:tcW w:w="36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54.06%-54.48</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Expected dividend yield </w:t>
            </w:r>
            <w:r>
              <w:rPr>
                <w:rFonts w:ascii="Times New Roman;Times;serif" w:hAnsi="Times New Roman;Times;serif"/>
                <w:sz w:val="15"/>
              </w:rPr>
              <w:t>(iii)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 multiple </w:t>
            </w:r>
            <w:r>
              <w:rPr>
                <w:rFonts w:ascii="Times New Roman;Times;serif" w:hAnsi="Times New Roman;Times;serif"/>
                <w:sz w:val="15"/>
              </w:rPr>
              <w:t>(iv)</w:t>
            </w:r>
          </w:p>
        </w:tc>
        <w:tc>
          <w:tcPr>
            <w:tcW w:w="346" w:type="dxa"/>
            <w:tcBorders/>
            <w:vAlign w:val="center"/>
          </w:tcPr>
          <w:p>
            <w:pPr>
              <w:pStyle w:val="TableContents"/>
              <w:bidi w:val="0"/>
              <w:spacing w:lineRule="auto" w:line="307" w:before="0" w:after="160"/>
              <w:ind w:left="0" w:right="0" w:hanging="0"/>
              <w:jc w:val="left"/>
              <w:rPr/>
            </w:pPr>
            <w:r>
              <w:rPr/>
              <w:t>​</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2.20-2.80</w:t>
            </w:r>
          </w:p>
        </w:tc>
        <w:tc>
          <w:tcPr>
            <w:tcW w:w="361" w:type="dxa"/>
            <w:tcBorders/>
            <w:vAlign w:val="center"/>
          </w:tcPr>
          <w:p>
            <w:pPr>
              <w:pStyle w:val="TableContents"/>
              <w:bidi w:val="0"/>
              <w:spacing w:lineRule="auto" w:line="307" w:before="0" w:after="1"/>
              <w:ind w:left="0" w:right="0" w:hanging="0"/>
              <w:jc w:val="left"/>
              <w:rPr/>
            </w:pPr>
            <w:r>
              <w:rPr/>
              <w:t> </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2.20-2.80</w:t>
            </w:r>
          </w:p>
        </w:tc>
        <w:tc>
          <w:tcPr>
            <w:tcW w:w="361" w:type="dxa"/>
            <w:tcBorders/>
            <w:vAlign w:val="center"/>
          </w:tcPr>
          <w:p>
            <w:pPr>
              <w:pStyle w:val="TableContents"/>
              <w:bidi w:val="0"/>
              <w:spacing w:lineRule="auto" w:line="307" w:before="0" w:after="1"/>
              <w:ind w:left="0" w:right="0" w:hanging="0"/>
              <w:jc w:val="left"/>
              <w:rPr/>
            </w:pPr>
            <w:r>
              <w:rPr/>
              <w:t> </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2.20-2.80</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35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Expected terms </w:t>
            </w:r>
            <w:r>
              <w:rPr>
                <w:rFonts w:ascii="Times New Roman;Times;serif" w:hAnsi="Times New Roman;Times;serif"/>
                <w:sz w:val="15"/>
              </w:rPr>
              <w:t>(v)</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10.00</w:t>
            </w:r>
            <w:r>
              <w:rPr>
                <w:rFonts w:ascii="Times New Roman;Times;serif" w:hAnsi="Times New Roman;Times;serif"/>
                <w:sz w:val="22"/>
              </w:rPr>
              <w:t xml:space="preserve"> </w:t>
            </w:r>
            <w:r>
              <w:rPr>
                <w:rFonts w:ascii="Times New Roman;Times;serif" w:hAnsi="Times New Roman;Times;serif"/>
                <w:sz w:val="20"/>
              </w:rPr>
              <w:t>years</w:t>
            </w:r>
          </w:p>
        </w:tc>
        <w:tc>
          <w:tcPr>
            <w:tcW w:w="361" w:type="dxa"/>
            <w:tcBorders/>
            <w:shd w:fill="CCEEFF" w:val="clear"/>
            <w:vAlign w:val="center"/>
          </w:tcPr>
          <w:p>
            <w:pPr>
              <w:pStyle w:val="TableContents"/>
              <w:bidi w:val="0"/>
              <w:spacing w:lineRule="auto" w:line="307" w:before="0" w:after="1"/>
              <w:ind w:left="0" w:right="0" w:hanging="0"/>
              <w:jc w:val="left"/>
              <w:rPr/>
            </w:pPr>
            <w:r>
              <w:rPr/>
              <w:t> </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10.00</w:t>
            </w:r>
            <w:r>
              <w:rPr>
                <w:rFonts w:ascii="Times New Roman;Times;serif" w:hAnsi="Times New Roman;Times;serif"/>
                <w:sz w:val="22"/>
              </w:rPr>
              <w:t xml:space="preserve"> </w:t>
            </w:r>
            <w:r>
              <w:rPr>
                <w:rFonts w:ascii="Times New Roman;Times;serif" w:hAnsi="Times New Roman;Times;serif"/>
                <w:sz w:val="20"/>
              </w:rPr>
              <w:t>years</w:t>
            </w:r>
          </w:p>
        </w:tc>
        <w:tc>
          <w:tcPr>
            <w:tcW w:w="361" w:type="dxa"/>
            <w:tcBorders/>
            <w:shd w:fill="CCEEFF" w:val="clear"/>
            <w:vAlign w:val="center"/>
          </w:tcPr>
          <w:p>
            <w:pPr>
              <w:pStyle w:val="TableContents"/>
              <w:bidi w:val="0"/>
              <w:spacing w:lineRule="auto" w:line="307" w:before="0" w:after="1"/>
              <w:ind w:left="0" w:right="0" w:hanging="0"/>
              <w:jc w:val="left"/>
              <w:rPr/>
            </w:pPr>
            <w:r>
              <w:rPr/>
              <w:t> </w:t>
            </w:r>
          </w:p>
        </w:tc>
        <w:tc>
          <w:tcPr>
            <w:tcW w:w="15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2"/>
              </w:rPr>
            </w:pPr>
            <w:r>
              <w:rPr>
                <w:rFonts w:ascii="Times New Roman;Times;serif" w:hAnsi="Times New Roman;Times;serif"/>
                <w:sz w:val="20"/>
              </w:rPr>
              <w:t>10.00</w:t>
            </w:r>
            <w:r>
              <w:rPr>
                <w:rFonts w:ascii="Times New Roman;Times;serif" w:hAnsi="Times New Roman;Times;serif"/>
                <w:sz w:val="22"/>
              </w:rPr>
              <w:t xml:space="preserve"> </w:t>
            </w:r>
            <w:r>
              <w:rPr>
                <w:rFonts w:ascii="Times New Roman;Times;serif" w:hAnsi="Times New Roman;Times;serif"/>
                <w:sz w:val="20"/>
              </w:rPr>
              <w:t>years</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35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Fair value of underlying ordinary share </w:t>
            </w:r>
            <w:r>
              <w:rPr>
                <w:rFonts w:ascii="Times New Roman;Times;serif" w:hAnsi="Times New Roman;Times;serif"/>
                <w:sz w:val="15"/>
              </w:rPr>
              <w:t>(vi)</w:t>
            </w:r>
          </w:p>
        </w:tc>
        <w:tc>
          <w:tcPr>
            <w:tcW w:w="346" w:type="dxa"/>
            <w:tcBorders/>
            <w:vAlign w:val="center"/>
          </w:tcPr>
          <w:p>
            <w:pPr>
              <w:pStyle w:val="TableContents"/>
              <w:bidi w:val="0"/>
              <w:spacing w:lineRule="auto" w:line="307" w:before="0" w:after="160"/>
              <w:ind w:left="0" w:right="0" w:hanging="0"/>
              <w:jc w:val="left"/>
              <w:rPr/>
            </w:pPr>
            <w:r>
              <w:rPr/>
              <w:t>​</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US$1.87-US$3.61</w:t>
            </w:r>
          </w:p>
        </w:tc>
        <w:tc>
          <w:tcPr>
            <w:tcW w:w="361" w:type="dxa"/>
            <w:tcBorders/>
            <w:vAlign w:val="center"/>
          </w:tcPr>
          <w:p>
            <w:pPr>
              <w:pStyle w:val="TableContents"/>
              <w:bidi w:val="0"/>
              <w:spacing w:lineRule="auto" w:line="307" w:before="0" w:after="1"/>
              <w:ind w:left="0" w:right="0" w:hanging="0"/>
              <w:jc w:val="left"/>
              <w:rPr/>
            </w:pPr>
            <w:r>
              <w:rPr/>
              <w:t> </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US$4.06-US$9.81</w:t>
            </w:r>
          </w:p>
        </w:tc>
        <w:tc>
          <w:tcPr>
            <w:tcW w:w="361" w:type="dxa"/>
            <w:tcBorders/>
            <w:vAlign w:val="center"/>
          </w:tcPr>
          <w:p>
            <w:pPr>
              <w:pStyle w:val="TableContents"/>
              <w:bidi w:val="0"/>
              <w:spacing w:lineRule="auto" w:line="307" w:before="0" w:after="1"/>
              <w:ind w:left="0" w:right="0" w:hanging="0"/>
              <w:jc w:val="left"/>
              <w:rPr/>
            </w:pPr>
            <w:r>
              <w:rPr/>
              <w:t> </w:t>
            </w:r>
          </w:p>
        </w:tc>
        <w:tc>
          <w:tcPr>
            <w:tcW w:w="15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US$5.91-US$8.93</w:t>
            </w:r>
          </w:p>
        </w:tc>
        <w:tc>
          <w:tcPr>
            <w:tcW w:w="316"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(i)The risk-free interest rate was estimated based on the yield to maturity of U.S. treasury bonds denominated in US$ for a term consistent with the expected term of the Company’s options in effect at the valuation date.</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(ii)The expected volatility was estimated based on the historical volatility of comparable peer public companies with a time horizon close to the expected term of the Company’s options.</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(iii)Expected dividend yield was zero as the Company does not anticipate any dividend payments in the foreseeable future.</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(iv)The expected exercise multiple was estimated as the average ratio of the stock price to the exercise price of when employees or nonemployees would decide to voluntarily exercise their vested options. As the Company did not have sufficient information of past employees or nonemployees exercise history, it was estimated by referencing to a widely-accepted academic research publication.</w:t>
      </w:r>
    </w:p>
    <w:p>
      <w:pPr>
        <w:pStyle w:val="TextBody"/>
        <w:bidi w:val="0"/>
        <w:spacing w:lineRule="auto" w:line="285" w:before="0" w:after="200"/>
        <w:ind w:left="0" w:right="0" w:hanging="0"/>
        <w:jc w:val="both"/>
        <w:rPr>
          <w:rFonts w:ascii="Times New Roman;Times;serif" w:hAnsi="Times New Roman;Times;serif"/>
          <w:sz w:val="20"/>
        </w:rPr>
      </w:pPr>
      <w:r>
        <w:rPr>
          <w:rFonts w:ascii="Times New Roman;Times;serif" w:hAnsi="Times New Roman;Times;serif"/>
          <w:sz w:val="20"/>
        </w:rPr>
        <w:t>(v)Expected term was the contract life of the share options.</w:t>
      </w:r>
    </w:p>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2"/>
        </w:rPr>
        <w:t>(vi)</w:t>
      </w:r>
      <w:r>
        <w:rPr>
          <w:rFonts w:ascii="Times New Roman;Times;serif" w:hAnsi="Times New Roman;Times;serif"/>
          <w:sz w:val="20"/>
        </w:rPr>
        <w:t>The estimated fair value was determined using the discounted cash flow method based on the equity allocation model before the consummation of the Merger Transaction, and open market price after the consummation of the Merger Transaction, respectively.</w:t>
      </w:r>
    </w:p>
    <w:p>
      <w:pPr>
        <w:pStyle w:val="TextBody"/>
        <w:pBdr/>
        <w:bidi w:val="0"/>
        <w:spacing w:lineRule="auto" w:line="307" w:before="0" w:after="200"/>
        <w:ind w:left="0" w:right="0" w:hanging="36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3121" w:name="Tc_6pjuUFWzCEySoNFNXy6cTw_4_0"/>
      <w:bookmarkStart w:id="3122" w:name="Tc_wnOYaO5JKE2HwY4vZrALdw_3_6"/>
      <w:bookmarkStart w:id="3123" w:name="Tc_z6teb_aWREybbdd3bMd4tw_3_4"/>
      <w:bookmarkStart w:id="3124" w:name="Tc_hGmOLb3_BUe-vRexkCaKbw_3_2"/>
      <w:bookmarkStart w:id="3125" w:name="Tc_nGMXxiRrik6YIDfWtBL6Qg_2_6"/>
      <w:bookmarkStart w:id="3126" w:name="Tc_P2IGiRyfyUSkva6H5yJPUQ_2_4"/>
      <w:bookmarkStart w:id="3127" w:name="Tc_oDEpqP0NbkG6-qKaE1i9Xg_2_2"/>
      <w:bookmarkStart w:id="3128" w:name="Tc__MdyT4XGUEiOgrGdIIx0HQ_1_4"/>
      <w:bookmarkStart w:id="3129" w:name="Tc_9HPcSRgkp0iPRSOyvslQjw_1_2"/>
      <w:bookmarkStart w:id="3130" w:name="_3a257273_9339_4bac_a734_b60c5d1aae3b"/>
      <w:bookmarkStart w:id="3131" w:name="Tc_qpZC9vkrRUSV8zYYxCdE-w_4_0"/>
      <w:bookmarkStart w:id="3132" w:name="Tc_km3BzcBsqE-yCN4YdmtIpQ_3_6"/>
      <w:bookmarkStart w:id="3133" w:name="Tc_VjwnL_3t40S28J9IVttzvQ_3_4"/>
      <w:bookmarkStart w:id="3134" w:name="Tc_eqcGf94DR0ioWWcsAdbMWA_3_2"/>
      <w:bookmarkStart w:id="3135" w:name="Tc_0keoTJV3c0iAU2Q9k9fjHQ_2_6"/>
      <w:bookmarkStart w:id="3136" w:name="Tc_qioZ8W6GmE-M53_zar7Phg_2_4"/>
      <w:bookmarkStart w:id="3137" w:name="Tc_VyI67sa8bkSVRUOCIWjchw_2_2"/>
      <w:bookmarkStart w:id="3138" w:name="Tc_ojFLmumw10KjBY2VIShoKQ_1_4"/>
      <w:bookmarkStart w:id="3139" w:name="Tc_OZxOUDCON0yMc7DbXmzlNw_1_2"/>
      <w:bookmarkStart w:id="3140" w:name="Tc_6pjuUFWzCEySoNFNXy6cTw_4_0"/>
      <w:bookmarkStart w:id="3141" w:name="Tc_wnOYaO5JKE2HwY4vZrALdw_3_6"/>
      <w:bookmarkStart w:id="3142" w:name="Tc_z6teb_aWREybbdd3bMd4tw_3_4"/>
      <w:bookmarkStart w:id="3143" w:name="Tc_hGmOLb3_BUe-vRexkCaKbw_3_2"/>
      <w:bookmarkStart w:id="3144" w:name="Tc_nGMXxiRrik6YIDfWtBL6Qg_2_6"/>
      <w:bookmarkStart w:id="3145" w:name="Tc_P2IGiRyfyUSkva6H5yJPUQ_2_4"/>
      <w:bookmarkStart w:id="3146" w:name="Tc_oDEpqP0NbkG6-qKaE1i9Xg_2_2"/>
      <w:bookmarkStart w:id="3147" w:name="Tc__MdyT4XGUEiOgrGdIIx0HQ_1_4"/>
      <w:bookmarkStart w:id="3148" w:name="Tc_9HPcSRgkp0iPRSOyvslQjw_1_2"/>
      <w:bookmarkStart w:id="3149" w:name="_3a257273_9339_4bac_a734_b60c5d1aae3b"/>
      <w:bookmarkStart w:id="3150" w:name="Tc_qpZC9vkrRUSV8zYYxCdE-w_4_0"/>
      <w:bookmarkStart w:id="3151" w:name="Tc_km3BzcBsqE-yCN4YdmtIpQ_3_6"/>
      <w:bookmarkStart w:id="3152" w:name="Tc_VjwnL_3t40S28J9IVttzvQ_3_4"/>
      <w:bookmarkStart w:id="3153" w:name="Tc_eqcGf94DR0ioWWcsAdbMWA_3_2"/>
      <w:bookmarkStart w:id="3154" w:name="Tc_0keoTJV3c0iAU2Q9k9fjHQ_2_6"/>
      <w:bookmarkStart w:id="3155" w:name="Tc_qioZ8W6GmE-M53_zar7Phg_2_4"/>
      <w:bookmarkStart w:id="3156" w:name="Tc_VyI67sa8bkSVRUOCIWjchw_2_2"/>
      <w:bookmarkStart w:id="3157" w:name="Tc_ojFLmumw10KjBY2VIShoKQ_1_4"/>
      <w:bookmarkStart w:id="3158" w:name="Tc_OZxOUDCON0yMc7DbXmzlNw_1_2"/>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p>
    <w:tbl>
      <w:tblPr>
        <w:tblW w:w="4202" w:type="dxa"/>
        <w:jc w:val="left"/>
        <w:tblInd w:w="0" w:type="dxa"/>
        <w:tblLayout w:type="fixed"/>
        <w:tblCellMar>
          <w:top w:w="0" w:type="dxa"/>
          <w:left w:w="0" w:type="dxa"/>
          <w:bottom w:w="0" w:type="dxa"/>
          <w:right w:w="0" w:type="dxa"/>
        </w:tblCellMar>
      </w:tblPr>
      <w:tblGrid>
        <w:gridCol w:w="376"/>
        <w:gridCol w:w="3826"/>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25.</w:t>
            </w:r>
          </w:p>
        </w:tc>
        <w:tc>
          <w:tcPr>
            <w:tcW w:w="382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lineRule="auto" w:line="285" w:before="40" w:after="200"/>
        <w:ind w:left="0" w:right="0" w:hanging="0"/>
        <w:jc w:val="left"/>
        <w:rPr>
          <w:rFonts w:ascii="Times New Roman;Times;serif" w:hAnsi="Times New Roman;Times;serif"/>
          <w:b/>
          <w:i/>
          <w:sz w:val="20"/>
        </w:rPr>
      </w:pPr>
      <w:r>
        <w:rPr>
          <w:rFonts w:ascii="Times New Roman;Times;serif" w:hAnsi="Times New Roman;Times;serif"/>
          <w:b/>
          <w:i/>
          <w:sz w:val="20"/>
        </w:rPr>
        <w:t>Purchase commitment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2025, the Group has future minimum purchase commitment related to the purchase of vehicles, research and development services and other operating services. Total purchase obligations contracted but not yet reflected in the consolidated financial statements as of December 31, 2025 were as follows:</w:t>
      </w:r>
    </w:p>
    <w:p>
      <w:pPr>
        <w:pStyle w:val="TextBody"/>
        <w:bidi w:val="0"/>
        <w:spacing w:lineRule="auto" w:line="307" w:before="0" w:after="160"/>
        <w:ind w:left="0" w:right="0" w:hanging="0"/>
        <w:jc w:val="both"/>
        <w:rPr/>
      </w:pPr>
      <w:r>
        <w:rPr/>
        <w:t>​</w:t>
      </w:r>
    </w:p>
    <w:tbl>
      <w:tblPr>
        <w:tblW w:w="5527" w:type="dxa"/>
        <w:jc w:val="left"/>
        <w:tblInd w:w="0" w:type="dxa"/>
        <w:tblLayout w:type="fixed"/>
        <w:tblCellMar>
          <w:top w:w="0" w:type="dxa"/>
          <w:left w:w="0" w:type="dxa"/>
          <w:bottom w:w="0" w:type="dxa"/>
          <w:right w:w="0" w:type="dxa"/>
        </w:tblCellMar>
      </w:tblPr>
      <w:tblGrid>
        <w:gridCol w:w="1906"/>
        <w:gridCol w:w="346"/>
        <w:gridCol w:w="826"/>
        <w:gridCol w:w="346"/>
        <w:gridCol w:w="871"/>
        <w:gridCol w:w="346"/>
        <w:gridCol w:w="88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210310" cy="175260"/>
                      <wp:effectExtent l="0" t="0" r="0" b="0"/>
                      <wp:wrapNone/>
                      <wp:docPr id="593" name="Frame588"/>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594"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524510" cy="175260"/>
                      <wp:effectExtent l="0" t="0" r="0" b="0"/>
                      <wp:wrapNone/>
                      <wp:docPr id="595" name="Frame5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596"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53085" cy="175260"/>
                      <wp:effectExtent l="0" t="0" r="0" b="0"/>
                      <wp:wrapNone/>
                      <wp:docPr id="597" name="Frame59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598"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62610" cy="175260"/>
                      <wp:effectExtent l="0" t="0" r="0" b="0"/>
                      <wp:wrapNone/>
                      <wp:docPr id="599" name="Frame59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Less than </w:t>
            </w:r>
          </w:p>
        </w:tc>
        <w:tc>
          <w:tcPr>
            <w:tcW w:w="346" w:type="dxa"/>
            <w:tcBorders/>
            <w:vAlign w:val="center"/>
          </w:tcPr>
          <w:p>
            <w:pPr>
              <w:pStyle w:val="TableContents"/>
              <w:bidi w:val="0"/>
              <w:spacing w:lineRule="auto" w:line="307" w:before="0" w:after="1"/>
              <w:ind w:left="0" w:right="0" w:hanging="0"/>
              <w:jc w:val="center"/>
              <w:rPr/>
            </w:pPr>
            <w:r>
              <w:rPr/>
              <w:t>  ​ ​ ​</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More than</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vAlign w:val="center"/>
          </w:tcPr>
          <w:p>
            <w:pPr>
              <w:pStyle w:val="TableContents"/>
              <w:bidi w:val="0"/>
              <w:spacing w:lineRule="auto" w:line="307" w:before="0" w:after="160"/>
              <w:ind w:left="0" w:right="0" w:hanging="0"/>
              <w:jc w:val="center"/>
              <w:rPr/>
            </w:pPr>
            <w:r>
              <w:rPr/>
              <w:t>​</w:t>
            </w:r>
          </w:p>
        </w:tc>
      </w:tr>
      <w:tr>
        <w:trPr/>
        <w:tc>
          <w:tcPr>
            <w:tcW w:w="19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9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7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190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commitment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137,245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137,265</w:t>
            </w:r>
          </w:p>
        </w:tc>
      </w:tr>
    </w:tbl>
    <w:p>
      <w:pPr>
        <w:pStyle w:val="TextBody"/>
        <w:bidi w:val="0"/>
        <w:spacing w:lineRule="auto" w:line="307" w:before="0" w:after="160"/>
        <w:ind w:left="0" w:right="0" w:hanging="0"/>
        <w:jc w:val="both"/>
        <w:rPr/>
      </w:pPr>
      <w:r>
        <w:rPr/>
        <w:t>​</w:t>
      </w:r>
    </w:p>
    <w:p>
      <w:pPr>
        <w:pStyle w:val="TextBody"/>
        <w:bidi w:val="0"/>
        <w:spacing w:lineRule="auto" w:line="285" w:before="40" w:after="200"/>
        <w:ind w:left="0" w:right="0" w:hanging="0"/>
        <w:jc w:val="left"/>
        <w:rPr>
          <w:rFonts w:ascii="Times New Roman;Times;serif" w:hAnsi="Times New Roman;Times;serif"/>
          <w:b/>
          <w:i/>
          <w:sz w:val="20"/>
        </w:rPr>
      </w:pPr>
      <w:r>
        <w:rPr>
          <w:rFonts w:ascii="Times New Roman;Times;serif" w:hAnsi="Times New Roman;Times;serif"/>
          <w:b/>
          <w:i/>
          <w:sz w:val="20"/>
        </w:rPr>
        <w:t>Capital commitment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Total capital expenditures contracted but not yet reflected in the consolidated financial statements as of December 31, 2025 were as follows:</w:t>
      </w:r>
    </w:p>
    <w:p>
      <w:pPr>
        <w:pStyle w:val="TextBody"/>
        <w:bidi w:val="0"/>
        <w:spacing w:lineRule="auto" w:line="307" w:before="0" w:after="160"/>
        <w:ind w:left="0" w:right="0" w:hanging="0"/>
        <w:jc w:val="both"/>
        <w:rPr/>
      </w:pPr>
      <w:r>
        <w:rPr/>
        <w:t>​</w:t>
      </w:r>
    </w:p>
    <w:tbl>
      <w:tblPr>
        <w:tblW w:w="6547" w:type="dxa"/>
        <w:jc w:val="left"/>
        <w:tblInd w:w="0" w:type="dxa"/>
        <w:tblLayout w:type="fixed"/>
        <w:tblCellMar>
          <w:top w:w="0" w:type="dxa"/>
          <w:left w:w="0" w:type="dxa"/>
          <w:bottom w:w="0" w:type="dxa"/>
          <w:right w:w="0" w:type="dxa"/>
        </w:tblCellMar>
      </w:tblPr>
      <w:tblGrid>
        <w:gridCol w:w="2986"/>
        <w:gridCol w:w="346"/>
        <w:gridCol w:w="826"/>
        <w:gridCol w:w="346"/>
        <w:gridCol w:w="916"/>
        <w:gridCol w:w="346"/>
        <w:gridCol w:w="78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896110" cy="175260"/>
                      <wp:effectExtent l="0" t="0" r="0" b="0"/>
                      <wp:wrapNone/>
                      <wp:docPr id="600" name="Frame595"/>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19710" cy="175260"/>
                      <wp:effectExtent l="0" t="0" r="0" b="0"/>
                      <wp:wrapNone/>
                      <wp:docPr id="601" name="Frame5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24510" cy="175260"/>
                      <wp:effectExtent l="0" t="0" r="0" b="0"/>
                      <wp:wrapNone/>
                      <wp:docPr id="602" name="Frame59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603"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81660" cy="175260"/>
                      <wp:effectExtent l="0" t="0" r="0" b="0"/>
                      <wp:wrapNone/>
                      <wp:docPr id="604" name="Frame59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19710" cy="175260"/>
                      <wp:effectExtent l="0" t="0" r="0" b="0"/>
                      <wp:wrapNone/>
                      <wp:docPr id="605"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495935" cy="175260"/>
                      <wp:effectExtent l="0" t="0" r="0" b="0"/>
                      <wp:wrapNone/>
                      <wp:docPr id="606" name="Frame6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Less than </w:t>
            </w:r>
          </w:p>
        </w:tc>
        <w:tc>
          <w:tcPr>
            <w:tcW w:w="346" w:type="dxa"/>
            <w:tcBorders/>
            <w:vAlign w:val="center"/>
          </w:tcPr>
          <w:p>
            <w:pPr>
              <w:pStyle w:val="TableContents"/>
              <w:bidi w:val="0"/>
              <w:spacing w:lineRule="auto" w:line="307" w:before="0" w:after="1"/>
              <w:ind w:left="0" w:right="0" w:hanging="0"/>
              <w:jc w:val="center"/>
              <w:rPr/>
            </w:pPr>
            <w:r>
              <w:rPr/>
              <w:t>  ​ ​ ​</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More than </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vAlign w:val="center"/>
          </w:tcPr>
          <w:p>
            <w:pPr>
              <w:pStyle w:val="TableContents"/>
              <w:bidi w:val="0"/>
              <w:spacing w:lineRule="auto" w:line="307" w:before="0" w:after="160"/>
              <w:ind w:left="0" w:right="0" w:hanging="0"/>
              <w:jc w:val="center"/>
              <w:rPr/>
            </w:pPr>
            <w:r>
              <w:rPr/>
              <w:t>​</w:t>
            </w:r>
          </w:p>
        </w:tc>
      </w:tr>
      <w:tr>
        <w:trPr/>
        <w:tc>
          <w:tcPr>
            <w:tcW w:w="298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lineRule="auto" w:line="307" w:before="0" w:after="16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one year</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298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91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29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Capital expenditure commitment(i)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1,237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16,308</w:t>
            </w:r>
          </w:p>
        </w:tc>
      </w:tr>
    </w:tbl>
    <w:p>
      <w:pPr>
        <w:pStyle w:val="TextBody"/>
        <w:bidi w:val="0"/>
        <w:spacing w:lineRule="auto" w:line="285"/>
        <w:ind w:left="0" w:right="0" w:hanging="0"/>
        <w:jc w:val="both"/>
        <w:rPr>
          <w:rFonts w:ascii="Times New Roman;Times;serif" w:hAnsi="Times New Roman;Times;serif"/>
          <w:sz w:val="20"/>
        </w:rPr>
      </w:pPr>
      <w:r>
        <w:rPr>
          <w:rFonts w:ascii="Times New Roman;Times;serif" w:hAnsi="Times New Roman;Times;serif"/>
          <w:sz w:val="20"/>
        </w:rPr>
        <w:t>(i)Represents the capital commitment on the construction of the Group’s corporate buildings, leasehold improvements,molds and tooling.</w:t>
      </w:r>
    </w:p>
    <w:p>
      <w:pPr>
        <w:pStyle w:val="TextBody"/>
        <w:bidi w:val="0"/>
        <w:spacing w:lineRule="auto" w:line="285" w:before="0" w:after="200"/>
        <w:ind w:left="0" w:right="0" w:hanging="0"/>
        <w:jc w:val="both"/>
        <w:rPr>
          <w:rFonts w:ascii="Times New Roman;Times;serif" w:hAnsi="Times New Roman;Times;serif"/>
          <w:b/>
          <w:i/>
          <w:sz w:val="20"/>
        </w:rPr>
      </w:pPr>
      <w:r>
        <w:rPr>
          <w:rFonts w:ascii="Times New Roman;Times;serif" w:hAnsi="Times New Roman;Times;serif"/>
          <w:b/>
          <w:i/>
          <w:sz w:val="20"/>
        </w:rPr>
        <w:t>Repurchase commitment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Group has entered into repurchase agreements with a lending institution in connection with its dealers’ wholesale floor-plan financing of vehicles. Pursuant to the agreements, in the event that a dealer has declared the intention to file for bankruptcy, and a lender is able to repossess the vehicle and deliver the repossessed vehicle to the Group, the Group is obligated to repurchase the vehicle from the lender at the unpaid balance of the original invoice price for the vehicle. The Group did not repurchase any vehicles under repurchase agreements since the inception of the repurchase agreements, and the Group believes that, based on historical experience, the likelihood of a material loss pursuant to these repurchase obligations is remote. The total amount financed under the floor financing programs with repurchase obligations was US$90,183 as of December 31, 2025.</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3159" w:name="_Hlk127486030"/>
      <w:bookmarkStart w:id="3160" w:name="_Hlk127486030"/>
      <w:bookmarkEnd w:id="3160"/>
    </w:p>
    <w:tbl>
      <w:tblPr>
        <w:tblW w:w="3737" w:type="dxa"/>
        <w:jc w:val="left"/>
        <w:tblInd w:w="0" w:type="dxa"/>
        <w:tblLayout w:type="fixed"/>
        <w:tblCellMar>
          <w:top w:w="0" w:type="dxa"/>
          <w:left w:w="0" w:type="dxa"/>
          <w:bottom w:w="0" w:type="dxa"/>
          <w:right w:w="0" w:type="dxa"/>
        </w:tblCellMar>
      </w:tblPr>
      <w:tblGrid>
        <w:gridCol w:w="376"/>
        <w:gridCol w:w="336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26.</w:t>
            </w:r>
          </w:p>
        </w:tc>
        <w:tc>
          <w:tcPr>
            <w:tcW w:w="336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RELATED PARTY TRANSACTIONS</w:t>
            </w:r>
          </w:p>
        </w:tc>
      </w:tr>
    </w:tbl>
    <w:tbl>
      <w:tblPr>
        <w:tblW w:w="1881" w:type="dxa"/>
        <w:jc w:val="left"/>
        <w:tblInd w:w="0" w:type="dxa"/>
        <w:tblLayout w:type="fixed"/>
        <w:tblCellMar>
          <w:top w:w="0" w:type="dxa"/>
          <w:left w:w="0" w:type="dxa"/>
          <w:bottom w:w="0" w:type="dxa"/>
          <w:right w:w="0" w:type="dxa"/>
        </w:tblCellMar>
      </w:tblPr>
      <w:tblGrid>
        <w:gridCol w:w="124"/>
        <w:gridCol w:w="331"/>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(a)</w:t>
            </w:r>
          </w:p>
        </w:tc>
        <w:tc>
          <w:tcPr>
            <w:tcW w:w="1426"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67"/>
        <w:gridCol w:w="346"/>
        <w:gridCol w:w="5092"/>
      </w:tblGrid>
      <w:tr>
        <w:trPr/>
        <w:tc>
          <w:tcPr>
            <w:tcW w:w="4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3027045" cy="29210"/>
                      <wp:effectExtent l="0" t="0" r="0" b="0"/>
                      <wp:wrapNone/>
                      <wp:docPr id="607" name="Frame602"/>
                      <a:graphic xmlns:a="http://schemas.openxmlformats.org/drawingml/2006/main">
                        <a:graphicData uri="http://schemas.microsoft.com/office/word/2010/wordprocessingShape">
                          <wps:wsp>
                            <wps:cNvSpPr txBox="1"/>
                            <wps:spPr>
                              <a:xfrm>
                                <a:off x="0" y="0"/>
                                <a:ext cx="30270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19710" cy="29210"/>
                      <wp:effectExtent l="0" t="0" r="0" b="0"/>
                      <wp:wrapNone/>
                      <wp:docPr id="608" name="Frame60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3233420" cy="29210"/>
                      <wp:effectExtent l="0" t="0" r="0" b="0"/>
                      <wp:wrapNone/>
                      <wp:docPr id="609" name="Frame604"/>
                      <a:graphic xmlns:a="http://schemas.openxmlformats.org/drawingml/2006/main">
                        <a:graphicData uri="http://schemas.microsoft.com/office/word/2010/wordprocessingShape">
                          <wps:wsp>
                            <wps:cNvSpPr txBox="1"/>
                            <wps:spPr>
                              <a:xfrm>
                                <a:off x="0" y="0"/>
                                <a:ext cx="32334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767"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pPr>
            <w:r>
              <w:rPr/>
              <w:t> </w:t>
            </w:r>
            <w:r>
              <w:rPr>
                <w:rFonts w:ascii="Times New Roman;Times;serif" w:hAnsi="Times New Roman;Times;serif"/>
                <w:b/>
                <w:sz w:val="16"/>
              </w:rPr>
              <w:t>Names of the major related parties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509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Nature of relationship</w:t>
            </w:r>
          </w:p>
        </w:tc>
      </w:tr>
      <w:tr>
        <w:trPr/>
        <w:tc>
          <w:tcPr>
            <w:tcW w:w="4767" w:type="dxa"/>
            <w:tcBorders>
              <w:top w:val="single" w:sz="2" w:space="0" w:color="000000"/>
            </w:tcBorders>
            <w:shd w:fill="CCEEFF" w:val="clear"/>
            <w:tcMar>
              <w:top w:w="28" w:type="dxa"/>
            </w:tcM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Geely Holding</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Lotus Group International Limited (“LGIL”)</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Lotus Cars Limited (“LCL”)</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Geely HK</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ECARX</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Hubei Ecarx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Wuhan Geely Auto Parts Co., Ltd. (“Wuhan Geely Auto Parts”)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Automobile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Automobile Co., Ltd. Wuhan Branch (“Geely Auto Wuhan Branch”)</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Ningbo Geely R&amp;D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Geely Automobile Research Institute (Ningbo)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Hangzhou Fenghua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Jisu Supply Chain Management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Huanfu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Chengdu Jinluda Automobile Sales Service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Hangzhou Luhongyuan Automobile Sales Service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Hubei Changjiang Chegu Industry Investment Fund Partnership</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Wuxi InfiMotion</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Lotus Cars USA Inc.</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Hangzhou Geely Evun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Jizhi Culture Creative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Volvo Personvagnar Aktiebolag</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Shanghai Global Trading Corporation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Viridi E-Mobility (Ningbo) Co.,LTD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Ningbo Jining Automobile Parts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Muguang Digital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Hunan Geely Automobile Components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Automobile Engineering Technology Development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Jixing Era Technology (Nanjing)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Farizon Commercial Vehicle Research and Development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Sichuan Geely Automobile Parts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Jiangsu Weikenxi Automotive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Ningbo Jirun Auto Parts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Guizhou Geely Automobile Manufacturing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London EV Company Limited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Commerce Service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Geely UK Limited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Powertrain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Automobile Parts &amp; Components Stock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Zeekr Automobile Research &amp; Development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Qizheng New Energy Vehicle (Jinan)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Weixing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Vast Energy Technology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Jidi Technology Co., Ltd.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Zhejiang Geely Power Assembly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307"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DRB HICOM BERHAD</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ultimate owner of a principal shareholder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Chongqing Ruilan Automobile Manufacturing Co., Ltd.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controlled by the Controlling Shareholder of the Company</w:t>
            </w:r>
          </w:p>
        </w:tc>
      </w:tr>
      <w:tr>
        <w:trPr/>
        <w:tc>
          <w:tcPr>
            <w:tcW w:w="4767"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Lotus GmbH</w:t>
            </w:r>
          </w:p>
        </w:tc>
        <w:tc>
          <w:tcPr>
            <w:tcW w:w="346" w:type="dxa"/>
            <w:tcBorders/>
            <w:vAlign w:val="center"/>
          </w:tcPr>
          <w:p>
            <w:pPr>
              <w:pStyle w:val="TableContents"/>
              <w:bidi w:val="0"/>
              <w:spacing w:lineRule="auto" w:line="307" w:before="0" w:after="160"/>
              <w:ind w:left="0" w:right="0" w:hanging="0"/>
              <w:jc w:val="left"/>
              <w:rPr/>
            </w:pPr>
            <w:r>
              <w:rPr/>
              <w:t>​</w:t>
            </w:r>
          </w:p>
        </w:tc>
        <w:tc>
          <w:tcPr>
            <w:tcW w:w="509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Company</w:t>
            </w:r>
          </w:p>
        </w:tc>
      </w:tr>
      <w:tr>
        <w:trPr/>
        <w:tc>
          <w:tcPr>
            <w:tcW w:w="476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Chongqing Qianli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0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Entity which is under significant influence of the Controlling Shareholder the Company</w:t>
            </w:r>
          </w:p>
        </w:tc>
      </w:tr>
    </w:tbl>
    <w:p>
      <w:pPr>
        <w:pStyle w:val="TextBody"/>
        <w:bidi w:val="0"/>
        <w:spacing w:lineRule="auto" w:line="307" w:before="0" w:after="160"/>
        <w:ind w:left="0" w:right="0" w:hanging="0"/>
        <w:jc w:val="left"/>
        <w:rPr/>
      </w:pPr>
      <w:r>
        <w:rPr/>
        <w: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During the years ended December 31, 2025, 2024 and 2023, in addition to the related party transactions disclosed in Note 2(h) of long-term investments, Note 13 of Meritz Investment, Note 14 of exchangeable notes, Note 15 of convertible notes, Note 17 of redeemable convertible preferred shares and Note 19 of shareholders’ deficit to the consolidated financial statements, the Group entered into the following significant related party transactions.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3161" w:name="Tc_nWFOTQwccke40NT7uFDjWg_24_6"/>
      <w:bookmarkStart w:id="3162" w:name="Tc_zpBmx2f0Lk2sLKJae6n3Jg_24_4"/>
      <w:bookmarkStart w:id="3163" w:name="Tc_Usbs_RbJMEq3HNdxEZ5lwg_24_0"/>
      <w:bookmarkStart w:id="3164" w:name="Tc_RDrnFw8I-k6m-Gquc2ZIfA_23_6"/>
      <w:bookmarkStart w:id="3165" w:name="Tc_OqP2GY16-06dFH1JFQEe7Q_23_2"/>
      <w:bookmarkStart w:id="3166" w:name="Tc_ZUHM7XsjpEiHTz-2mLK0bg_23_0"/>
      <w:bookmarkStart w:id="3167" w:name="Tc_3_DgDzDx00aTtsYUT_OAXQ_22_0"/>
      <w:bookmarkStart w:id="3168" w:name="Tc_hZa903ykAUewxyAXvCJlug_21_4"/>
      <w:bookmarkStart w:id="3169" w:name="Tc_24PZFP-ZvUmTEctx2aHB7w_21_2"/>
      <w:bookmarkStart w:id="3170" w:name="Tc_aDpWOREW2EK5EERB0Mlf8w_21_0"/>
      <w:bookmarkStart w:id="3171" w:name="Tc_auxdPgKDckydaB25dFrqxA_20_6"/>
      <w:bookmarkStart w:id="3172" w:name="Tc_rFbxc8p3zkqNLB7ucoPUuA_20_4"/>
      <w:bookmarkStart w:id="3173" w:name="Tc_4pS1NcbgwkGOJlXG-826uw_20_0"/>
      <w:bookmarkStart w:id="3174" w:name="Tc_A4rCJ9UQSkuEQC-R_Xd8tw_19_6"/>
      <w:bookmarkStart w:id="3175" w:name="Tc_5OcAxixCO0eOiEdL2Jyfyw_19_0"/>
      <w:bookmarkStart w:id="3176" w:name="Tc_RiijMEb8eUOa41f880xkgg_18_6"/>
      <w:bookmarkStart w:id="3177" w:name="Tc__2eOa7Vr0EG-kG9dEqX5KQ_18_0"/>
      <w:bookmarkStart w:id="3178" w:name="Tc_5RIgxxHJOUeRnIUoj2FP8g_17_4"/>
      <w:bookmarkStart w:id="3179" w:name="Tc_Gd_LqDjtokuLHD81w_I5Kw_17_2"/>
      <w:bookmarkStart w:id="3180" w:name="Tc_8g5DqiRv7061Z25KcaXhyQ_17_0"/>
      <w:bookmarkStart w:id="3181" w:name="Tc_XDOVbbup6EW-nYtLSTsMPw_16_2"/>
      <w:bookmarkStart w:id="3182" w:name="Tc_kgF2pl-sFkSKAjaTH83d5g_16_0"/>
      <w:bookmarkStart w:id="3183" w:name="Tc_JkwcfyhF2k60leU-cxsJNg_15_0"/>
      <w:bookmarkStart w:id="3184" w:name="Tc_SJL9mwvRtkWq33C1LjLzFw_14_0"/>
      <w:bookmarkStart w:id="3185" w:name="Tc_9vA3qGiNg0G-oDtwQLTiaA_13_6"/>
      <w:bookmarkStart w:id="3186" w:name="Tc_Rd0Dp7dz-U2dW0pMvAAZEw_13_4"/>
      <w:bookmarkStart w:id="3187" w:name="Tc_c2AH_EtPiEejcxRgKW3imw_13_0"/>
      <w:bookmarkStart w:id="3188" w:name="Tc_IH7eK1dK9EuM6Yr7zggzMQ_12_0"/>
      <w:bookmarkStart w:id="3189" w:name="Tc_wOYKBVBOhk6UngMrjRmqqw_11_6"/>
      <w:bookmarkStart w:id="3190" w:name="Tc_OP7loROD20i_EkQK0JnlUw_11_2"/>
      <w:bookmarkStart w:id="3191" w:name="Tc_10sEpemhmUm49dKWPJ8Z-Q_11_0"/>
      <w:bookmarkStart w:id="3192" w:name="Tc_P5C_BiR34U-4lWXMDdvaVg_10_6"/>
      <w:bookmarkStart w:id="3193" w:name="Tc_1UVI2iKsnkm9QkcAfYgg3A_10_2"/>
      <w:bookmarkStart w:id="3194" w:name="Tc_2o_2CK2L3kGbh5qm4vhB-g_10_0"/>
      <w:bookmarkStart w:id="3195" w:name="Tc_FABGNDdmVUa6mKpvZIs2EA_9_0"/>
      <w:bookmarkStart w:id="3196" w:name="Tc_PxMyg7zv_0miQalKPs9lTQ_8_0"/>
      <w:bookmarkStart w:id="3197" w:name="Tc_Lt9GpcImtEmLN2XTNdoAgg_7_0"/>
      <w:bookmarkStart w:id="3198" w:name="Tc_UkvX4TyNA0-SEaehHXE4WA_6_0"/>
      <w:bookmarkStart w:id="3199" w:name="Tc_axvDJ4i0gkuWPIOQTvHtQQ_5_4"/>
      <w:bookmarkStart w:id="3200" w:name="Tc_CdU3AIlob06M1i5wsP2NYA_5_2"/>
      <w:bookmarkStart w:id="3201" w:name="Tc_OVhE-wM5dUWFjMJjZBU8EQ_5_0"/>
      <w:bookmarkStart w:id="3202" w:name="Tc_gQG_lNs7xES31DidCb1Onw_4_0"/>
      <w:bookmarkStart w:id="3203" w:name="Tc__naLTUUtbk663yN-g1hv0A_3_6"/>
      <w:bookmarkStart w:id="3204" w:name="Tc_VPoR6HKfZkmKNwW1rHTsKg_3_4"/>
      <w:bookmarkStart w:id="3205" w:name="Tc_BdgmFFxEx0Ohl-pqw4Ppcw_3_2"/>
      <w:bookmarkStart w:id="3206" w:name="Tc_DRcViX0eck690Y5u7iuXGw_2_6"/>
      <w:bookmarkStart w:id="3207" w:name="Tc_5msTwULjykuvZI8S4BWRTA_2_4"/>
      <w:bookmarkStart w:id="3208" w:name="Tc_0WttOYOahk-OjFX-J0Ptkg_2_2"/>
      <w:bookmarkStart w:id="3209" w:name="Tc_Rsf5R0pOP0y3yaf4MHA6mw_1_2"/>
      <w:bookmarkStart w:id="3210" w:name="_17907e6a_c838_4f3f_8897_c589fc34a34c"/>
      <w:bookmarkStart w:id="3211" w:name="Tc_Zy-_1nU5-0mIrrPJ86aV2g_5_0"/>
      <w:bookmarkStart w:id="3212" w:name="Tc_0DSUpsHBcUeTH_oJpEGwRw_4_0"/>
      <w:bookmarkStart w:id="3213" w:name="Tc_IIYkc7XNTEeVQz10xl8nxQ_3_6"/>
      <w:bookmarkStart w:id="3214" w:name="Tc_ZsH5rjpWDE6l8fz6Gb_yuw_3_4"/>
      <w:bookmarkStart w:id="3215" w:name="Tc_L72wlZV_Q0uDXWEHGRZrww_3_2"/>
      <w:bookmarkStart w:id="3216" w:name="Tc_tAKhTrirO0GRfYlYbBLIPw_2_6"/>
      <w:bookmarkStart w:id="3217" w:name="Tc_JH9yeTeIDkutSv7g66pOhQ_2_4"/>
      <w:bookmarkStart w:id="3218" w:name="Tc_GKkXtMMSPk2EUDxU1fKEbQ_2_2"/>
      <w:bookmarkStart w:id="3219" w:name="Tc_MuekPoKeVUW-5SVq3QS4GQ_1_2"/>
      <w:bookmarkStart w:id="3220" w:name="_8cde937c_319c_4e50_9044_925705f368f2"/>
      <w:bookmarkStart w:id="3221" w:name="Tc_nWFOTQwccke40NT7uFDjWg_24_6"/>
      <w:bookmarkStart w:id="3222" w:name="Tc_zpBmx2f0Lk2sLKJae6n3Jg_24_4"/>
      <w:bookmarkStart w:id="3223" w:name="Tc_Usbs_RbJMEq3HNdxEZ5lwg_24_0"/>
      <w:bookmarkStart w:id="3224" w:name="Tc_RDrnFw8I-k6m-Gquc2ZIfA_23_6"/>
      <w:bookmarkStart w:id="3225" w:name="Tc_OqP2GY16-06dFH1JFQEe7Q_23_2"/>
      <w:bookmarkStart w:id="3226" w:name="Tc_ZUHM7XsjpEiHTz-2mLK0bg_23_0"/>
      <w:bookmarkStart w:id="3227" w:name="Tc_3_DgDzDx00aTtsYUT_OAXQ_22_0"/>
      <w:bookmarkStart w:id="3228" w:name="Tc_hZa903ykAUewxyAXvCJlug_21_4"/>
      <w:bookmarkStart w:id="3229" w:name="Tc_24PZFP-ZvUmTEctx2aHB7w_21_2"/>
      <w:bookmarkStart w:id="3230" w:name="Tc_aDpWOREW2EK5EERB0Mlf8w_21_0"/>
      <w:bookmarkStart w:id="3231" w:name="Tc_auxdPgKDckydaB25dFrqxA_20_6"/>
      <w:bookmarkStart w:id="3232" w:name="Tc_rFbxc8p3zkqNLB7ucoPUuA_20_4"/>
      <w:bookmarkStart w:id="3233" w:name="Tc_4pS1NcbgwkGOJlXG-826uw_20_0"/>
      <w:bookmarkStart w:id="3234" w:name="Tc_A4rCJ9UQSkuEQC-R_Xd8tw_19_6"/>
      <w:bookmarkStart w:id="3235" w:name="Tc_5OcAxixCO0eOiEdL2Jyfyw_19_0"/>
      <w:bookmarkStart w:id="3236" w:name="Tc_RiijMEb8eUOa41f880xkgg_18_6"/>
      <w:bookmarkStart w:id="3237" w:name="Tc__2eOa7Vr0EG-kG9dEqX5KQ_18_0"/>
      <w:bookmarkStart w:id="3238" w:name="Tc_5RIgxxHJOUeRnIUoj2FP8g_17_4"/>
      <w:bookmarkStart w:id="3239" w:name="Tc_Gd_LqDjtokuLHD81w_I5Kw_17_2"/>
      <w:bookmarkStart w:id="3240" w:name="Tc_8g5DqiRv7061Z25KcaXhyQ_17_0"/>
      <w:bookmarkStart w:id="3241" w:name="Tc_XDOVbbup6EW-nYtLSTsMPw_16_2"/>
      <w:bookmarkStart w:id="3242" w:name="Tc_kgF2pl-sFkSKAjaTH83d5g_16_0"/>
      <w:bookmarkStart w:id="3243" w:name="Tc_JkwcfyhF2k60leU-cxsJNg_15_0"/>
      <w:bookmarkStart w:id="3244" w:name="Tc_SJL9mwvRtkWq33C1LjLzFw_14_0"/>
      <w:bookmarkStart w:id="3245" w:name="Tc_9vA3qGiNg0G-oDtwQLTiaA_13_6"/>
      <w:bookmarkStart w:id="3246" w:name="Tc_Rd0Dp7dz-U2dW0pMvAAZEw_13_4"/>
      <w:bookmarkStart w:id="3247" w:name="Tc_c2AH_EtPiEejcxRgKW3imw_13_0"/>
      <w:bookmarkStart w:id="3248" w:name="Tc_IH7eK1dK9EuM6Yr7zggzMQ_12_0"/>
      <w:bookmarkStart w:id="3249" w:name="Tc_wOYKBVBOhk6UngMrjRmqqw_11_6"/>
      <w:bookmarkStart w:id="3250" w:name="Tc_OP7loROD20i_EkQK0JnlUw_11_2"/>
      <w:bookmarkStart w:id="3251" w:name="Tc_10sEpemhmUm49dKWPJ8Z-Q_11_0"/>
      <w:bookmarkStart w:id="3252" w:name="Tc_P5C_BiR34U-4lWXMDdvaVg_10_6"/>
      <w:bookmarkStart w:id="3253" w:name="Tc_1UVI2iKsnkm9QkcAfYgg3A_10_2"/>
      <w:bookmarkStart w:id="3254" w:name="Tc_2o_2CK2L3kGbh5qm4vhB-g_10_0"/>
      <w:bookmarkStart w:id="3255" w:name="Tc_FABGNDdmVUa6mKpvZIs2EA_9_0"/>
      <w:bookmarkStart w:id="3256" w:name="Tc_PxMyg7zv_0miQalKPs9lTQ_8_0"/>
      <w:bookmarkStart w:id="3257" w:name="Tc_Lt9GpcImtEmLN2XTNdoAgg_7_0"/>
      <w:bookmarkStart w:id="3258" w:name="Tc_UkvX4TyNA0-SEaehHXE4WA_6_0"/>
      <w:bookmarkStart w:id="3259" w:name="Tc_axvDJ4i0gkuWPIOQTvHtQQ_5_4"/>
      <w:bookmarkStart w:id="3260" w:name="Tc_CdU3AIlob06M1i5wsP2NYA_5_2"/>
      <w:bookmarkStart w:id="3261" w:name="Tc_OVhE-wM5dUWFjMJjZBU8EQ_5_0"/>
      <w:bookmarkStart w:id="3262" w:name="Tc_gQG_lNs7xES31DidCb1Onw_4_0"/>
      <w:bookmarkStart w:id="3263" w:name="Tc__naLTUUtbk663yN-g1hv0A_3_6"/>
      <w:bookmarkStart w:id="3264" w:name="Tc_VPoR6HKfZkmKNwW1rHTsKg_3_4"/>
      <w:bookmarkStart w:id="3265" w:name="Tc_BdgmFFxEx0Ohl-pqw4Ppcw_3_2"/>
      <w:bookmarkStart w:id="3266" w:name="Tc_DRcViX0eck690Y5u7iuXGw_2_6"/>
      <w:bookmarkStart w:id="3267" w:name="Tc_5msTwULjykuvZI8S4BWRTA_2_4"/>
      <w:bookmarkStart w:id="3268" w:name="Tc_0WttOYOahk-OjFX-J0Ptkg_2_2"/>
      <w:bookmarkStart w:id="3269" w:name="Tc_Rsf5R0pOP0y3yaf4MHA6mw_1_2"/>
      <w:bookmarkStart w:id="3270" w:name="_17907e6a_c838_4f3f_8897_c589fc34a34c"/>
      <w:bookmarkStart w:id="3271" w:name="Tc_Zy-_1nU5-0mIrrPJ86aV2g_5_0"/>
      <w:bookmarkStart w:id="3272" w:name="Tc_0DSUpsHBcUeTH_oJpEGwRw_4_0"/>
      <w:bookmarkStart w:id="3273" w:name="Tc_IIYkc7XNTEeVQz10xl8nxQ_3_6"/>
      <w:bookmarkStart w:id="3274" w:name="Tc_ZsH5rjpWDE6l8fz6Gb_yuw_3_4"/>
      <w:bookmarkStart w:id="3275" w:name="Tc_L72wlZV_Q0uDXWEHGRZrww_3_2"/>
      <w:bookmarkStart w:id="3276" w:name="Tc_tAKhTrirO0GRfYlYbBLIPw_2_6"/>
      <w:bookmarkStart w:id="3277" w:name="Tc_JH9yeTeIDkutSv7g66pOhQ_2_4"/>
      <w:bookmarkStart w:id="3278" w:name="Tc_GKkXtMMSPk2EUDxU1fKEbQ_2_2"/>
      <w:bookmarkStart w:id="3279" w:name="Tc_MuekPoKeVUW-5SVq3QS4GQ_1_2"/>
      <w:bookmarkStart w:id="3280" w:name="_8cde937c_319c_4e50_9044_925705f368f2"/>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p>
    <w:tbl>
      <w:tblPr>
        <w:tblW w:w="3756" w:type="dxa"/>
        <w:jc w:val="left"/>
        <w:tblInd w:w="0" w:type="dxa"/>
        <w:tblLayout w:type="fixed"/>
        <w:tblCellMar>
          <w:top w:w="0" w:type="dxa"/>
          <w:left w:w="0" w:type="dxa"/>
          <w:bottom w:w="0" w:type="dxa"/>
          <w:right w:w="0" w:type="dxa"/>
        </w:tblCellMar>
      </w:tblPr>
      <w:tblGrid>
        <w:gridCol w:w="124"/>
        <w:gridCol w:w="331"/>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(b)</w:t>
            </w:r>
          </w:p>
        </w:tc>
        <w:tc>
          <w:tcPr>
            <w:tcW w:w="33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Significant related party transactions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During the years ended December 31, 2025, 2024 and 2023, the Group entered into the following significant related party transactions:</w:t>
      </w:r>
    </w:p>
    <w:p>
      <w:pPr>
        <w:pStyle w:val="TextBody"/>
        <w:bidi w:val="0"/>
        <w:spacing w:lineRule="auto" w:line="307" w:before="0" w:after="160"/>
        <w:ind w:left="0" w:right="0" w:hanging="0"/>
        <w:jc w:val="both"/>
        <w:rPr/>
      </w:pPr>
      <w:r>
        <w:rPr/>
        <w:t>​</w:t>
      </w:r>
    </w:p>
    <w:tbl>
      <w:tblPr>
        <w:tblW w:w="5092" w:type="dxa"/>
        <w:jc w:val="left"/>
        <w:tblInd w:w="0" w:type="dxa"/>
        <w:tblLayout w:type="fixed"/>
        <w:tblCellMar>
          <w:top w:w="0" w:type="dxa"/>
          <w:left w:w="0" w:type="dxa"/>
          <w:bottom w:w="0" w:type="dxa"/>
          <w:right w:w="0" w:type="dxa"/>
        </w:tblCellMar>
      </w:tblPr>
      <w:tblGrid>
        <w:gridCol w:w="1981"/>
        <w:gridCol w:w="346"/>
        <w:gridCol w:w="676"/>
        <w:gridCol w:w="346"/>
        <w:gridCol w:w="676"/>
        <w:gridCol w:w="346"/>
        <w:gridCol w:w="72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257935" cy="175260"/>
                      <wp:effectExtent l="0" t="0" r="0" b="0"/>
                      <wp:wrapNone/>
                      <wp:docPr id="610" name="Frame605"/>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19710" cy="175260"/>
                      <wp:effectExtent l="0" t="0" r="0" b="0"/>
                      <wp:wrapNone/>
                      <wp:docPr id="611" name="Frame6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429260" cy="175260"/>
                      <wp:effectExtent l="0" t="0" r="0" b="0"/>
                      <wp:wrapNone/>
                      <wp:docPr id="612" name="Frame6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613"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29260" cy="175260"/>
                      <wp:effectExtent l="0" t="0" r="0" b="0"/>
                      <wp:wrapNone/>
                      <wp:docPr id="614" name="Frame6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15" name="Frame6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457835" cy="175260"/>
                      <wp:effectExtent l="0" t="0" r="0" b="0"/>
                      <wp:wrapNone/>
                      <wp:docPr id="616" name="Frame61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76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9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198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2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198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Provision of services(i)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29,045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67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24,358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2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12,573</w:t>
            </w:r>
          </w:p>
        </w:tc>
      </w:tr>
      <w:tr>
        <w:trPr/>
        <w:tc>
          <w:tcPr>
            <w:tcW w:w="198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Sales of goods(i)</w:t>
            </w:r>
          </w:p>
        </w:tc>
        <w:tc>
          <w:tcPr>
            <w:tcW w:w="346" w:type="dxa"/>
            <w:tcBorders/>
            <w:vAlign w:val="center"/>
          </w:tcPr>
          <w:p>
            <w:pPr>
              <w:pStyle w:val="TableContents"/>
              <w:bidi w:val="0"/>
              <w:spacing w:lineRule="auto" w:line="307" w:before="0" w:after="1"/>
              <w:ind w:left="0" w:right="0" w:hanging="0"/>
              <w:jc w:val="left"/>
              <w:rPr/>
            </w:pPr>
            <w:r>
              <w:rPr/>
              <w:t> </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5,933</w:t>
            </w:r>
          </w:p>
        </w:tc>
        <w:tc>
          <w:tcPr>
            <w:tcW w:w="346" w:type="dxa"/>
            <w:tcBorders/>
            <w:vAlign w:val="center"/>
          </w:tcPr>
          <w:p>
            <w:pPr>
              <w:pStyle w:val="TableContents"/>
              <w:bidi w:val="0"/>
              <w:spacing w:lineRule="auto" w:line="307" w:before="0" w:after="160"/>
              <w:ind w:left="0" w:right="0" w:hanging="0"/>
              <w:jc w:val="left"/>
              <w:rPr/>
            </w:pPr>
            <w:r>
              <w:rPr/>
              <w:t>​</w:t>
            </w:r>
          </w:p>
        </w:tc>
        <w:tc>
          <w:tcPr>
            <w:tcW w:w="67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18,162</w:t>
            </w:r>
          </w:p>
        </w:tc>
        <w:tc>
          <w:tcPr>
            <w:tcW w:w="346" w:type="dxa"/>
            <w:tcBorders/>
            <w:vAlign w:val="center"/>
          </w:tcPr>
          <w:p>
            <w:pPr>
              <w:pStyle w:val="TableContents"/>
              <w:bidi w:val="0"/>
              <w:spacing w:lineRule="auto" w:line="307" w:before="0" w:after="160"/>
              <w:ind w:left="0" w:right="0" w:hanging="0"/>
              <w:jc w:val="left"/>
              <w:rPr/>
            </w:pPr>
            <w:r>
              <w:rPr/>
              <w:t>​</w:t>
            </w:r>
          </w:p>
        </w:tc>
        <w:tc>
          <w:tcPr>
            <w:tcW w:w="721" w:type="dxa"/>
            <w:tcBorders/>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3,432</w:t>
            </w:r>
          </w:p>
        </w:tc>
      </w:tr>
    </w:tbl>
    <w:p>
      <w:pPr>
        <w:pStyle w:val="TextBody"/>
        <w:bidi w:val="0"/>
        <w:spacing w:lineRule="auto" w:line="307" w:before="0" w:after="200"/>
        <w:ind w:left="0" w:right="0" w:hanging="0"/>
        <w:jc w:val="both"/>
        <w:rPr/>
      </w:pPr>
      <w:r>
        <w:rPr/>
        <w:t>​</w:t>
      </w:r>
    </w:p>
    <w:tbl>
      <w:tblPr>
        <w:tblW w:w="8482" w:type="dxa"/>
        <w:jc w:val="left"/>
        <w:tblInd w:w="0" w:type="dxa"/>
        <w:tblLayout w:type="fixed"/>
        <w:tblCellMar>
          <w:top w:w="0" w:type="dxa"/>
          <w:left w:w="0" w:type="dxa"/>
          <w:bottom w:w="0" w:type="dxa"/>
          <w:right w:w="0" w:type="dxa"/>
        </w:tblCellMar>
      </w:tblPr>
      <w:tblGrid>
        <w:gridCol w:w="5056"/>
        <w:gridCol w:w="346"/>
        <w:gridCol w:w="781"/>
        <w:gridCol w:w="346"/>
        <w:gridCol w:w="781"/>
        <w:gridCol w:w="346"/>
        <w:gridCol w:w="826"/>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3210560" cy="175260"/>
                      <wp:effectExtent l="0" t="0" r="0" b="0"/>
                      <wp:wrapNone/>
                      <wp:docPr id="617" name="Frame612"/>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18" name="Frame6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95935" cy="175260"/>
                      <wp:effectExtent l="0" t="0" r="0" b="0"/>
                      <wp:wrapNone/>
                      <wp:docPr id="619" name="Frame6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19710" cy="175260"/>
                      <wp:effectExtent l="0" t="0" r="0" b="0"/>
                      <wp:wrapNone/>
                      <wp:docPr id="620"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495935" cy="175260"/>
                      <wp:effectExtent l="0" t="0" r="0" b="0"/>
                      <wp:wrapNone/>
                      <wp:docPr id="621" name="Frame6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19710" cy="175260"/>
                      <wp:effectExtent l="0" t="0" r="0" b="0"/>
                      <wp:wrapNone/>
                      <wp:docPr id="622" name="Frame6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524510" cy="175260"/>
                      <wp:effectExtent l="0" t="0" r="0" b="0"/>
                      <wp:wrapNone/>
                      <wp:docPr id="623" name="Frame6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08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0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50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Payments on behalf of related parties ((ii).a)</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11,126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24,070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4,022</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receipts by related parties on behalf of the Group ((ii).a)</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3,695</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Loans to related parties ((ii).b)</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60,722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262,203</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1,227</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income on loans due from related parties ((ii).b)</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20,725</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13,661</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of products and services ((iii).a)</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445,190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759,690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852,623</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of products and services for R&amp;D activities ((iii).b)</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59,342</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107,544</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134,721</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Payment of deposits ((ii).e)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Receipt from disposal of a subsidiary (v)</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12,157</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 of equipment and software ((iii).c)</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1,346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11,223</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Proceeds from disposal of equipment and software ((ii).f)</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11,033</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pPr>
            <w:r>
              <w:rPr/>
              <w:t>—</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Payment by related parties on behalf of the Group ((iii).d)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2,879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5,165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14,514</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lease cost ((iii).e)</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765</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Deposits received from related party suppliers ((iii).f)</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Acquisition of the distribution right ((iii).g)</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22,296</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expenses to related parties ((iii).a &amp; vii)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39,109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19,504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Borrowing from related parties (vii)</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720,171</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198,475</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pPr>
            <w:r>
              <w:rPr/>
              <w:t>—</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Repayments of borrowing from related parties (vii)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170,247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pPr>
            <w:r>
              <w:rPr/>
              <w:t>—</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Acquisition of right-of-use assets (iv)</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82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12,166</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Payment of lease liabilities (iv)</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1,844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2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Proceed from settlement of related party loans((ii).b)</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lineRule="auto" w:line="307" w:before="0" w:after="1"/>
              <w:ind w:left="0" w:right="0" w:hanging="0"/>
              <w:jc w:val="left"/>
              <w:rPr/>
            </w:pPr>
            <w:r>
              <w:rPr/>
              <w:t> </w:t>
            </w:r>
          </w:p>
        </w:tc>
        <w:tc>
          <w:tcPr>
            <w:tcW w:w="826" w:type="dxa"/>
            <w:tcBorders/>
            <w:vAlign w:val="center"/>
          </w:tcPr>
          <w:p>
            <w:pPr>
              <w:pStyle w:val="TableContents"/>
              <w:bidi w:val="0"/>
              <w:spacing w:lineRule="auto" w:line="307" w:before="0" w:after="1"/>
              <w:ind w:left="0" w:right="0" w:hanging="0"/>
              <w:jc w:val="right"/>
              <w:rPr/>
            </w:pPr>
            <w:r>
              <w:rPr/>
              <w:t>—</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Proceed from disposal of an equity investment (Note 2(h))</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58,885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826" w:type="dxa"/>
            <w:tcBorders/>
            <w:shd w:fill="CCEEFF" w:val="clear"/>
            <w:vAlign w:val="center"/>
          </w:tcPr>
          <w:p>
            <w:pPr>
              <w:pStyle w:val="TableContents"/>
              <w:bidi w:val="0"/>
              <w:spacing w:lineRule="auto" w:line="307" w:before="0" w:after="1"/>
              <w:ind w:left="0" w:right="60" w:hanging="0"/>
              <w:jc w:val="right"/>
              <w:rPr/>
            </w:pPr>
            <w:r>
              <w:rPr/>
              <w:t>—</w:t>
            </w:r>
          </w:p>
        </w:tc>
      </w:tr>
    </w:tbl>
    <w:p>
      <w:pPr>
        <w:pStyle w:val="TextBody"/>
        <w:bidi w:val="0"/>
        <w:spacing w:lineRule="auto" w:line="307" w:before="0" w:after="20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3281" w:name="Tc_LXMOlMJDR0KP5j5E-AFVBg_16_0"/>
      <w:bookmarkStart w:id="3282" w:name="Tc_KKA4m6ewJkmVPYFI7Z23Jw_15_0"/>
      <w:bookmarkStart w:id="3283" w:name="Tc_EpJFux_k10ydVFwx37thXQ_14_4"/>
      <w:bookmarkStart w:id="3284" w:name="Tc_WZmleAPyH06RhhcF97E1SQ_14_0"/>
      <w:bookmarkStart w:id="3285" w:name="Tc_gxxWJ7yjX0i1zof7mNyUTQ_13_0"/>
      <w:bookmarkStart w:id="3286" w:name="Tc_TJnNlgrrGU2O9up-Hk6eEA_12_0"/>
      <w:bookmarkStart w:id="3287" w:name="Tc_zjhuckEA30G2CwKyqiDhsQ_11_0"/>
      <w:bookmarkStart w:id="3288" w:name="Tc_sNk5_h2FnUGL49FrJzUmcQ_10_0"/>
      <w:bookmarkStart w:id="3289" w:name="Tc_xaAF_mJY6UOglcs4m7YOyA_9_0"/>
      <w:bookmarkStart w:id="3290" w:name="Tc_wM-iHwNruka5UoXlbDrttQ_8_0"/>
      <w:bookmarkStart w:id="3291" w:name="Tc_VgIYNNUfikSXHXrzDvwPdA_7_0"/>
      <w:bookmarkStart w:id="3292" w:name="Tc__gM8c2n0oUmOQSACRZNM7w_6_0"/>
      <w:bookmarkStart w:id="3293" w:name="Tc_4uZaGAYLCUO9Ie8LpduLfA_5_0"/>
      <w:bookmarkStart w:id="3294" w:name="Tc_gg4-rbuUG023wWliIxPeyQ_4_0"/>
      <w:bookmarkStart w:id="3295" w:name="Tc_9VKXHssksEy0JK0h0CLEiw_3_4"/>
      <w:bookmarkStart w:id="3296" w:name="Tc_EyfWYe5sN0WzM_44vGzSqw_3_2"/>
      <w:bookmarkStart w:id="3297" w:name="Tc_tXy8ZIyZUk-O98Sf68fIzw_2_4"/>
      <w:bookmarkStart w:id="3298" w:name="Tc_QOITCw9SY0C-3zdY-uYV5A_2_2"/>
      <w:bookmarkStart w:id="3299" w:name="Tc__PV83eDh0UCJ6D2jZ_HDvw_1_2"/>
      <w:bookmarkStart w:id="3300" w:name="_42375d5f_e445_44cc_b9e3_68c06765ee1e"/>
      <w:bookmarkStart w:id="3301" w:name="Tc_LXMOlMJDR0KP5j5E-AFVBg_16_0"/>
      <w:bookmarkStart w:id="3302" w:name="Tc_KKA4m6ewJkmVPYFI7Z23Jw_15_0"/>
      <w:bookmarkStart w:id="3303" w:name="Tc_EpJFux_k10ydVFwx37thXQ_14_4"/>
      <w:bookmarkStart w:id="3304" w:name="Tc_WZmleAPyH06RhhcF97E1SQ_14_0"/>
      <w:bookmarkStart w:id="3305" w:name="Tc_gxxWJ7yjX0i1zof7mNyUTQ_13_0"/>
      <w:bookmarkStart w:id="3306" w:name="Tc_TJnNlgrrGU2O9up-Hk6eEA_12_0"/>
      <w:bookmarkStart w:id="3307" w:name="Tc_zjhuckEA30G2CwKyqiDhsQ_11_0"/>
      <w:bookmarkStart w:id="3308" w:name="Tc_sNk5_h2FnUGL49FrJzUmcQ_10_0"/>
      <w:bookmarkStart w:id="3309" w:name="Tc_xaAF_mJY6UOglcs4m7YOyA_9_0"/>
      <w:bookmarkStart w:id="3310" w:name="Tc_wM-iHwNruka5UoXlbDrttQ_8_0"/>
      <w:bookmarkStart w:id="3311" w:name="Tc_VgIYNNUfikSXHXrzDvwPdA_7_0"/>
      <w:bookmarkStart w:id="3312" w:name="Tc__gM8c2n0oUmOQSACRZNM7w_6_0"/>
      <w:bookmarkStart w:id="3313" w:name="Tc_4uZaGAYLCUO9Ie8LpduLfA_5_0"/>
      <w:bookmarkStart w:id="3314" w:name="Tc_gg4-rbuUG023wWliIxPeyQ_4_0"/>
      <w:bookmarkStart w:id="3315" w:name="Tc_9VKXHssksEy0JK0h0CLEiw_3_4"/>
      <w:bookmarkStart w:id="3316" w:name="Tc_EyfWYe5sN0WzM_44vGzSqw_3_2"/>
      <w:bookmarkStart w:id="3317" w:name="Tc_tXy8ZIyZUk-O98Sf68fIzw_2_4"/>
      <w:bookmarkStart w:id="3318" w:name="Tc_QOITCw9SY0C-3zdY-uYV5A_2_2"/>
      <w:bookmarkStart w:id="3319" w:name="Tc__PV83eDh0UCJ6D2jZ_HDvw_1_2"/>
      <w:bookmarkStart w:id="3320" w:name="_42375d5f_e445_44cc_b9e3_68c06765ee1e"/>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p>
    <w:tbl>
      <w:tblPr>
        <w:tblW w:w="3441" w:type="dxa"/>
        <w:jc w:val="left"/>
        <w:tblInd w:w="0" w:type="dxa"/>
        <w:tblLayout w:type="fixed"/>
        <w:tblCellMar>
          <w:top w:w="0" w:type="dxa"/>
          <w:left w:w="0" w:type="dxa"/>
          <w:bottom w:w="0" w:type="dxa"/>
          <w:right w:w="0" w:type="dxa"/>
        </w:tblCellMar>
      </w:tblPr>
      <w:tblGrid>
        <w:gridCol w:w="124"/>
        <w:gridCol w:w="31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(c)</w:t>
            </w:r>
          </w:p>
        </w:tc>
        <w:tc>
          <w:tcPr>
            <w:tcW w:w="300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Significant related party balances</w:t>
            </w:r>
          </w:p>
        </w:tc>
      </w:tr>
    </w:tbl>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outstanding balances mainly arising from the above transactions as of December 31, 2025 and 2024 were as follows:</w:t>
      </w:r>
    </w:p>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846"/>
        <w:gridCol w:w="346"/>
        <w:gridCol w:w="781"/>
        <w:gridCol w:w="346"/>
        <w:gridCol w:w="886"/>
      </w:tblGrid>
      <w:tr>
        <w:trPr/>
        <w:tc>
          <w:tcPr>
            <w:tcW w:w="7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982210" cy="175260"/>
                      <wp:effectExtent l="0" t="0" r="0" b="0"/>
                      <wp:wrapNone/>
                      <wp:docPr id="624" name="Frame619"/>
                      <a:graphic xmlns:a="http://schemas.openxmlformats.org/drawingml/2006/main">
                        <a:graphicData uri="http://schemas.microsoft.com/office/word/2010/wordprocessingShape">
                          <wps:wsp>
                            <wps:cNvSpPr txBox="1"/>
                            <wps:spPr>
                              <a:xfrm>
                                <a:off x="0" y="0"/>
                                <a:ext cx="49822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19710" cy="175260"/>
                      <wp:effectExtent l="0" t="0" r="0" b="0"/>
                      <wp:wrapNone/>
                      <wp:docPr id="625" name="Frame6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495935" cy="175260"/>
                      <wp:effectExtent l="0" t="0" r="0" b="0"/>
                      <wp:wrapNone/>
                      <wp:docPr id="626" name="Frame6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19710" cy="175260"/>
                      <wp:effectExtent l="0" t="0" r="0" b="0"/>
                      <wp:wrapNone/>
                      <wp:docPr id="627" name="Frame6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562610" cy="175260"/>
                      <wp:effectExtent l="0" t="0" r="0" b="0"/>
                      <wp:wrapNone/>
                      <wp:docPr id="628" name="Frame6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7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01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7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78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7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Accounts receivable - related parties (i)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114,126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107,816</w:t>
            </w:r>
          </w:p>
        </w:tc>
      </w:tr>
      <w:tr>
        <w:trPr/>
        <w:tc>
          <w:tcPr>
            <w:tcW w:w="7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Contract liabilities – related parties* (i)</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7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Prepayments and other current assets – related parties (ii)</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111,886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74,558</w:t>
            </w:r>
          </w:p>
        </w:tc>
      </w:tr>
      <w:tr>
        <w:trPr/>
        <w:tc>
          <w:tcPr>
            <w:tcW w:w="7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 related parties ((ii). e)</w:t>
            </w:r>
          </w:p>
        </w:tc>
        <w:tc>
          <w:tcPr>
            <w:tcW w:w="346" w:type="dxa"/>
            <w:tcBorders/>
            <w:vAlign w:val="center"/>
          </w:tcPr>
          <w:p>
            <w:pPr>
              <w:pStyle w:val="TableContents"/>
              <w:bidi w:val="0"/>
              <w:spacing w:lineRule="auto" w:line="307" w:before="0" w:after="160"/>
              <w:ind w:left="0" w:right="0" w:hanging="0"/>
              <w:jc w:val="lef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vAlign w:val="center"/>
          </w:tcPr>
          <w:p>
            <w:pPr>
              <w:pStyle w:val="TableContents"/>
              <w:bidi w:val="0"/>
              <w:spacing w:lineRule="auto" w:line="307" w:before="0" w:after="160"/>
              <w:ind w:left="0" w:right="0" w:hanging="0"/>
              <w:jc w:val="left"/>
              <w:rPr/>
            </w:pPr>
            <w:r>
              <w:rPr/>
              <w:t>​</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7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Accounts payable – related parties ((iii).a)</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458,189</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410,433</w:t>
            </w:r>
          </w:p>
        </w:tc>
      </w:tr>
      <w:tr>
        <w:trPr/>
        <w:tc>
          <w:tcPr>
            <w:tcW w:w="7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 – related parties (iii)</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211,665</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213,582</w:t>
            </w:r>
          </w:p>
        </w:tc>
      </w:tr>
      <w:tr>
        <w:trPr/>
        <w:tc>
          <w:tcPr>
            <w:tcW w:w="7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non-current liabilities – related parties ((iii).f)</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1,471</w:t>
            </w:r>
          </w:p>
        </w:tc>
      </w:tr>
      <w:tr>
        <w:trPr/>
        <w:tc>
          <w:tcPr>
            <w:tcW w:w="7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related parties, current* (iv)</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1,636</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7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related parties, non-current (iv)</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3,105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10,729</w:t>
            </w:r>
          </w:p>
        </w:tc>
      </w:tr>
      <w:tr>
        <w:trPr/>
        <w:tc>
          <w:tcPr>
            <w:tcW w:w="7846" w:type="dxa"/>
            <w:tcBorders/>
            <w:vAlign w:val="center"/>
          </w:tcPr>
          <w:p>
            <w:pPr>
              <w:pStyle w:val="TableContents"/>
              <w:bidi w:val="0"/>
              <w:spacing w:lineRule="auto" w:line="307" w:before="0" w:after="1"/>
              <w:ind w:left="0" w:right="0" w:hanging="0"/>
              <w:jc w:val="left"/>
              <w:rPr/>
            </w:pPr>
            <w:r>
              <w:rPr/>
              <w:t> </w:t>
            </w:r>
            <w:r>
              <w:rPr>
                <w:rFonts w:ascii="Times New Roman;Times;serif" w:hAnsi="Times New Roman;Times;serif"/>
                <w:sz w:val="20"/>
              </w:rPr>
              <w:t>Investment securities – related parties (vi)</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1,811</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2,221</w:t>
            </w:r>
          </w:p>
        </w:tc>
      </w:tr>
      <w:tr>
        <w:trPr/>
        <w:tc>
          <w:tcPr>
            <w:tcW w:w="7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Equity security without readily determinable fair values using the measurement alternative – related party (Note 2(h))</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35,568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6" w:type="dxa"/>
            <w:tcBorders/>
            <w:shd w:fill="CCEEFF" w:val="clear"/>
            <w:vAlign w:val="center"/>
          </w:tcPr>
          <w:p>
            <w:pPr>
              <w:pStyle w:val="TableContents"/>
              <w:bidi w:val="0"/>
              <w:spacing w:lineRule="auto" w:line="307" w:before="0" w:after="1"/>
              <w:ind w:left="0" w:right="0" w:hanging="0"/>
              <w:jc w:val="right"/>
              <w:rPr/>
            </w:pPr>
            <w:r>
              <w:rPr/>
              <w:t>—</w:t>
            </w:r>
          </w:p>
        </w:tc>
      </w:tr>
      <w:tr>
        <w:trPr/>
        <w:tc>
          <w:tcPr>
            <w:tcW w:w="784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Loan receivable from a related party ((ii). b)</w:t>
            </w:r>
          </w:p>
        </w:tc>
        <w:tc>
          <w:tcPr>
            <w:tcW w:w="346" w:type="dxa"/>
            <w:tcBorders/>
            <w:vAlign w:val="center"/>
          </w:tcPr>
          <w:p>
            <w:pPr>
              <w:pStyle w:val="TableContents"/>
              <w:bidi w:val="0"/>
              <w:spacing w:lineRule="auto" w:line="307" w:before="0" w:after="1"/>
              <w:ind w:left="0" w:right="0" w:hanging="0"/>
              <w:jc w:val="lef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351,486</w:t>
            </w:r>
          </w:p>
        </w:tc>
        <w:tc>
          <w:tcPr>
            <w:tcW w:w="346" w:type="dxa"/>
            <w:tcBorders/>
            <w:vAlign w:val="center"/>
          </w:tcPr>
          <w:p>
            <w:pPr>
              <w:pStyle w:val="TableContents"/>
              <w:bidi w:val="0"/>
              <w:spacing w:lineRule="auto" w:line="307" w:before="0" w:after="1"/>
              <w:ind w:left="0" w:right="0" w:hanging="0"/>
              <w:jc w:val="left"/>
              <w:rPr/>
            </w:pPr>
            <w:r>
              <w:rPr/>
              <w:t> </w:t>
            </w:r>
          </w:p>
        </w:tc>
        <w:tc>
          <w:tcPr>
            <w:tcW w:w="88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269,539</w:t>
            </w:r>
          </w:p>
        </w:tc>
      </w:tr>
      <w:tr>
        <w:trPr/>
        <w:tc>
          <w:tcPr>
            <w:tcW w:w="784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Short-term borrowings - related parties(vii)</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784,288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6" w:type="dxa"/>
            <w:tcBorders/>
            <w:shd w:fill="CCEEFF" w:val="cle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199,570</w:t>
            </w:r>
          </w:p>
        </w:tc>
      </w:tr>
    </w:tbl>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These items are included in accrued expenses and other current liabilities – related parties in the consolidated balance sheets as of December 31, 2025 and 2024.</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lineRule="auto" w:line="307"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sold sports cars, EV lifestyle models, auto parts and peripheral products and provided R&amp;D services and other consulting services to related parties. The Group provided services to related parties amounting to US$29,045, US$24,358</w:t>
            </w:r>
            <w:r>
              <w:rPr>
                <w:caps w:val="false"/>
                <w:smallCaps w:val="false"/>
              </w:rPr>
              <w:t xml:space="preserve"> </w:t>
            </w:r>
            <w:r>
              <w:rPr>
                <w:rFonts w:ascii="Times New Roman;Times;serif" w:hAnsi="Times New Roman;Times;serif"/>
                <w:b w:val="false"/>
                <w:i w:val="false"/>
                <w:caps w:val="false"/>
                <w:smallCaps w:val="false"/>
                <w:sz w:val="20"/>
              </w:rPr>
              <w:t>and US$12,573</w:t>
            </w:r>
            <w:r>
              <w:rPr>
                <w:caps w:val="false"/>
                <w:smallCaps w:val="false"/>
              </w:rPr>
              <w:t xml:space="preserve"> </w:t>
            </w:r>
            <w:r>
              <w:rPr>
                <w:rFonts w:ascii="Times New Roman;Times;serif" w:hAnsi="Times New Roman;Times;serif"/>
                <w:b w:val="false"/>
                <w:i w:val="false"/>
                <w:caps w:val="false"/>
                <w:smallCaps w:val="false"/>
                <w:sz w:val="20"/>
              </w:rPr>
              <w:t>for the years ended December 31, 2025, 2024 and 2023, respectively. The Group sold sports cars, EV lifestyle models, auto parts and peripheral products to related parties amounting to US$5,933, US$18,162</w:t>
            </w:r>
            <w:r>
              <w:rPr>
                <w:caps w:val="false"/>
                <w:smallCaps w:val="false"/>
              </w:rPr>
              <w:t xml:space="preserve"> </w:t>
            </w:r>
            <w:r>
              <w:rPr>
                <w:rFonts w:ascii="Times New Roman;Times;serif" w:hAnsi="Times New Roman;Times;serif"/>
                <w:b w:val="false"/>
                <w:i w:val="false"/>
                <w:caps w:val="false"/>
                <w:smallCaps w:val="false"/>
                <w:sz w:val="20"/>
              </w:rPr>
              <w:t>and US$3,432</w:t>
            </w:r>
            <w:r>
              <w:rPr>
                <w:caps w:val="false"/>
                <w:smallCaps w:val="false"/>
              </w:rPr>
              <w:t xml:space="preserve"> </w:t>
            </w:r>
            <w:r>
              <w:rPr>
                <w:rFonts w:ascii="Times New Roman;Times;serif" w:hAnsi="Times New Roman;Times;serif"/>
                <w:b w:val="false"/>
                <w:i w:val="false"/>
                <w:caps w:val="false"/>
                <w:smallCaps w:val="false"/>
                <w:sz w:val="20"/>
              </w:rPr>
              <w:t xml:space="preserve">for the years end December 31, 2025, 2024 and 2023, respectively. </w:t>
            </w:r>
          </w:p>
        </w:tc>
      </w:tr>
    </w:tbl>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 xml:space="preserve">Accounts receivable due from related parties arising from sales of goods and provision of services, including facilitation services in relation to logistics and order processing, were US$114,126 and US$107,816 as of December 31, 2025 and 2024, respectively. Receipts in advance of US$228 and US$150 were included in contract liabilities – related parties as of December 31, 2025 and 2024, respectively.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(ii)</w:t>
            </w:r>
          </w:p>
        </w:tc>
        <w:tc>
          <w:tcPr>
            <w:tcW w:w="9883"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Prepayments and other current assets – related parties, other non-current assets – related parties and loan receivable from a related party of the Group are mainly arising from transactions related to purchase of products and services (see note (iii).a), loans to related parties, and cash payments on behalf of related parties.</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made payments of US$11,126, US$24,070</w:t>
            </w:r>
            <w:r>
              <w:rPr>
                <w:caps w:val="false"/>
                <w:smallCaps w:val="false"/>
              </w:rPr>
              <w:t xml:space="preserve"> </w:t>
            </w:r>
            <w:r>
              <w:rPr>
                <w:rFonts w:ascii="Times New Roman;Times;serif" w:hAnsi="Times New Roman;Times;serif"/>
                <w:b w:val="false"/>
                <w:i w:val="false"/>
                <w:caps w:val="false"/>
                <w:smallCaps w:val="false"/>
                <w:sz w:val="20"/>
              </w:rPr>
              <w:t>and US$4,022</w:t>
            </w:r>
            <w:r>
              <w:rPr>
                <w:caps w:val="false"/>
                <w:smallCaps w:val="false"/>
              </w:rPr>
              <w:t xml:space="preserve"> </w:t>
            </w:r>
            <w:r>
              <w:rPr>
                <w:rFonts w:ascii="Times New Roman;Times;serif" w:hAnsi="Times New Roman;Times;serif"/>
                <w:b w:val="false"/>
                <w:i w:val="false"/>
                <w:caps w:val="false"/>
                <w:smallCaps w:val="false"/>
                <w:sz w:val="20"/>
              </w:rPr>
              <w:t>on behalf of related parties for the years ended December 31, 2025, 2024 and 2023, respectively. Related parties collected cash receipts of nil, nil</w:t>
            </w:r>
            <w:r>
              <w:rPr>
                <w:caps w:val="false"/>
                <w:smallCaps w:val="false"/>
              </w:rPr>
              <w:t xml:space="preserve"> </w:t>
            </w:r>
            <w:r>
              <w:rPr>
                <w:rFonts w:ascii="Times New Roman;Times;serif" w:hAnsi="Times New Roman;Times;serif"/>
                <w:b w:val="false"/>
                <w:i w:val="false"/>
                <w:caps w:val="false"/>
                <w:smallCaps w:val="false"/>
                <w:sz w:val="20"/>
              </w:rPr>
              <w:t>and US$3,695</w:t>
            </w:r>
            <w:r>
              <w:rPr>
                <w:caps w:val="false"/>
                <w:smallCaps w:val="false"/>
              </w:rPr>
              <w:t xml:space="preserve"> </w:t>
            </w:r>
            <w:r>
              <w:rPr>
                <w:rFonts w:ascii="Times New Roman;Times;serif" w:hAnsi="Times New Roman;Times;serif"/>
                <w:b w:val="false"/>
                <w:i w:val="false"/>
                <w:caps w:val="false"/>
                <w:smallCaps w:val="false"/>
                <w:sz w:val="20"/>
              </w:rPr>
              <w:t>on behalf of the Group for the years ended December 31, 2025, 2024 and 2023, respectively. As of December 31, 2025 and 2024, receivables of US$5,764</w:t>
            </w:r>
            <w:r>
              <w:rPr>
                <w:caps w:val="false"/>
                <w:smallCaps w:val="false"/>
              </w:rPr>
              <w:t xml:space="preserve"> </w:t>
            </w:r>
            <w:r>
              <w:rPr>
                <w:rFonts w:ascii="Times New Roman;Times;serif" w:hAnsi="Times New Roman;Times;serif"/>
                <w:b w:val="false"/>
                <w:i w:val="false"/>
                <w:caps w:val="false"/>
                <w:smallCaps w:val="false"/>
                <w:sz w:val="20"/>
              </w:rPr>
              <w:t>and US$21,681</w:t>
            </w:r>
            <w:r>
              <w:rPr>
                <w:caps w:val="false"/>
                <w:smallCaps w:val="false"/>
              </w:rPr>
              <w:t xml:space="preserve"> </w:t>
            </w:r>
            <w:r>
              <w:rPr>
                <w:rFonts w:ascii="Times New Roman;Times;serif" w:hAnsi="Times New Roman;Times;serif"/>
                <w:b w:val="false"/>
                <w:i w:val="false"/>
                <w:caps w:val="false"/>
                <w:smallCaps w:val="false"/>
                <w:sz w:val="20"/>
              </w:rPr>
              <w:t>was included in prepayments and other current assets – related parties, respectively.</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March 11, 2024, the Company’s subsidiary and a related party, ultimately controlled by the Controlling Shareholder, entered into a loan agreement, pursuant to which the Company’s subsidiary provided unsecured loans with a total principal amount of US$354,000</w:t>
            </w:r>
            <w:r>
              <w:rPr>
                <w:caps w:val="false"/>
                <w:smallCaps w:val="false"/>
              </w:rPr>
              <w:t xml:space="preserve"> </w:t>
            </w:r>
            <w:r>
              <w:rPr>
                <w:rFonts w:ascii="Times New Roman;Times;serif" w:hAnsi="Times New Roman;Times;serif"/>
                <w:b w:val="false"/>
                <w:i w:val="false"/>
                <w:caps w:val="false"/>
                <w:smallCaps w:val="false"/>
                <w:sz w:val="20"/>
              </w:rPr>
              <w:t>with a term of five years</w:t>
            </w:r>
            <w:r>
              <w:rPr>
                <w:caps w:val="false"/>
                <w:smallCaps w:val="false"/>
              </w:rPr>
              <w:t xml:space="preserve"> </w:t>
            </w:r>
            <w:r>
              <w:rPr>
                <w:rFonts w:ascii="Times New Roman;Times;serif" w:hAnsi="Times New Roman;Times;serif"/>
                <w:b w:val="false"/>
                <w:i w:val="false"/>
                <w:caps w:val="false"/>
                <w:smallCaps w:val="false"/>
                <w:sz w:val="20"/>
              </w:rPr>
              <w:t>and annual interest rate of 6.95%. During the years ended December 31, 2025 and 2024, the Group provided loan principal of US$60,722</w:t>
            </w:r>
            <w:r>
              <w:rPr>
                <w:caps w:val="false"/>
                <w:smallCaps w:val="false"/>
              </w:rPr>
              <w:t xml:space="preserve"> </w:t>
            </w:r>
            <w:r>
              <w:rPr>
                <w:rFonts w:ascii="Times New Roman;Times;serif" w:hAnsi="Times New Roman;Times;serif"/>
                <w:b w:val="false"/>
                <w:i w:val="false"/>
                <w:caps w:val="false"/>
                <w:smallCaps w:val="false"/>
                <w:sz w:val="20"/>
              </w:rPr>
              <w:t>and US$261,647, and recognized interest income of US$20,090</w:t>
            </w:r>
            <w:r>
              <w:rPr>
                <w:caps w:val="false"/>
                <w:smallCaps w:val="false"/>
              </w:rPr>
              <w:t xml:space="preserve"> </w:t>
            </w:r>
            <w:r>
              <w:rPr>
                <w:rFonts w:ascii="Times New Roman;Times;serif" w:hAnsi="Times New Roman;Times;serif"/>
                <w:b w:val="false"/>
                <w:i w:val="false"/>
                <w:caps w:val="false"/>
                <w:smallCaps w:val="false"/>
                <w:sz w:val="20"/>
              </w:rPr>
              <w:t>and US$13,415, respectively. As of December 31, 2025 and 2024, the receivable for the loan principal and interest of US$351,486</w:t>
            </w:r>
            <w:r>
              <w:rPr>
                <w:caps w:val="false"/>
                <w:smallCaps w:val="false"/>
              </w:rPr>
              <w:t xml:space="preserve"> </w:t>
            </w:r>
            <w:r>
              <w:rPr>
                <w:rFonts w:ascii="Times New Roman;Times;serif" w:hAnsi="Times New Roman;Times;serif"/>
                <w:b w:val="false"/>
                <w:i w:val="false"/>
                <w:caps w:val="false"/>
                <w:smallCaps w:val="false"/>
                <w:sz w:val="20"/>
              </w:rPr>
              <w:t>and US$269,539</w:t>
            </w:r>
            <w:r>
              <w:rPr>
                <w:caps w:val="false"/>
                <w:smallCaps w:val="false"/>
              </w:rPr>
              <w:t xml:space="preserve"> </w:t>
            </w:r>
            <w:r>
              <w:rPr>
                <w:rFonts w:ascii="Times New Roman;Times;serif" w:hAnsi="Times New Roman;Times;serif"/>
                <w:b w:val="false"/>
                <w:i w:val="false"/>
                <w:caps w:val="false"/>
                <w:smallCaps w:val="false"/>
                <w:sz w:val="20"/>
              </w:rPr>
              <w:t>was included in loan receivable from a related party, respectively.</w:t>
            </w:r>
          </w:p>
        </w:tc>
      </w:tr>
    </w:tbl>
    <w:p>
      <w:pPr>
        <w:pStyle w:val="TextBody"/>
        <w:bidi w:val="0"/>
        <w:spacing w:lineRule="auto" w:line="285" w:before="0" w:after="160"/>
        <w:ind w:left="1080" w:right="0" w:hanging="0"/>
        <w:jc w:val="both"/>
        <w:rPr>
          <w:rFonts w:ascii="Times New Roman;Times;serif" w:hAnsi="Times New Roman;Times;serif"/>
          <w:sz w:val="20"/>
        </w:rPr>
      </w:pPr>
      <w:r>
        <w:rPr>
          <w:rFonts w:ascii="Times New Roman;Times;serif" w:hAnsi="Times New Roman;Times;serif"/>
          <w:sz w:val="20"/>
        </w:rPr>
        <w:t>The Group disposed a subsidiary in September 2024. The Group provided unsecured short-term loans to that subsidiary with an interest rate of 3% per annum. During the year ended December 31, 2025, the Group recognized interest income of US$482. During the period from the disposal date to December 31, 2024, the Group recognized interest income of US$115. As of December 31, 2025 and 2024, the receivable for the loan principal and interest of US$18,052 and US$15,677 was included in prepayments and other current assets – related parties, respectively.</w:t>
      </w:r>
    </w:p>
    <w:p>
      <w:pPr>
        <w:pStyle w:val="TextBody"/>
        <w:bidi w:val="0"/>
        <w:spacing w:lineRule="auto" w:line="285" w:before="0" w:after="200"/>
        <w:ind w:left="1080" w:right="0" w:hanging="0"/>
        <w:jc w:val="both"/>
        <w:rPr>
          <w:rFonts w:ascii="Times New Roman;Times;serif" w:hAnsi="Times New Roman;Times;serif"/>
          <w:sz w:val="20"/>
        </w:rPr>
      </w:pPr>
      <w:r>
        <w:rPr>
          <w:rFonts w:ascii="Times New Roman;Times;serif" w:hAnsi="Times New Roman;Times;serif"/>
          <w:sz w:val="20"/>
        </w:rPr>
        <w:t>During the years ended December 31, 2025, 2024 and 2023, the Group provided unsecured short-term loans of nil, US$556 and US$1,227, respectively, to related parties with interest rates of 3.65%-4.5% per annum, and received the settlement of unsecured short-term loans of nil, US$140 and nil, respectively. The Group recognized interest income of US$153, US$131 and US$122 for the years ended December 31, 2025, 2024 and 2024, respectively. As of December 31, 2025 and 2024, the receivable for the loan principal and interest of US$4,706 and US$ 3,348 was included in prepayments and other current assets – related parties, respectively.</w:t>
      </w:r>
    </w:p>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mentioned in note ((iii).a) and note ((iii).c) below, the amounts of prepayments to related parties for purchase of vehicles, auto parts and peripheral products of US$83,296</w:t>
            </w:r>
            <w:r>
              <w:rPr>
                <w:caps w:val="false"/>
                <w:smallCaps w:val="false"/>
              </w:rPr>
              <w:t xml:space="preserve"> </w:t>
            </w:r>
            <w:r>
              <w:rPr>
                <w:rFonts w:ascii="Times New Roman;Times;serif" w:hAnsi="Times New Roman;Times;serif"/>
                <w:b w:val="false"/>
                <w:i w:val="false"/>
                <w:caps w:val="false"/>
                <w:smallCaps w:val="false"/>
                <w:sz w:val="20"/>
              </w:rPr>
              <w:t>and US$33,204</w:t>
            </w:r>
            <w:r>
              <w:rPr>
                <w:caps w:val="false"/>
                <w:smallCaps w:val="false"/>
              </w:rPr>
              <w:t xml:space="preserve"> </w:t>
            </w:r>
            <w:r>
              <w:rPr>
                <w:rFonts w:ascii="Times New Roman;Times;serif" w:hAnsi="Times New Roman;Times;serif"/>
                <w:b w:val="false"/>
                <w:i w:val="false"/>
                <w:caps w:val="false"/>
                <w:smallCaps w:val="false"/>
                <w:sz w:val="20"/>
              </w:rPr>
              <w:t>were included in prepayments and other current assets – related parties as of December 31, 2025 and 2024,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mentioned in note ((iii).e), the amounts of prepayments to related parties for short-term lease agreements of US$9</w:t>
            </w:r>
            <w:r>
              <w:rPr>
                <w:caps w:val="false"/>
                <w:smallCaps w:val="false"/>
              </w:rPr>
              <w:t xml:space="preserve"> </w:t>
            </w:r>
            <w:r>
              <w:rPr>
                <w:rFonts w:ascii="Times New Roman;Times;serif" w:hAnsi="Times New Roman;Times;serif"/>
                <w:b w:val="false"/>
                <w:i w:val="false"/>
                <w:caps w:val="false"/>
                <w:smallCaps w:val="false"/>
                <w:sz w:val="20"/>
              </w:rPr>
              <w:t>and US $5</w:t>
            </w:r>
            <w:r>
              <w:rPr>
                <w:caps w:val="false"/>
                <w:smallCaps w:val="false"/>
              </w:rPr>
              <w:t xml:space="preserve"> </w:t>
            </w:r>
            <w:r>
              <w:rPr>
                <w:rFonts w:ascii="Times New Roman;Times;serif" w:hAnsi="Times New Roman;Times;serif"/>
                <w:b w:val="false"/>
                <w:i w:val="false"/>
                <w:caps w:val="false"/>
                <w:smallCaps w:val="false"/>
                <w:sz w:val="20"/>
              </w:rPr>
              <w:t>were included in prepayments and other current assets – related parties as of December 31, 2025 and 2024, respectively.</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years ended December 31, 2025, 2024 and 2023, the Group has paid nil, US$1,113</w:t>
            </w:r>
            <w:r>
              <w:rPr>
                <w:caps w:val="false"/>
                <w:smallCaps w:val="false"/>
              </w:rPr>
              <w:t xml:space="preserve"> </w:t>
            </w:r>
            <w:r>
              <w:rPr>
                <w:rFonts w:ascii="Times New Roman;Times;serif" w:hAnsi="Times New Roman;Times;serif"/>
                <w:b w:val="false"/>
                <w:i w:val="false"/>
                <w:caps w:val="false"/>
                <w:smallCaps w:val="false"/>
                <w:sz w:val="20"/>
              </w:rPr>
              <w:t>and nil</w:t>
            </w:r>
            <w:r>
              <w:rPr>
                <w:caps w:val="false"/>
                <w:smallCaps w:val="false"/>
              </w:rPr>
              <w:t xml:space="preserve"> </w:t>
            </w:r>
            <w:r>
              <w:rPr>
                <w:rFonts w:ascii="Times New Roman;Times;serif" w:hAnsi="Times New Roman;Times;serif"/>
                <w:b w:val="false"/>
                <w:i w:val="false"/>
                <w:caps w:val="false"/>
                <w:smallCaps w:val="false"/>
                <w:sz w:val="20"/>
              </w:rPr>
              <w:t>as deposit for services, which was included in other non-current assets - related parties. As of December 31, 2025 and 2024, the deposit paid recorded in other non-current assets - related parties was US$569</w:t>
            </w:r>
            <w:r>
              <w:rPr>
                <w:caps w:val="false"/>
                <w:smallCaps w:val="false"/>
              </w:rPr>
              <w:t xml:space="preserve"> </w:t>
            </w:r>
            <w:r>
              <w:rPr>
                <w:rFonts w:ascii="Times New Roman;Times;serif" w:hAnsi="Times New Roman;Times;serif"/>
                <w:b w:val="false"/>
                <w:i w:val="false"/>
                <w:caps w:val="false"/>
                <w:smallCaps w:val="false"/>
                <w:sz w:val="20"/>
              </w:rPr>
              <w:t>and US$ 1,113, respectively.</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8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years ended December 31, 2025, 2024 and 2023, the Group disposed equipment amounting to US$11,033, nil</w:t>
            </w:r>
            <w:r>
              <w:rPr>
                <w:caps w:val="false"/>
                <w:smallCaps w:val="false"/>
              </w:rPr>
              <w:t xml:space="preserve"> </w:t>
            </w:r>
            <w:r>
              <w:rPr>
                <w:rFonts w:ascii="Times New Roman;Times;serif" w:hAnsi="Times New Roman;Times;serif"/>
                <w:b w:val="false"/>
                <w:i w:val="false"/>
                <w:caps w:val="false"/>
                <w:smallCaps w:val="false"/>
                <w:sz w:val="20"/>
              </w:rPr>
              <w:t>and nil</w:t>
            </w:r>
            <w:r>
              <w:rPr>
                <w:caps w:val="false"/>
                <w:smallCaps w:val="false"/>
              </w:rPr>
              <w:t xml:space="preserve"> </w:t>
            </w:r>
            <w:r>
              <w:rPr>
                <w:rFonts w:ascii="Times New Roman;Times;serif" w:hAnsi="Times New Roman;Times;serif"/>
                <w:b w:val="false"/>
                <w:i w:val="false"/>
                <w:caps w:val="false"/>
                <w:smallCaps w:val="false"/>
                <w:sz w:val="20"/>
              </w:rPr>
              <w:t>to related parties. As of December 31, 2025 and 2024, receivable from the disposal recorded in prepayments and other current assets – related parties was US$2,666</w:t>
            </w:r>
            <w:r>
              <w:rPr>
                <w:caps w:val="false"/>
                <w:smallCaps w:val="false"/>
              </w:rPr>
              <w:t xml:space="preserve"> </w:t>
            </w:r>
            <w:r>
              <w:rPr>
                <w:rFonts w:ascii="Times New Roman;Times;serif" w:hAnsi="Times New Roman;Times;serif"/>
                <w:b w:val="false"/>
                <w:i w:val="false"/>
                <w:caps w:val="false"/>
                <w:smallCaps w:val="false"/>
                <w:sz w:val="20"/>
              </w:rPr>
              <w:t>and nil.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December 31, 2025 and 2024, contract assets related to R&amp;D services provided to related parties of nil</w:t>
            </w:r>
            <w:r>
              <w:rPr>
                <w:caps w:val="false"/>
                <w:smallCaps w:val="false"/>
              </w:rPr>
              <w:t xml:space="preserve"> </w:t>
            </w:r>
            <w:r>
              <w:rPr>
                <w:rFonts w:ascii="Times New Roman;Times;serif" w:hAnsi="Times New Roman;Times;serif"/>
                <w:b w:val="false"/>
                <w:i w:val="false"/>
                <w:caps w:val="false"/>
                <w:smallCaps w:val="false"/>
                <w:sz w:val="20"/>
              </w:rPr>
              <w:t>and US$929</w:t>
            </w:r>
            <w:r>
              <w:rPr>
                <w:caps w:val="false"/>
                <w:smallCaps w:val="false"/>
              </w:rPr>
              <w:t xml:space="preserve"> </w:t>
            </w:r>
            <w:r>
              <w:rPr>
                <w:rFonts w:ascii="Times New Roman;Times;serif" w:hAnsi="Times New Roman;Times;serif"/>
                <w:b w:val="false"/>
                <w:i w:val="false"/>
                <w:caps w:val="false"/>
                <w:smallCaps w:val="false"/>
                <w:sz w:val="20"/>
              </w:rPr>
              <w:t>was recorded as contract asset in prepayments and other current assets – related parties, respectively.</w:t>
            </w:r>
          </w:p>
        </w:tc>
      </w:tr>
    </w:tbl>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(iii)</w:t>
            </w:r>
          </w:p>
        </w:tc>
        <w:tc>
          <w:tcPr>
            <w:tcW w:w="9824"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Accounts payable - related parties, accrued expenses and other current liabilities – related parties and other non-current liabilities– related parties are mainly arising from transactions related to purchase of products and services, purchase of equipment and software, and payments by related parties on behalf of the Group.</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purchased sports cars, EV lifestyle models, auto parts, peripheral products, commercial services relating to sales of sports cars and EV lifestyle models and other consulting services from related parties. During the years ended December 31, 2025, 2024 and 2023, these purchases amounted to US$445,190,</w:t>
            </w:r>
            <w:r>
              <w:rPr>
                <w:caps w:val="false"/>
                <w:smallCaps w:val="false"/>
              </w:rPr>
              <w:t xml:space="preserve"> </w:t>
            </w:r>
            <w:r>
              <w:rPr>
                <w:rFonts w:ascii="Times New Roman;Times;serif" w:hAnsi="Times New Roman;Times;serif"/>
                <w:b w:val="false"/>
                <w:i w:val="false"/>
                <w:caps w:val="false"/>
                <w:smallCaps w:val="false"/>
                <w:sz w:val="20"/>
              </w:rPr>
              <w:t>US$759,690</w:t>
            </w:r>
            <w:r>
              <w:rPr>
                <w:caps w:val="false"/>
                <w:smallCaps w:val="false"/>
              </w:rPr>
              <w:t xml:space="preserve"> </w:t>
            </w:r>
            <w:r>
              <w:rPr>
                <w:rFonts w:ascii="Times New Roman;Times;serif" w:hAnsi="Times New Roman;Times;serif"/>
                <w:b w:val="false"/>
                <w:i w:val="false"/>
                <w:caps w:val="false"/>
                <w:smallCaps w:val="false"/>
                <w:sz w:val="20"/>
              </w:rPr>
              <w:t>and US$852,623, among which, US$349,247, US$774,002</w:t>
            </w:r>
            <w:r>
              <w:rPr>
                <w:caps w:val="false"/>
                <w:smallCaps w:val="false"/>
              </w:rPr>
              <w:t xml:space="preserve"> </w:t>
            </w:r>
            <w:r>
              <w:rPr>
                <w:rFonts w:ascii="Times New Roman;Times;serif" w:hAnsi="Times New Roman;Times;serif"/>
                <w:b w:val="false"/>
                <w:i w:val="false"/>
                <w:caps w:val="false"/>
                <w:smallCaps w:val="false"/>
                <w:sz w:val="20"/>
              </w:rPr>
              <w:t>and US$549,893</w:t>
            </w:r>
            <w:r>
              <w:rPr>
                <w:caps w:val="false"/>
                <w:smallCaps w:val="false"/>
              </w:rPr>
              <w:t xml:space="preserve"> </w:t>
            </w:r>
            <w:r>
              <w:rPr>
                <w:rFonts w:ascii="Times New Roman;Times;serif" w:hAnsi="Times New Roman;Times;serif"/>
                <w:b w:val="false"/>
                <w:i w:val="false"/>
                <w:caps w:val="false"/>
                <w:smallCaps w:val="false"/>
                <w:sz w:val="20"/>
              </w:rPr>
              <w:t>were recognized as cost of goods sold, respectively.</w:t>
            </w:r>
          </w:p>
        </w:tc>
      </w:tr>
    </w:tbl>
    <w:p>
      <w:pPr>
        <w:pStyle w:val="TextBody"/>
        <w:bidi w:val="0"/>
        <w:spacing w:lineRule="auto" w:line="285" w:before="0" w:after="200"/>
        <w:ind w:left="1080" w:right="0" w:hanging="0"/>
        <w:jc w:val="both"/>
        <w:rPr>
          <w:rFonts w:ascii="Times New Roman;Times;serif" w:hAnsi="Times New Roman;Times;serif"/>
          <w:sz w:val="20"/>
        </w:rPr>
      </w:pPr>
      <w:r>
        <w:rPr>
          <w:rFonts w:ascii="Times New Roman;Times;serif" w:hAnsi="Times New Roman;Times;serif"/>
          <w:sz w:val="20"/>
        </w:rPr>
        <w:t>As of December 31, 2025 and 2024, the amounts due to related parties for purchase of office materials, commercial services relating to sales of sports cars and EV lifestyle models and other consulting services of US$52,917 and US$25,483 were included in accrued expenses and other current liabilities – related parties, respectively.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1080" w:right="0" w:hanging="0"/>
        <w:jc w:val="both"/>
        <w:rPr>
          <w:rFonts w:ascii="Times New Roman;Times;serif" w:hAnsi="Times New Roman;Times;serif"/>
          <w:sz w:val="20"/>
        </w:rPr>
      </w:pPr>
      <w:r>
        <w:rPr>
          <w:rFonts w:ascii="Times New Roman;Times;serif" w:hAnsi="Times New Roman;Times;serif"/>
          <w:sz w:val="20"/>
        </w:rPr>
        <w:t>As of December 31, 2025 and 2024, the amounts due to related parties for purchase of sports cars, EV lifestyle models, auto parts and peripheral products of US$458,189 and US$410,433 was included in accounts payable-related parties, respectively.</w:t>
      </w:r>
    </w:p>
    <w:p>
      <w:pPr>
        <w:pStyle w:val="TextBody"/>
        <w:bidi w:val="0"/>
        <w:spacing w:lineRule="auto" w:line="285" w:before="0" w:after="200"/>
        <w:ind w:left="1080" w:right="0" w:hanging="0"/>
        <w:jc w:val="both"/>
        <w:rPr>
          <w:rFonts w:ascii="Times New Roman;Times;serif" w:hAnsi="Times New Roman;Times;serif"/>
          <w:sz w:val="20"/>
        </w:rPr>
      </w:pPr>
      <w:r>
        <w:rPr>
          <w:rFonts w:ascii="Times New Roman;Times;serif" w:hAnsi="Times New Roman;Times;serif"/>
          <w:sz w:val="20"/>
        </w:rPr>
        <w:t>During the years ended December 31, 2025, 2024 and 2023, the Group incurred interest expense of US$15,007, US$17,455 and nil due to the delay payments of accounts payable due to related parties, bearing interest rate of 6.95%.</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purchased products and services from related parties for R&amp;D activities. The Group recoded R&amp;D expenses of US$59,342, US$107,544</w:t>
            </w:r>
            <w:r>
              <w:rPr>
                <w:caps w:val="false"/>
                <w:smallCaps w:val="false"/>
              </w:rPr>
              <w:t xml:space="preserve"> </w:t>
            </w:r>
            <w:r>
              <w:rPr>
                <w:rFonts w:ascii="Times New Roman;Times;serif" w:hAnsi="Times New Roman;Times;serif"/>
                <w:b w:val="false"/>
                <w:i w:val="false"/>
                <w:caps w:val="false"/>
                <w:smallCaps w:val="false"/>
                <w:sz w:val="20"/>
              </w:rPr>
              <w:t>and US$134,721</w:t>
            </w:r>
            <w:r>
              <w:rPr>
                <w:caps w:val="false"/>
                <w:smallCaps w:val="false"/>
              </w:rPr>
              <w:t xml:space="preserve"> </w:t>
            </w:r>
            <w:r>
              <w:rPr>
                <w:rFonts w:ascii="Times New Roman;Times;serif" w:hAnsi="Times New Roman;Times;serif"/>
                <w:b w:val="false"/>
                <w:i w:val="false"/>
                <w:caps w:val="false"/>
                <w:smallCaps w:val="false"/>
                <w:sz w:val="20"/>
              </w:rPr>
              <w:t>during the years ended December 31, 2025, 2024 and 2023, respectively. As of December 31, 2025 and 2024, the amounts due to related parties for purchase of products and services for R&amp;D activities of US$156,442</w:t>
            </w:r>
            <w:r>
              <w:rPr>
                <w:caps w:val="false"/>
                <w:smallCaps w:val="false"/>
              </w:rPr>
              <w:t xml:space="preserve"> </w:t>
            </w:r>
            <w:r>
              <w:rPr>
                <w:rFonts w:ascii="Times New Roman;Times;serif" w:hAnsi="Times New Roman;Times;serif"/>
                <w:b w:val="false"/>
                <w:i w:val="false"/>
                <w:caps w:val="false"/>
                <w:smallCaps w:val="false"/>
                <w:sz w:val="20"/>
              </w:rPr>
              <w:t>and US$184,137</w:t>
            </w:r>
            <w:r>
              <w:rPr>
                <w:caps w:val="false"/>
                <w:smallCaps w:val="false"/>
              </w:rPr>
              <w:t xml:space="preserve"> </w:t>
            </w:r>
            <w:r>
              <w:rPr>
                <w:rFonts w:ascii="Times New Roman;Times;serif" w:hAnsi="Times New Roman;Times;serif"/>
                <w:b w:val="false"/>
                <w:i w:val="false"/>
                <w:caps w:val="false"/>
                <w:smallCaps w:val="false"/>
                <w:sz w:val="20"/>
              </w:rPr>
              <w:t>were included in accrued expenses and other current liabilities – related parties, respectively.</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purchased equipment and software of US$534, US$1,346</w:t>
            </w:r>
            <w:r>
              <w:rPr>
                <w:caps w:val="false"/>
                <w:smallCaps w:val="false"/>
              </w:rPr>
              <w:t xml:space="preserve"> </w:t>
            </w:r>
            <w:r>
              <w:rPr>
                <w:rFonts w:ascii="Times New Roman;Times;serif" w:hAnsi="Times New Roman;Times;serif"/>
                <w:b w:val="false"/>
                <w:i w:val="false"/>
                <w:caps w:val="false"/>
                <w:smallCaps w:val="false"/>
                <w:sz w:val="20"/>
              </w:rPr>
              <w:t>and US$11,223</w:t>
            </w:r>
            <w:r>
              <w:rPr>
                <w:caps w:val="false"/>
                <w:smallCaps w:val="false"/>
              </w:rPr>
              <w:t xml:space="preserve"> </w:t>
            </w:r>
            <w:r>
              <w:rPr>
                <w:rFonts w:ascii="Times New Roman;Times;serif" w:hAnsi="Times New Roman;Times;serif"/>
                <w:b w:val="false"/>
                <w:i w:val="false"/>
                <w:caps w:val="false"/>
                <w:smallCaps w:val="false"/>
                <w:sz w:val="20"/>
              </w:rPr>
              <w:t>from related parties for the years ended December 31, 2025, 2024 and 2023, respectively. As of December 31, 2025 and 2024, the amounts due to related parties for purchase of equipment and software of US$1,603</w:t>
            </w:r>
            <w:r>
              <w:rPr>
                <w:caps w:val="false"/>
                <w:smallCaps w:val="false"/>
              </w:rPr>
              <w:t xml:space="preserve"> </w:t>
            </w:r>
            <w:r>
              <w:rPr>
                <w:rFonts w:ascii="Times New Roman;Times;serif" w:hAnsi="Times New Roman;Times;serif"/>
                <w:b w:val="false"/>
                <w:i w:val="false"/>
                <w:caps w:val="false"/>
                <w:smallCaps w:val="false"/>
                <w:sz w:val="20"/>
              </w:rPr>
              <w:t>and US$2,649</w:t>
            </w:r>
            <w:r>
              <w:rPr>
                <w:caps w:val="false"/>
                <w:smallCaps w:val="false"/>
              </w:rPr>
              <w:t xml:space="preserve"> </w:t>
            </w:r>
            <w:r>
              <w:rPr>
                <w:rFonts w:ascii="Times New Roman;Times;serif" w:hAnsi="Times New Roman;Times;serif"/>
                <w:b w:val="false"/>
                <w:i w:val="false"/>
                <w:caps w:val="false"/>
                <w:smallCaps w:val="false"/>
                <w:sz w:val="20"/>
              </w:rPr>
              <w:t>were included in accrued expenses and other current liabilities – related parties,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years ended December 31, 2025, 2024 and 2023, related parties paid US$2,879, US$5,165</w:t>
            </w:r>
            <w:r>
              <w:rPr>
                <w:caps w:val="false"/>
                <w:smallCaps w:val="false"/>
              </w:rPr>
              <w:t xml:space="preserve"> </w:t>
            </w:r>
            <w:r>
              <w:rPr>
                <w:rFonts w:ascii="Times New Roman;Times;serif" w:hAnsi="Times New Roman;Times;serif"/>
                <w:b w:val="false"/>
                <w:i w:val="false"/>
                <w:caps w:val="false"/>
                <w:smallCaps w:val="false"/>
                <w:sz w:val="20"/>
              </w:rPr>
              <w:t>and US$14,514</w:t>
            </w:r>
            <w:r>
              <w:rPr>
                <w:caps w:val="false"/>
                <w:smallCaps w:val="false"/>
              </w:rPr>
              <w:t xml:space="preserve"> </w:t>
            </w:r>
            <w:r>
              <w:rPr>
                <w:rFonts w:ascii="Times New Roman;Times;serif" w:hAnsi="Times New Roman;Times;serif"/>
                <w:b w:val="false"/>
                <w:i w:val="false"/>
                <w:caps w:val="false"/>
                <w:smallCaps w:val="false"/>
                <w:sz w:val="20"/>
              </w:rPr>
              <w:t>on behalf of the Group in association with travelling expenses, staff salary and social welfare, and other miscellaneous expenses, out of which US$397</w:t>
            </w:r>
            <w:r>
              <w:rPr>
                <w:caps w:val="false"/>
                <w:smallCaps w:val="false"/>
              </w:rPr>
              <w:t xml:space="preserve"> </w:t>
            </w:r>
            <w:r>
              <w:rPr>
                <w:rFonts w:ascii="Times New Roman;Times;serif" w:hAnsi="Times New Roman;Times;serif"/>
                <w:b w:val="false"/>
                <w:i w:val="false"/>
                <w:caps w:val="false"/>
                <w:smallCaps w:val="false"/>
                <w:sz w:val="20"/>
              </w:rPr>
              <w:t>and US$1,226</w:t>
            </w:r>
            <w:r>
              <w:rPr>
                <w:caps w:val="false"/>
                <w:smallCaps w:val="false"/>
              </w:rPr>
              <w:t xml:space="preserve"> </w:t>
            </w:r>
            <w:r>
              <w:rPr>
                <w:rFonts w:ascii="Times New Roman;Times;serif" w:hAnsi="Times New Roman;Times;serif"/>
                <w:b w:val="false"/>
                <w:i w:val="false"/>
                <w:caps w:val="false"/>
                <w:smallCaps w:val="false"/>
                <w:sz w:val="20"/>
              </w:rPr>
              <w:t>were included in accrued expenses and other current liabilities – related parties as of December 31, 2025 and 2024, respectively.</w:t>
            </w:r>
          </w:p>
        </w:tc>
      </w:tr>
    </w:tbl>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4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entered into short-term lease agreements with related parties to rent office spaces. During the years ended December 31, 2025, 2024 and 2023, the Group incurred short-term lease costs of US$172, US$129</w:t>
            </w:r>
            <w:r>
              <w:rPr>
                <w:caps w:val="false"/>
                <w:smallCaps w:val="false"/>
              </w:rPr>
              <w:t xml:space="preserve"> </w:t>
            </w:r>
            <w:r>
              <w:rPr>
                <w:rFonts w:ascii="Times New Roman;Times;serif" w:hAnsi="Times New Roman;Times;serif"/>
                <w:b w:val="false"/>
                <w:i w:val="false"/>
                <w:caps w:val="false"/>
                <w:smallCaps w:val="false"/>
                <w:sz w:val="20"/>
              </w:rPr>
              <w:t>and US$765, respectively. As of December 31, 2025 and 2024, payables for short-term leases of nil</w:t>
            </w:r>
            <w:r>
              <w:rPr>
                <w:caps w:val="false"/>
                <w:smallCaps w:val="false"/>
              </w:rPr>
              <w:t xml:space="preserve"> </w:t>
            </w:r>
            <w:r>
              <w:rPr>
                <w:rFonts w:ascii="Times New Roman;Times;serif" w:hAnsi="Times New Roman;Times;serif"/>
                <w:b w:val="false"/>
                <w:i w:val="false"/>
                <w:caps w:val="false"/>
                <w:smallCaps w:val="false"/>
                <w:sz w:val="20"/>
              </w:rPr>
              <w:t>and US$48, respectively, were included in accrued expenses and other current liabilities – related parties, respectively.</w:t>
            </w:r>
          </w:p>
        </w:tc>
      </w:tr>
    </w:tbl>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8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Group received deposits of nil, US$14</w:t>
            </w:r>
            <w:r>
              <w:rPr>
                <w:caps w:val="false"/>
                <w:smallCaps w:val="false"/>
              </w:rPr>
              <w:t xml:space="preserve"> </w:t>
            </w:r>
            <w:r>
              <w:rPr>
                <w:rFonts w:ascii="Times New Roman;Times;serif" w:hAnsi="Times New Roman;Times;serif"/>
                <w:b w:val="false"/>
                <w:i w:val="false"/>
                <w:caps w:val="false"/>
                <w:smallCaps w:val="false"/>
                <w:sz w:val="20"/>
              </w:rPr>
              <w:t>and US$251</w:t>
            </w:r>
            <w:r>
              <w:rPr>
                <w:caps w:val="false"/>
                <w:smallCaps w:val="false"/>
              </w:rPr>
              <w:t xml:space="preserve"> </w:t>
            </w:r>
            <w:r>
              <w:rPr>
                <w:rFonts w:ascii="Times New Roman;Times;serif" w:hAnsi="Times New Roman;Times;serif"/>
                <w:b w:val="false"/>
                <w:i w:val="false"/>
                <w:caps w:val="false"/>
                <w:smallCaps w:val="false"/>
                <w:sz w:val="20"/>
              </w:rPr>
              <w:t>from related parties for the years ended December 31, 2025, 2024 and 2023, respectively. As of December 31, 2025 and 2024, US$306</w:t>
            </w:r>
            <w:r>
              <w:rPr>
                <w:caps w:val="false"/>
                <w:smallCaps w:val="false"/>
              </w:rPr>
              <w:t xml:space="preserve"> </w:t>
            </w:r>
            <w:r>
              <w:rPr>
                <w:rFonts w:ascii="Times New Roman;Times;serif" w:hAnsi="Times New Roman;Times;serif"/>
                <w:b w:val="false"/>
                <w:i w:val="false"/>
                <w:caps w:val="false"/>
                <w:smallCaps w:val="false"/>
                <w:sz w:val="20"/>
              </w:rPr>
              <w:t>and US$39</w:t>
            </w:r>
            <w:r>
              <w:rPr>
                <w:caps w:val="false"/>
                <w:smallCaps w:val="false"/>
              </w:rPr>
              <w:t xml:space="preserve"> </w:t>
            </w:r>
            <w:r>
              <w:rPr>
                <w:rFonts w:ascii="Times New Roman;Times;serif" w:hAnsi="Times New Roman;Times;serif"/>
                <w:b w:val="false"/>
                <w:i w:val="false"/>
                <w:caps w:val="false"/>
                <w:smallCaps w:val="false"/>
                <w:sz w:val="20"/>
              </w:rPr>
              <w:t>were included in accrued expenses and other current liabilities – related parties, and US$856</w:t>
            </w:r>
            <w:r>
              <w:rPr>
                <w:caps w:val="false"/>
                <w:smallCaps w:val="false"/>
              </w:rPr>
              <w:t xml:space="preserve"> </w:t>
            </w:r>
            <w:r>
              <w:rPr>
                <w:rFonts w:ascii="Times New Roman;Times;serif" w:hAnsi="Times New Roman;Times;serif"/>
                <w:b w:val="false"/>
                <w:i w:val="false"/>
                <w:caps w:val="false"/>
                <w:smallCaps w:val="false"/>
                <w:sz w:val="20"/>
              </w:rPr>
              <w:t>and US$1,471</w:t>
            </w:r>
            <w:r>
              <w:rPr>
                <w:caps w:val="false"/>
                <w:smallCaps w:val="false"/>
              </w:rPr>
              <w:t xml:space="preserve"> </w:t>
            </w:r>
            <w:r>
              <w:rPr>
                <w:rFonts w:ascii="Times New Roman;Times;serif" w:hAnsi="Times New Roman;Times;serif"/>
                <w:b w:val="false"/>
                <w:i w:val="false"/>
                <w:caps w:val="false"/>
                <w:smallCaps w:val="false"/>
                <w:sz w:val="20"/>
              </w:rPr>
              <w:t>was included in other non-current liabilities-related parties,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January 31, 2023, the Group entered into a distribution agreement with LCL, a wholly owned subsidiary of LGIL and ultimately controlled by the Controlling Shareholder of the Company, pursuant to which the Group was appointed as the exclusive global distributor to distribute certain models of vehicles and to provide after-sale services and brand, marketing and public relations for such vehicles since January 31, 2023, for a cash consideration of US$22,296</w:t>
            </w:r>
            <w:r>
              <w:rPr>
                <w:caps w:val="false"/>
                <w:smallCaps w:val="false"/>
              </w:rPr>
              <w:t xml:space="preserve"> </w:t>
            </w:r>
            <w:r>
              <w:rPr>
                <w:rFonts w:ascii="Times New Roman;Times;serif" w:hAnsi="Times New Roman;Times;serif"/>
                <w:b w:val="false"/>
                <w:i w:val="false"/>
                <w:caps w:val="false"/>
                <w:smallCaps w:val="false"/>
                <w:sz w:val="20"/>
              </w:rPr>
              <w:t>(equivalent to GBP18,055), which was settled during the year ended December 31, 2024.</w:t>
            </w:r>
          </w:p>
        </w:tc>
      </w:tr>
    </w:tbl>
    <w:p>
      <w:pPr>
        <w:pStyle w:val="TextBody"/>
        <w:bidi w:val="0"/>
        <w:spacing w:lineRule="auto" w:line="285" w:before="0" w:after="200"/>
        <w:ind w:left="1080" w:right="0" w:hanging="0"/>
        <w:jc w:val="both"/>
        <w:rPr>
          <w:rFonts w:ascii="Times New Roman;Times;serif" w:hAnsi="Times New Roman;Times;serif"/>
          <w:sz w:val="20"/>
        </w:rPr>
      </w:pPr>
      <w:r>
        <w:rPr>
          <w:rFonts w:ascii="Times New Roman;Times;serif" w:hAnsi="Times New Roman;Times;serif"/>
          <w:sz w:val="20"/>
        </w:rPr>
        <w:t>The Group determined that the acquisition of distribution right did not result in a change in the reporting entity and was accounted for prospectively from the date of the transfer. The acquisition of the distribution right was accounted for as a transaction between entities under common control, with the asset recognized at the historical cost of the ultimate parent. The difference between purchase price of US$22,296 and historical cost of nil was recorded as a distribution to shareholders in additional paid-in capital.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F-67</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(iv)</w:t>
            </w:r>
          </w:p>
        </w:tc>
        <w:tc>
          <w:tcPr>
            <w:tcW w:w="9849"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The Group entered into lease agreements with related parties to rent office spaces and parking spaces. During the years ended December 31, 2025, 2024 and 2023, the Group recognized right-of-use assets of nil, nil and US$12,166 from related parties, respectively. During the years ended December 31, 2025, 2024 and 2023, the Group paid lease liabilities of US$1,844, US$191 and US$269, respectively. As of December 31, 2025 and 2024, current portion of operating lease liabilities were US$1,636 and US$1,028, respectively, and non-current portion of operating lease liabilities were US$3,105 and US$10,729, respectively.</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(v)</w:t>
            </w:r>
          </w:p>
        </w:tc>
        <w:tc>
          <w:tcPr>
            <w:tcW w:w="9878" w:type="dxa"/>
            <w:tcBorders/>
            <w:vAlign w:val="center"/>
          </w:tcPr>
          <w:p>
            <w:pPr>
              <w:pStyle w:val="TableContents"/>
              <w:bidi w:val="0"/>
              <w:spacing w:lineRule="auto" w:line="285" w:before="0" w:after="200"/>
              <w:jc w:val="both"/>
              <w:rPr>
                <w:rFonts w:ascii="Times New Roman;Times;serif" w:hAnsi="Times New Roman;Times;serif"/>
                <w:sz w:val="22"/>
              </w:rPr>
            </w:pPr>
            <w:r>
              <w:rPr>
                <w:rFonts w:ascii="Times New Roman;Times;serif" w:hAnsi="Times New Roman;Times;serif"/>
                <w:sz w:val="20"/>
              </w:rPr>
              <w:t>On September 27, 2024, the Company, through its subsidiary, disposed 80%</w:t>
            </w:r>
            <w:r>
              <w:rPr>
                <w:rFonts w:ascii="Times New Roman;Times;serif" w:hAnsi="Times New Roman;Times;serif"/>
                <w:sz w:val="22"/>
              </w:rPr>
              <w:t xml:space="preserve"> </w:t>
            </w:r>
            <w:r>
              <w:rPr>
                <w:rFonts w:ascii="Times New Roman;Times;serif" w:hAnsi="Times New Roman;Times;serif"/>
                <w:sz w:val="20"/>
              </w:rPr>
              <w:t>equity interest of Lotus GmbH to Geely UK Limited, for cash consideration of US$12,157.</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(vi)</w:t>
            </w:r>
          </w:p>
        </w:tc>
        <w:tc>
          <w:tcPr>
            <w:tcW w:w="9844"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On May 13, 2022, the Company purchased a one-year convertible note with the principal of US$10,000 issued by ECARX. Upon the listing of ECARX on December 21, 2022, the convertible note was automatically converted to the Class A ordinary shares of ECARX at conversion price of US$9.5 per share. As of December 31, 2025 and 2024, the fair value of such shares was US$1,811 and US$2,221, respectively.</w:t>
            </w:r>
          </w:p>
        </w:tc>
      </w:tr>
    </w:tbl>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(vii)</w:t>
            </w:r>
          </w:p>
        </w:tc>
        <w:tc>
          <w:tcPr>
            <w:tcW w:w="9786"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During the year ended December 31, 2025, the Group borrowed loans due within one year or less with principal amounts of US$720,171 from related parties ultimately controlled by the Controlling Shareholder, bearing interest rates of 3.45% - 7.91% per annum. During the year ended December 31, 2024, the Group borrowed loans due within one year or less with principal amounts of US$198,475 from subsidiaries of Geely Holding, bearing an interest rate of 6% per annum.</w:t>
            </w:r>
          </w:p>
        </w:tc>
      </w:tr>
    </w:tbl>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During the years ended December 31, 2025 and 2024, the Group repaid the loan principal of US$170,247 and nil to related parties, respectively.</w:t>
      </w:r>
    </w:p>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As of December 31, 2025 and 2024, the outstanding loan principal and interest balance of US$784,288 and US$199,570 were included in short-term borrowings – related parties, respectively. For the outstanding loan principal and interest as of December 31, 2025, US$178,414 was secured by 45% equity interests held by Ningbo Lotus in Ningbo Robotics, US$374,501 was secured by the Group’s intellectual property with carrying amount of nil as the research and development costs were expensed historically, and US$231,328 was a stock-settled debt as the Company granted a right to an affiliate of Geely Holding to subscribe for shares of the Company at market price covering the then outstanding loan amount in the event of default, out of which US$79,664 was further secured by the Group’s intellectual property with carrying amount of nil.</w:t>
      </w:r>
    </w:p>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All outstanding loan principal and interest as of December 31, 2024 was secured by the Group’s intellectual property with carrying amount of nil.</w:t>
      </w:r>
    </w:p>
    <w:p>
      <w:pPr>
        <w:pStyle w:val="TextBody"/>
        <w:bidi w:val="0"/>
        <w:spacing w:lineRule="auto" w:line="285" w:before="0" w:after="200"/>
        <w:ind w:left="720" w:right="0" w:hanging="0"/>
        <w:jc w:val="both"/>
        <w:rPr>
          <w:rFonts w:ascii="Times New Roman;Times;serif" w:hAnsi="Times New Roman;Times;serif"/>
          <w:sz w:val="20"/>
        </w:rPr>
      </w:pPr>
      <w:r>
        <w:rPr>
          <w:rFonts w:ascii="Times New Roman;Times;serif" w:hAnsi="Times New Roman;Times;serif"/>
          <w:sz w:val="20"/>
        </w:rPr>
        <w:t>During the years ended December 31, 2025 and 2024, the Group incurred interest expenses of US$24,102 and US$2,049 for those loans, respectively.</w:t>
      </w:r>
    </w:p>
    <w:tbl>
      <w:tblPr>
        <w:tblW w:w="4671" w:type="dxa"/>
        <w:jc w:val="left"/>
        <w:tblInd w:w="0" w:type="dxa"/>
        <w:tblLayout w:type="fixed"/>
        <w:tblCellMar>
          <w:top w:w="0" w:type="dxa"/>
          <w:left w:w="0" w:type="dxa"/>
          <w:bottom w:w="0" w:type="dxa"/>
          <w:right w:w="0" w:type="dxa"/>
        </w:tblCellMar>
      </w:tblPr>
      <w:tblGrid>
        <w:gridCol w:w="124"/>
        <w:gridCol w:w="331"/>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(d)</w:t>
            </w:r>
          </w:p>
        </w:tc>
        <w:tc>
          <w:tcPr>
            <w:tcW w:w="421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Manufacturing agreement with the Geely Group</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entered into a manufacturing agreement with Geely Auto Wuhan Branch and Wuhan Geely Auto Parts (collectively as “OEMs”), for the manufacture of the Group’s electrical vehicles for 10 years starting from June 21, 2022. Pursuant to the manufacturing agreement, the Group commissioned OEMs for the production of electrical vehicles and agreed to authorize OEMs to access the Group’s technologies for the production of such models. The Group is mainly responsible for the design and development of the models, designation of suppliers, product announcement, and ensuring consistency with global standards of the Lotus brand. The Group also provides OEMs the necessary intellectual properties for the manufacture of electrical vehicles. OEMs are mainly responsible for the procurement and inspection of raw materials, production planning, production quality control, logistics and transportation of manufactured vehicles, and construction and operation of the manufacturing plant. Particularly, quality control is carried out in accordance with the Group’s quality assurance framework and approved by OEMs. In addition, OEMs are responsible for obtaining certificates for the manufactured vehicles.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F-68</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 xml:space="preserve">Lotus Application Entrusted Operation &amp; Maintenance Contract with Wuhan Quanqing </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Group entered into an application entrusted operation &amp; maintenance contract with Wuhan Quanqing, in May 2023. Pursuant to the contract, the Group will pay Wuhan Quanqing certain service fee for the entrusted daily operation and maintenance service provided by Wuhan Quanqing for the Group’s Lotus App. As of December 31, 2024 and 2025, nil service fee has been incurred.</w:t>
      </w:r>
    </w:p>
    <w:tbl>
      <w:tblPr>
        <w:tblW w:w="2016" w:type="dxa"/>
        <w:jc w:val="left"/>
        <w:tblInd w:w="0" w:type="dxa"/>
        <w:tblLayout w:type="fixed"/>
        <w:tblCellMar>
          <w:top w:w="0" w:type="dxa"/>
          <w:left w:w="0" w:type="dxa"/>
          <w:bottom w:w="0" w:type="dxa"/>
          <w:right w:w="0" w:type="dxa"/>
        </w:tblCellMar>
      </w:tblPr>
      <w:tblGrid>
        <w:gridCol w:w="124"/>
        <w:gridCol w:w="28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lineRule="auto" w:line="285" w:before="0" w:after="200"/>
              <w:jc w:val="both"/>
              <w:rPr>
                <w:rFonts w:ascii="Times New Roman;Times;serif" w:hAnsi="Times New Roman;Times;serif"/>
                <w:b/>
                <w:sz w:val="20"/>
              </w:rPr>
            </w:pPr>
            <w:r>
              <w:rPr>
                <w:rFonts w:ascii="Times New Roman;Times;serif" w:hAnsi="Times New Roman;Times;serif"/>
                <w:b/>
                <w:sz w:val="20"/>
              </w:rPr>
              <w:t>(f)</w:t>
            </w:r>
          </w:p>
        </w:tc>
        <w:tc>
          <w:tcPr>
            <w:tcW w:w="1606" w:type="dxa"/>
            <w:tcBorders/>
            <w:vAlign w:val="center"/>
          </w:tcPr>
          <w:p>
            <w:pPr>
              <w:pStyle w:val="TableContents"/>
              <w:bidi w:val="0"/>
              <w:spacing w:lineRule="auto" w:line="285" w:before="0" w:after="200"/>
              <w:jc w:val="both"/>
              <w:rPr>
                <w:rFonts w:ascii="Times New Roman;Times;serif" w:hAnsi="Times New Roman;Times;serif"/>
                <w:b/>
                <w:sz w:val="20"/>
              </w:rPr>
            </w:pPr>
            <w:r>
              <w:rPr>
                <w:rFonts w:ascii="Times New Roman;Times;serif" w:hAnsi="Times New Roman;Times;serif"/>
                <w:b/>
                <w:sz w:val="20"/>
              </w:rPr>
              <w:t>LGIL Put Option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January 31, 2023, the Company issued put options to each of Geely HK and Etika at nil consideration. Pursuant to the put option agreements, each of Geely HK and Etika will have an option to require the Company to purchase the equity interests held by Geely HK and Etika in Lotus Advance Technologies Sdn Bhd, the immediate parent of LGIL, during the period from April 1, 2025 to June 30, 2025, at a pre-agreed price, i.e. 1.15 multiplied by the revenue of LGIL for the year ended December 31, 2024 plus the cash and cash equivalents of LGIL as of December 31, 2024, and minus the outstanding amount of indebtedness of LGIL as of December 31, 2024 (the “exercise price”), if the total number of vehicles sold by LGIL in 2024 exceeds 5,000 (the “exercise condition”). Geely HK and Etika are entitled to exercise the put option on an individual standalone basis. The exercise price will be settled with the Company’s newly issued ordinary shares.</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2024, the exercise condition was satisfied. On April 14 and June 30, 2025, Geely HK and Etika exercised their put options separately. In accordance with LGIL’s financial results for the year ended December 31, 2024, the exercise price of both Geely HK and Etika was calculated at nil, resulting in no shares to be issued by the Company to complete the acquisition. The acquisition is expected to be completed in 2026, subject to potential regulatory approvals. Upon completion, the Company will gain control over Lotus Advance Technologies Sdn Bhd and consolidate its financial results.</w:t>
      </w:r>
    </w:p>
    <w:p>
      <w:pPr>
        <w:pStyle w:val="TextBody"/>
        <w:bidi w:val="0"/>
        <w:spacing w:lineRule="auto" w:line="307" w:before="0" w:after="20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put options were accounted for as liabilities in the scope of ASC Topic 480, </w:t>
      </w:r>
      <w:r>
        <w:rPr>
          <w:rFonts w:ascii="Times New Roman;Times;serif" w:hAnsi="Times New Roman;Times;serif"/>
          <w:i/>
          <w:sz w:val="20"/>
        </w:rPr>
        <w:t>Distinguishing Liabilities from Equity</w:t>
      </w:r>
      <w:r>
        <w:rPr>
          <w:rFonts w:ascii="Times New Roman;Times;serif" w:hAnsi="Times New Roman;Times;serif"/>
          <w:sz w:val="20"/>
        </w:rPr>
        <w:t xml:space="preserve">, which are measured at fair value with changes recognized in profit or loss. At initial recognition, the Company recognized the issuance of put options at its fair value of US$9,376 as dividends to the shareholders with a corresponding decrease in additional paid-in capital. The changes in fair value of the put option liabilities in the amount of US$11,884 and US$2,508 for the years ended December 31, 2024 and 2023 was recognized in the consolidated statements of comprehensive loss, respectively. The balance of LGIL put options was nil as of December 31, 2025 and 2024, respectively. </w:t>
      </w:r>
    </w:p>
    <w:p>
      <w:pPr>
        <w:pStyle w:val="TextBody"/>
        <w:bidi w:val="0"/>
        <w:spacing w:lineRule="auto" w:line="307" w:before="0" w:after="20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fair values of the LGIL put option liabilities were estimated using the scenario-weighted average method with binominal model, with the following assumptions: i) risk-free interest rate of 3.98%, ii) expected volatility of 30.87%, iii) expected dividend rate of 0.00%, iii) remaining term of 0.5 years, iv) probability of exercise condition of 85.00%, and v) fair value of underlying ordinary share of LGIL of US$0.02.</w:t>
      </w:r>
    </w:p>
    <w:p>
      <w:pPr>
        <w:pStyle w:val="TextBody"/>
        <w:bidi w:val="0"/>
        <w:spacing w:lineRule="auto" w:line="307" w:before="0" w:after="200"/>
        <w:ind w:left="0" w:right="0" w:hanging="0"/>
        <w:jc w:val="both"/>
        <w:rPr/>
      </w:pPr>
      <w:r>
        <w:rPr/>
        <w:t>​</w:t>
      </w:r>
    </w:p>
    <w:p>
      <w:pPr>
        <w:pStyle w:val="TextBody"/>
        <w:bidi w:val="0"/>
        <w:spacing w:lineRule="auto" w:line="307" w:before="0" w:after="200"/>
        <w:ind w:left="0" w:right="0" w:hanging="0"/>
        <w:jc w:val="both"/>
        <w:rPr/>
      </w:pPr>
      <w:r>
        <w:rPr/>
        <w:t>​</w:t>
      </w:r>
    </w:p>
    <w:tbl>
      <w:tblPr>
        <w:tblW w:w="2687" w:type="dxa"/>
        <w:jc w:val="left"/>
        <w:tblInd w:w="0" w:type="dxa"/>
        <w:tblLayout w:type="fixed"/>
        <w:tblCellMar>
          <w:top w:w="0" w:type="dxa"/>
          <w:left w:w="0" w:type="dxa"/>
          <w:bottom w:w="0" w:type="dxa"/>
          <w:right w:w="0" w:type="dxa"/>
        </w:tblCellMar>
      </w:tblPr>
      <w:tblGrid>
        <w:gridCol w:w="406"/>
        <w:gridCol w:w="2281"/>
      </w:tblGrid>
      <w:tr>
        <w:trPr/>
        <w:tc>
          <w:tcPr>
            <w:tcW w:w="40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2"/>
              </w:rPr>
              <w:t>27</w:t>
            </w:r>
            <w:r>
              <w:rPr>
                <w:rFonts w:ascii="Times New Roman;Times;serif" w:hAnsi="Times New Roman;Times;serif"/>
                <w:b/>
                <w:sz w:val="20"/>
              </w:rPr>
              <w:t>.</w:t>
            </w:r>
          </w:p>
        </w:tc>
        <w:tc>
          <w:tcPr>
            <w:tcW w:w="228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lineRule="auto" w:line="307" w:before="0" w:after="160"/>
        <w:ind w:left="0" w:right="0" w:firstLine="720"/>
        <w:jc w:val="both"/>
        <w:rPr>
          <w:rFonts w:ascii="Times New Roman;Times;serif" w:hAnsi="Times New Roman;Times;serif"/>
          <w:sz w:val="20"/>
        </w:rPr>
      </w:pPr>
      <w:r>
        <w:rPr>
          <w:rFonts w:ascii="Times New Roman;Times;serif" w:hAnsi="Times New Roman;Times;serif"/>
          <w:sz w:val="20"/>
        </w:rPr>
        <w:t>Except for subsequent events as disclosed in Note 19, no subsequent events were identified.</w:t>
      </w:r>
    </w:p>
    <w:p>
      <w:pPr>
        <w:pStyle w:val="TextBody"/>
        <w:bidi w:val="0"/>
        <w:spacing w:lineRule="auto" w:line="307" w:before="0" w:after="200"/>
        <w:ind w:left="0" w:right="0" w:hanging="0"/>
        <w:jc w:val="both"/>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28.</w:t>
      </w:r>
      <w:r>
        <w:rPr>
          <w:rFonts w:ascii="Times New Roman;Times;serif" w:hAnsi="Times New Roman;Times;serif"/>
          <w:b/>
          <w:sz w:val="20"/>
        </w:rPr>
        <w:t>RESTRICTED NET ASSETS</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sz w:val="20"/>
        </w:rPr>
        <w:t>Relevant PRC laws and regulations permit payments of dividends by the Company’s subsidiaries incorporated in the PRC only out of their retained earnings, if any, as determined in accordance with the PRC accounting standards and regulations.</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the laws applicable to the foreign invested enterprises established in the PRC, a foreign invested enterprise is required to make appropriations from after-tax profits as determined in accordance with the PRC accounting standards to reserve funds, including general reserve fund, enterprise expansion fund and staff bonus and welfare fund. The appropriation to the general reserve fund must be at least 10% of the after-tax profits as determined in accordance with the PRC accounting standards until such fund has reached 50% of its registered capital. Appropriations to the enterprise expansion fund and staff bonus and welfare fund are made at the respective company’s discretion. The aforementioned reserve funds can only be used for specific purposes and are not distributable as cash dividends.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F-69</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307" w:before="0" w:after="240"/>
        <w:ind w:left="0" w:right="0" w:firstLine="720"/>
        <w:jc w:val="both"/>
        <w:rPr>
          <w:rFonts w:ascii="Times New Roman;Times;serif" w:hAnsi="Times New Roman;Times;serif"/>
          <w:sz w:val="20"/>
        </w:rPr>
      </w:pPr>
      <w:r>
        <w:rPr>
          <w:rFonts w:ascii="Times New Roman;Times;serif" w:hAnsi="Times New Roman;Times;serif"/>
          <w:sz w:val="20"/>
        </w:rPr>
        <w:t>Accordingly, under these PRC laws and regulations, the Company’s subsidiaries incorporated in PRC are restricted in transferring a portion of their net assets to the Company in the form of dividends. Amounts of these restricted net assets totaled US$479,400 and US$429,503 as of December 31, 2025 and 2024, respectively.</w:t>
      </w:r>
    </w:p>
    <w:tbl>
      <w:tblPr>
        <w:tblW w:w="6797" w:type="dxa"/>
        <w:jc w:val="left"/>
        <w:tblInd w:w="0" w:type="dxa"/>
        <w:tblLayout w:type="fixed"/>
        <w:tblCellMar>
          <w:top w:w="0" w:type="dxa"/>
          <w:left w:w="0" w:type="dxa"/>
          <w:bottom w:w="0" w:type="dxa"/>
          <w:right w:w="0" w:type="dxa"/>
        </w:tblCellMar>
      </w:tblPr>
      <w:tblGrid>
        <w:gridCol w:w="376"/>
        <w:gridCol w:w="6421"/>
      </w:tblGrid>
      <w:tr>
        <w:trPr/>
        <w:tc>
          <w:tcPr>
            <w:tcW w:w="376"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29.</w:t>
            </w:r>
          </w:p>
        </w:tc>
        <w:tc>
          <w:tcPr>
            <w:tcW w:w="6421" w:type="dxa"/>
            <w:tcBorders/>
            <w:vAlign w:val="center"/>
          </w:tcPr>
          <w:p>
            <w:pPr>
              <w:pStyle w:val="TableContents"/>
              <w:bidi w:val="0"/>
              <w:spacing w:lineRule="auto" w:line="285" w:before="0" w:after="200"/>
              <w:jc w:val="left"/>
              <w:rPr>
                <w:rFonts w:ascii="Times New Roman;Times;serif" w:hAnsi="Times New Roman;Times;serif"/>
                <w:b/>
                <w:sz w:val="20"/>
              </w:rPr>
            </w:pPr>
            <w:r>
              <w:rPr>
                <w:rFonts w:ascii="Times New Roman;Times;serif" w:hAnsi="Times New Roman;Times;serif"/>
                <w:b/>
                <w:sz w:val="20"/>
              </w:rPr>
              <w:t>PARENT COMPANY ONLY CONDENSED FINANCIAL INFORMATION</w:t>
            </w:r>
          </w:p>
        </w:tc>
      </w:tr>
    </w:tbl>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Company performed a test on the restricted net assets of its consolidated subsidiaries in accordance with Securities and Exchange Commission Regulation S-X Rule 4-08 (e) (3), “General Notes to Financial Statements” and concluded that it was applicable for the Company to disclose the financial information for the Company only.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subsidiaries did not pay any dividends to the Company for the years presented. Certain information and footnote disclosures generally included in financial statements prepared in accordance with U.S. GAAP have been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F-70</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TextBody"/>
        <w:bidi w:val="0"/>
        <w:spacing w:lineRule="auto" w:line="285" w:before="0" w:after="200"/>
        <w:ind w:left="0" w:right="0" w:firstLine="720"/>
        <w:jc w:val="both"/>
        <w:rPr>
          <w:rFonts w:ascii="Times New Roman;Times;serif" w:hAnsi="Times New Roman;Times;serif"/>
          <w:sz w:val="20"/>
        </w:rPr>
      </w:pPr>
      <w:bookmarkStart w:id="3321" w:name="Tc_n6-TWck8_kSomCHIvdQkEw_41_0"/>
      <w:bookmarkStart w:id="3322" w:name="Tc_T6i1CeV07kWZPbh68QXgQA_40_0"/>
      <w:bookmarkStart w:id="3323" w:name="Tc_DCPe69vHG0yndPzJmN9yBg_39_0"/>
      <w:bookmarkStart w:id="3324" w:name="Tc_ocHhfI0EVUaaMXVgG2DfCg_38_0"/>
      <w:bookmarkStart w:id="3325" w:name="Tc_ksXBaYXBjUayi-aTWe1zRQ_37_0"/>
      <w:bookmarkStart w:id="3326" w:name="Tc_0_4AhmJUMEa1Xd78OzQg0w_36_4"/>
      <w:bookmarkStart w:id="3327" w:name="Tc_kPbK7AAsU0mor5MXwm1_Uw_36_0"/>
      <w:bookmarkStart w:id="3328" w:name="Tc_le4DX8o3IUy5OLT2F6-QmA_35_0"/>
      <w:bookmarkStart w:id="3329" w:name="Tc_EqQf-cSznUaC9LpkGcHBlA_34_0"/>
      <w:bookmarkStart w:id="3330" w:name="Tc_NK0bsu01iEG3_rZOimdqCA_32_0"/>
      <w:bookmarkStart w:id="3331" w:name="Tc_BRB0u7zxWUqbZSq5mmYwlg_31_0"/>
      <w:bookmarkStart w:id="3332" w:name="Tc_U0ChYFxY1kmY5TnHiFiCmQ_30_0"/>
      <w:bookmarkStart w:id="3333" w:name="Tc_-c-GRuRSMEK-FYkxOOgqeA_29_4"/>
      <w:bookmarkStart w:id="3334" w:name="Tc_-ZLl9K7J5E-Vd9NF75AbZQ_29_0"/>
      <w:bookmarkStart w:id="3335" w:name="Tc_-n93g3myJ06BIpFOt_Tm0Q_28_4"/>
      <w:bookmarkStart w:id="3336" w:name="Tc_Yj49aVL2YEOp2UKap9WTjg_28_0"/>
      <w:bookmarkStart w:id="3337" w:name="Tc_Ww8kpMh9uU-kuHqLOmOG6A_27_0"/>
      <w:bookmarkStart w:id="3338" w:name="Tc_633RqCba30KPAgg6bo9kGw_26_0"/>
      <w:bookmarkStart w:id="3339" w:name="Tc_OExXRq59HUK9atzWSU5Jtw_25_0"/>
      <w:bookmarkStart w:id="3340" w:name="Tc_bKxWaLm7LE2YSoIUDUd0mw_24_4"/>
      <w:bookmarkStart w:id="3341" w:name="Tc_moUTDtEtbEGoySpt6cQOIw_24_0"/>
      <w:bookmarkStart w:id="3342" w:name="Tc_alu_LOt7tEmQw8p20J7dLw_23_2"/>
      <w:bookmarkStart w:id="3343" w:name="Tc_OsTsY2_cx0-m56sSPNU6MA_23_0"/>
      <w:bookmarkStart w:id="3344" w:name="Tc_tUsweRcphEaoBasUtXuaKA_22_0"/>
      <w:bookmarkStart w:id="3345" w:name="Tc_YoQWZq3FsUO-NQBSoTSVtg_21_2"/>
      <w:bookmarkStart w:id="3346" w:name="Tc_hCyMcpbKc0KuOZJ7HqXbHg_21_0"/>
      <w:bookmarkStart w:id="3347" w:name="Tc_dPIR9l5L0UO-EPEY18h8Hw_20_2"/>
      <w:bookmarkStart w:id="3348" w:name="Tc_DM77PlJ4rkuk5yuSK9qPag_20_0"/>
      <w:bookmarkStart w:id="3349" w:name="Tc_NGKRPHrXSEenxIk3adym1A_19_0"/>
      <w:bookmarkStart w:id="3350" w:name="Tc_6N8n0UTC8kmGDKkvMvGpCQ_18_0"/>
      <w:bookmarkStart w:id="3351" w:name="Tc_DVK1ZE_wSEygAtaxj6Mjrw_17_0"/>
      <w:bookmarkStart w:id="3352" w:name="Tc_ilriff_bj0G6-1Q-Pfa_Ew_16_0"/>
      <w:bookmarkStart w:id="3353" w:name="Tc_S905bRraOUGbY9idr2w45A_15_0"/>
      <w:bookmarkStart w:id="3354" w:name="Tc_3TZEbfn9gUaIxjP93MPFKQ_14_2"/>
      <w:bookmarkStart w:id="3355" w:name="Tc_fkdx33Vha0a0CoDCTMopuQ_14_0"/>
      <w:bookmarkStart w:id="3356" w:name="Tc_lyNhVvLIIE-hWzIhNhj2qA_13_0"/>
      <w:bookmarkStart w:id="3357" w:name="Tc_zVLHTyVWaUyqDsoaqoKtSg_11_0"/>
      <w:bookmarkStart w:id="3358" w:name="Tc_jO8IIIqYE0-PKzOhrpUXFQ_10_0"/>
      <w:bookmarkStart w:id="3359" w:name="Tc_Sc1rWMT6PEqOVXINwzDqgg_9_0"/>
      <w:bookmarkStart w:id="3360" w:name="Tc_2z7yLMJgCkyuWJeOlYnHYA_7_2"/>
      <w:bookmarkStart w:id="3361" w:name="Tc_1gozazQvl066ixvxeXPZWw_7_0"/>
      <w:bookmarkStart w:id="3362" w:name="Tc_0Cp_gM8Ae0G22D6uOUak7A_6_0"/>
      <w:bookmarkStart w:id="3363" w:name="Tc_sVVE7gPhHE65t5SBAdBDOg_5_0"/>
      <w:bookmarkStart w:id="3364" w:name="Tc_6fDEL-ieGUa5vxF0Hohglw_4_0"/>
      <w:bookmarkStart w:id="3365" w:name="Tc_vIp68KvBfEW8Y3tUy-hOhQ_3_4"/>
      <w:bookmarkStart w:id="3366" w:name="Tc_TjMUo5kKOU61I5ktyOCaRg_3_2"/>
      <w:bookmarkStart w:id="3367" w:name="Tc_D0b6SX9t90aICuk6RB180Q_2_4"/>
      <w:bookmarkStart w:id="3368" w:name="Tc_zOYUpE3xIkiiWSfJeR-ijg_2_2"/>
      <w:bookmarkStart w:id="3369" w:name="Tc_C304Bcb9PkOlStwyFAqlOQ_1_2"/>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r>
        <w:rPr>
          <w:rFonts w:ascii="Times New Roman;Times;serif" w:hAnsi="Times New Roman;Times;serif"/>
          <w:sz w:val="20"/>
        </w:rPr>
        <w:t>The Company did not have significant capital and other commitments, or guarantees as of December 31, 2025.</w:t>
      </w:r>
    </w:p>
    <w:tbl>
      <w:tblPr>
        <w:tblW w:w="2781" w:type="dxa"/>
        <w:jc w:val="left"/>
        <w:tblInd w:w="0" w:type="dxa"/>
        <w:tblLayout w:type="fixed"/>
        <w:tblCellMar>
          <w:top w:w="0" w:type="dxa"/>
          <w:left w:w="0" w:type="dxa"/>
          <w:bottom w:w="0" w:type="dxa"/>
          <w:right w:w="0" w:type="dxa"/>
        </w:tblCellMar>
      </w:tblPr>
      <w:tblGrid>
        <w:gridCol w:w="124"/>
        <w:gridCol w:w="31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(a)</w:t>
            </w:r>
          </w:p>
        </w:tc>
        <w:tc>
          <w:tcPr>
            <w:tcW w:w="234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Condensed Balance Sheets</w:t>
            </w:r>
          </w:p>
        </w:tc>
      </w:tr>
    </w:tbl>
    <w:p>
      <w:pPr>
        <w:pStyle w:val="TextBody"/>
        <w:bidi w:val="0"/>
        <w:spacing w:lineRule="auto" w:line="307" w:before="0" w:after="160"/>
        <w:ind w:left="0" w:right="0" w:hanging="0"/>
        <w:jc w:val="both"/>
        <w:rPr/>
      </w:pPr>
      <w:r>
        <w:rPr/>
        <w:t>​</w:t>
      </w:r>
    </w:p>
    <w:tbl>
      <w:tblPr>
        <w:tblW w:w="6740" w:type="dxa"/>
        <w:jc w:val="left"/>
        <w:tblInd w:w="0" w:type="dxa"/>
        <w:tblLayout w:type="fixed"/>
        <w:tblCellMar>
          <w:top w:w="0" w:type="dxa"/>
          <w:left w:w="0" w:type="dxa"/>
          <w:bottom w:w="0" w:type="dxa"/>
          <w:right w:w="0" w:type="dxa"/>
        </w:tblCellMar>
      </w:tblPr>
      <w:tblGrid>
        <w:gridCol w:w="4111"/>
        <w:gridCol w:w="346"/>
        <w:gridCol w:w="946"/>
        <w:gridCol w:w="346"/>
        <w:gridCol w:w="991"/>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610485" cy="175260"/>
                      <wp:effectExtent l="0" t="0" r="0" b="0"/>
                      <wp:wrapNone/>
                      <wp:docPr id="629" name="Frame62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19710" cy="175260"/>
                      <wp:effectExtent l="0" t="0" r="0" b="0"/>
                      <wp:wrapNone/>
                      <wp:docPr id="630" name="Frame6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00710" cy="175260"/>
                      <wp:effectExtent l="0" t="0" r="0" b="0"/>
                      <wp:wrapNone/>
                      <wp:docPr id="631" name="Frame62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19710" cy="175260"/>
                      <wp:effectExtent l="0" t="0" r="0" b="0"/>
                      <wp:wrapNone/>
                      <wp:docPr id="632" name="Frame6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29285" cy="175260"/>
                      <wp:effectExtent l="0" t="0" r="0" b="0"/>
                      <wp:wrapNone/>
                      <wp:docPr id="633" name="Frame62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2283" w:type="dxa"/>
            <w:gridSpan w:val="3"/>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1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41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shd w:fill="CCEEFF" w:val="clear"/>
            <w:vAlign w:val="center"/>
          </w:tcPr>
          <w:p>
            <w:pPr>
              <w:pStyle w:val="TableContents"/>
              <w:bidi w:val="0"/>
              <w:spacing w:lineRule="auto" w:line="307" w:before="0" w:after="1"/>
              <w:ind w:left="0" w:right="0" w:hanging="0"/>
              <w:jc w:val="right"/>
              <w:rPr/>
            </w:pPr>
            <w:r>
              <w:rPr/>
              <w:t>  ​</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vAlign w:val="center"/>
          </w:tcPr>
          <w:p>
            <w:pPr>
              <w:pStyle w:val="TableContents"/>
              <w:bidi w:val="0"/>
              <w:spacing w:lineRule="auto" w:line="307" w:before="0" w:after="1"/>
              <w:ind w:left="0" w:right="0" w:hanging="0"/>
              <w:jc w:val="right"/>
              <w:rPr/>
            </w:pPr>
            <w:r>
              <w:rPr/>
              <w:t>  ​</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963</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338</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due from subsidiaries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162,128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95,693</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Prepayments and other current assets – related parties, net</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18,052</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15,684</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Prepayments and other current assets – third parties,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5,758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6,362</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186,239</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119,040</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shd w:fill="CCEEFF" w:val="clear"/>
            <w:vAlign w:val="center"/>
          </w:tcPr>
          <w:p>
            <w:pPr>
              <w:pStyle w:val="TableContents"/>
              <w:bidi w:val="0"/>
              <w:spacing w:lineRule="auto" w:line="307" w:before="0" w:after="160"/>
              <w:ind w:left="0" w:right="0" w:hanging="0"/>
              <w:jc w:val="right"/>
              <w:rPr/>
            </w:pPr>
            <w:r>
              <w:rPr/>
              <w:t>​</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Investment securities –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1,811</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2,221</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Securities pledged to an investor</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315,796</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non-current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1,811</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318,017</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188,050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437,057</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SHAREHOLDERS’ DEFICITS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vAlign w:val="center"/>
          </w:tcPr>
          <w:p>
            <w:pPr>
              <w:pStyle w:val="TableContents"/>
              <w:bidi w:val="0"/>
              <w:spacing w:lineRule="auto" w:line="307" w:before="0" w:after="160"/>
              <w:ind w:left="0" w:right="0" w:hanging="0"/>
              <w:jc w:val="right"/>
              <w:rPr/>
            </w:pPr>
            <w:r>
              <w:rPr/>
              <w:t>​</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shd w:fill="CCEEFF" w:val="clear"/>
            <w:vAlign w:val="center"/>
          </w:tcPr>
          <w:p>
            <w:pPr>
              <w:pStyle w:val="TableContents"/>
              <w:bidi w:val="0"/>
              <w:spacing w:lineRule="auto" w:line="307" w:before="0" w:after="160"/>
              <w:ind w:left="0" w:right="0" w:hanging="0"/>
              <w:jc w:val="right"/>
              <w:rPr/>
            </w:pPr>
            <w:r>
              <w:rPr/>
              <w:t>​</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Convertible notes –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126,203</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113,910</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Share buyback forward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117,059</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Amounts due to subsidiaries</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1,140</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9,313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16,497</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Put option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309,115</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Short</w:t>
              <w:noBreakHyphen/>
              <w:t>term borrowings – related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151,664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287,180</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557,721</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shd w:fill="CCEEFF" w:val="clear"/>
            <w:vAlign w:val="center"/>
          </w:tcPr>
          <w:p>
            <w:pPr>
              <w:pStyle w:val="TableContents"/>
              <w:bidi w:val="0"/>
              <w:spacing w:lineRule="auto" w:line="307" w:before="0" w:after="160"/>
              <w:ind w:left="0" w:right="0" w:hanging="0"/>
              <w:jc w:val="right"/>
              <w:rPr/>
            </w:pPr>
            <w:r>
              <w:rPr/>
              <w:t>​</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Share of losses in excess of investments in subsidiaries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1,134,606</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728,858</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Convertible notes – third parties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10,787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91" w:type="dxa"/>
            <w:tcBorders/>
            <w:shd w:fill="CCEEFF" w:val="clear"/>
            <w:vAlign w:val="center"/>
          </w:tcPr>
          <w:p>
            <w:pPr>
              <w:pStyle w:val="TableContents"/>
              <w:bidi w:val="0"/>
              <w:spacing w:lineRule="auto" w:line="307" w:before="0" w:after="1"/>
              <w:ind w:left="0" w:right="0" w:hanging="0"/>
              <w:jc w:val="right"/>
              <w:rPr/>
            </w:pPr>
            <w:r>
              <w:rPr/>
              <w:t>—</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Convertible notes – related parties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77,175</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vAlign w:val="center"/>
          </w:tcPr>
          <w:p>
            <w:pPr>
              <w:pStyle w:val="TableContents"/>
              <w:bidi w:val="0"/>
              <w:spacing w:lineRule="auto" w:line="307" w:before="0" w:after="1"/>
              <w:ind w:left="0" w:right="0" w:hanging="0"/>
              <w:jc w:val="right"/>
              <w:rPr/>
            </w:pPr>
            <w:r>
              <w:rPr/>
              <w:t>—</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3,340</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non-current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1,223,368</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732,198</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1,510,548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1,289,919</w:t>
            </w:r>
          </w:p>
        </w:tc>
      </w:tr>
      <w:tr>
        <w:trPr/>
        <w:tc>
          <w:tcPr>
            <w:tcW w:w="411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991" w:type="dxa"/>
            <w:tcBorders/>
            <w:vAlign w:val="center"/>
          </w:tcPr>
          <w:p>
            <w:pPr>
              <w:pStyle w:val="TableContents"/>
              <w:bidi w:val="0"/>
              <w:spacing w:lineRule="auto" w:line="307" w:before="0" w:after="160"/>
              <w:ind w:left="0" w:right="0" w:hanging="0"/>
              <w:jc w:val="right"/>
              <w:rPr/>
            </w:pPr>
            <w:r>
              <w:rPr/>
              <w:t>​</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Shareholders’ deficit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shd w:fill="CCEEFF" w:val="clear"/>
            <w:vAlign w:val="center"/>
          </w:tcPr>
          <w:p>
            <w:pPr>
              <w:pStyle w:val="TableContents"/>
              <w:bidi w:val="0"/>
              <w:spacing w:lineRule="auto" w:line="307" w:before="0" w:after="160"/>
              <w:ind w:left="0" w:right="0" w:hanging="0"/>
              <w:jc w:val="right"/>
              <w:rPr/>
            </w:pPr>
            <w:r>
              <w:rPr/>
              <w:t>​</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Ordinary shares</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Treasury stock</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(138,397)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91" w:type="dxa"/>
            <w:tcBorders/>
            <w:shd w:fill="CCEEFF" w:val="clear"/>
            <w:vAlign w:val="center"/>
          </w:tcPr>
          <w:p>
            <w:pPr>
              <w:pStyle w:val="TableContents"/>
              <w:bidi w:val="0"/>
              <w:spacing w:lineRule="auto" w:line="307" w:before="0" w:after="1"/>
              <w:ind w:left="0" w:right="0" w:hanging="0"/>
              <w:jc w:val="right"/>
              <w:rPr/>
            </w:pPr>
            <w:r>
              <w:rPr/>
              <w:t>—</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lineRule="auto" w:line="307" w:before="0" w:after="160"/>
              <w:ind w:left="0" w:right="0" w:hanging="0"/>
              <w:jc w:val="left"/>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1,933,992</w:t>
            </w:r>
          </w:p>
        </w:tc>
        <w:tc>
          <w:tcPr>
            <w:tcW w:w="346" w:type="dxa"/>
            <w:tcBorders/>
            <w:vAlign w:val="center"/>
          </w:tcPr>
          <w:p>
            <w:pPr>
              <w:pStyle w:val="TableContents"/>
              <w:bidi w:val="0"/>
              <w:spacing w:lineRule="auto" w:line="307" w:before="0" w:after="160"/>
              <w:ind w:left="0" w:right="0" w:hanging="0"/>
              <w:jc w:val="left"/>
              <w:rPr/>
            </w:pPr>
            <w:r>
              <w:rPr/>
              <w:t>​</w:t>
            </w:r>
          </w:p>
        </w:tc>
        <w:tc>
          <w:tcPr>
            <w:tcW w:w="991" w:type="dxa"/>
            <w:tcBorders/>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1,785,664</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39,818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55,165</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(3,157,918)</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6"/>
              </w:rPr>
            </w:pPr>
            <w:r>
              <w:rPr>
                <w:rFonts w:ascii="Times New Roman;Times;serif" w:hAnsi="Times New Roman;Times;serif"/>
                <w:sz w:val="16"/>
              </w:rPr>
              <w:t>(2,693,698)</w:t>
            </w:r>
          </w:p>
        </w:tc>
      </w:tr>
      <w:tr>
        <w:trPr/>
        <w:tc>
          <w:tcPr>
            <w:tcW w:w="4111" w:type="dxa"/>
            <w:tcBorders/>
            <w:shd w:fill="CCEEFF" w:val="clear"/>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shareholders’ deficit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(1,322,498)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(852,862)</w:t>
            </w:r>
          </w:p>
        </w:tc>
      </w:tr>
      <w:tr>
        <w:trPr/>
        <w:tc>
          <w:tcPr>
            <w:tcW w:w="4111" w:type="dxa"/>
            <w:tcBorders/>
            <w:vAlign w:val="center"/>
          </w:tcPr>
          <w:p>
            <w:pPr>
              <w:pStyle w:val="TableContents"/>
              <w:pBdr/>
              <w:bidi w:val="0"/>
              <w:spacing w:lineRule="auto" w:line="307"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shareholders’ deficit</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188,050</w:t>
            </w:r>
          </w:p>
        </w:tc>
        <w:tc>
          <w:tcPr>
            <w:tcW w:w="346" w:type="dxa"/>
            <w:tcBorders/>
            <w:vAlign w:val="center"/>
          </w:tcPr>
          <w:p>
            <w:pPr>
              <w:pStyle w:val="TableContents"/>
              <w:bidi w:val="0"/>
              <w:spacing w:lineRule="auto" w:line="307"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16"/>
              </w:rPr>
            </w:pPr>
            <w:r>
              <w:rPr>
                <w:rFonts w:ascii="Times New Roman;Times;serif" w:hAnsi="Times New Roman;Times;serif"/>
                <w:b/>
                <w:sz w:val="16"/>
              </w:rPr>
              <w:t>437,057</w:t>
            </w:r>
          </w:p>
        </w:tc>
      </w:tr>
    </w:tbl>
    <w:p>
      <w:pPr>
        <w:pStyle w:val="TextBody"/>
        <w:bidi w:val="0"/>
        <w:spacing w:lineRule="auto" w:line="307" w:before="0" w:after="16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F-71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LOTUS TECHNOLOGY INC.</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br/>
        <w:t>(All amounts in thousands, except for share and per share data)</w:t>
      </w:r>
    </w:p>
    <w:p>
      <w:pPr>
        <w:pStyle w:val="Normal"/>
        <w:bidi w:val="0"/>
        <w:spacing w:before="0" w:after="0"/>
        <w:jc w:val="left"/>
        <w:rPr>
          <w:sz w:val="4"/>
          <w:szCs w:val="4"/>
        </w:rPr>
      </w:pPr>
      <w:r>
        <w:rPr>
          <w:sz w:val="4"/>
          <w:szCs w:val="4"/>
        </w:rPr>
      </w:r>
      <w:bookmarkStart w:id="3370" w:name="Tc_OxUOGMOfmEyHTQcBBZ5Cvg_10_0"/>
      <w:bookmarkStart w:id="3371" w:name="Tc_hKF2bEuMSEOGUbW7p5oANg_9_0"/>
      <w:bookmarkStart w:id="3372" w:name="Tc_b19geNoxYEqj19SUyEUJvA_8_0"/>
      <w:bookmarkStart w:id="3373" w:name="Tc_c4eZ78UlQ06-aj8SBxhcxQ_7_0"/>
      <w:bookmarkStart w:id="3374" w:name="Tc_0-3ErsJK90C2MqTQFPD0hw_6_0"/>
      <w:bookmarkStart w:id="3375" w:name="Tc_8h_pFs-iSUWGD_MQQNaJqg_5_0"/>
      <w:bookmarkStart w:id="3376" w:name="Tc_X_5rkigccUaGNI_skg_1bw_4_0"/>
      <w:bookmarkStart w:id="3377" w:name="Tc_Am0QM3ADRU-k4P4tDOFQeg_3_6"/>
      <w:bookmarkStart w:id="3378" w:name="Tc_1k5Ejjm8CkmqaY-4grWIuA_3_4"/>
      <w:bookmarkStart w:id="3379" w:name="Tc_1bhCBhchBEqs0vg8QskRwg_3_2"/>
      <w:bookmarkStart w:id="3380" w:name="Tc_5oQdhXnXjk-e7rD0EGdCrA_2_6"/>
      <w:bookmarkStart w:id="3381" w:name="Tc_Yw0MQ9dgX0Ws0obn-KPoBg_2_4"/>
      <w:bookmarkStart w:id="3382" w:name="Tc_wfbvhIjjc0W88hlTuiTCjw_2_2"/>
      <w:bookmarkStart w:id="3383" w:name="Tc_TwZet7LQFE-2-hE0-EiHpA_1_2"/>
      <w:bookmarkStart w:id="3384" w:name="Tc_aZ1B_PJ1BUutDuQZiCbSFw_17_0"/>
      <w:bookmarkStart w:id="3385" w:name="Tc_ie8Sc4hNn0eD4y8rldUSgw_16_0"/>
      <w:bookmarkStart w:id="3386" w:name="Tc_Xasrf54oH0SvxTJnb8GNLA_15_0"/>
      <w:bookmarkStart w:id="3387" w:name="Tc_U-Czx7sYzUGEZJl1aQLfWw_14_0"/>
      <w:bookmarkStart w:id="3388" w:name="Tc_OA4DEn64P067B7ElPj5_WQ_13_0"/>
      <w:bookmarkStart w:id="3389" w:name="Tc_tu0-_6ivQEKjnoaiebcHtg_12_6"/>
      <w:bookmarkStart w:id="3390" w:name="Tc__--XUs2NfkC-Hrfwel4FdA_12_4"/>
      <w:bookmarkStart w:id="3391" w:name="Tc_63mycTluc06rEPfsa66pvw_12_2"/>
      <w:bookmarkStart w:id="3392" w:name="Tc_FA0J3riwckCDHDbr1jdc3w_12_0"/>
      <w:bookmarkStart w:id="3393" w:name="Tc_s1hklhZhyUKGyG_pKX0QPw_11_0"/>
      <w:bookmarkStart w:id="3394" w:name="Tc_YlA2PaRrGkiIxtmgpErSWA_10_0"/>
      <w:bookmarkStart w:id="3395" w:name="Tc_J14rGy2qaEC60uVTYPWGig_9_0"/>
      <w:bookmarkStart w:id="3396" w:name="Tc_9tFVSzamdUyscVxYXeJ8GA_8_0"/>
      <w:bookmarkStart w:id="3397" w:name="Tc_VNt85pZZr0CsGmifc79BSw_7_0"/>
      <w:bookmarkStart w:id="3398" w:name="Tc_zA96DQpiS0ScZarMsdInSA_6_6"/>
      <w:bookmarkStart w:id="3399" w:name="Tc_AQqGDQb0CUWyMkbnBCgacQ_6_0"/>
      <w:bookmarkStart w:id="3400" w:name="Tc_cVJ0hFI8JUCHDwrQt-3gtg_5_0"/>
      <w:bookmarkStart w:id="3401" w:name="Tc_bzkVh5ie3EmLDMPeBAy94A_4_0"/>
      <w:bookmarkStart w:id="3402" w:name="Tc_VssKPyxFwkm71iAMkkRq_A_3_6"/>
      <w:bookmarkStart w:id="3403" w:name="Tc_PRiTASWAQEWkUaxiqGHVGw_3_4"/>
      <w:bookmarkStart w:id="3404" w:name="Tc_Va2mB4YFFEGYv8M-UggCXg_3_2"/>
      <w:bookmarkStart w:id="3405" w:name="Tc_-_VI6gRHtUmLh5bYNmsVJw_2_6"/>
      <w:bookmarkStart w:id="3406" w:name="Tc_MPic73wEmUifmVI7XIiDrQ_2_4"/>
      <w:bookmarkStart w:id="3407" w:name="Tc_SXw7oiN6hkWaM8MkA087qA_2_2"/>
      <w:bookmarkStart w:id="3408" w:name="Tc_zOa4bvNO-km6Cl3-NYcQuw_1_2"/>
      <w:bookmarkStart w:id="3409" w:name="Tc_OxUOGMOfmEyHTQcBBZ5Cvg_10_0"/>
      <w:bookmarkStart w:id="3410" w:name="Tc_hKF2bEuMSEOGUbW7p5oANg_9_0"/>
      <w:bookmarkStart w:id="3411" w:name="Tc_b19geNoxYEqj19SUyEUJvA_8_0"/>
      <w:bookmarkStart w:id="3412" w:name="Tc_c4eZ78UlQ06-aj8SBxhcxQ_7_0"/>
      <w:bookmarkStart w:id="3413" w:name="Tc_0-3ErsJK90C2MqTQFPD0hw_6_0"/>
      <w:bookmarkStart w:id="3414" w:name="Tc_8h_pFs-iSUWGD_MQQNaJqg_5_0"/>
      <w:bookmarkStart w:id="3415" w:name="Tc_X_5rkigccUaGNI_skg_1bw_4_0"/>
      <w:bookmarkStart w:id="3416" w:name="Tc_Am0QM3ADRU-k4P4tDOFQeg_3_6"/>
      <w:bookmarkStart w:id="3417" w:name="Tc_1k5Ejjm8CkmqaY-4grWIuA_3_4"/>
      <w:bookmarkStart w:id="3418" w:name="Tc_1bhCBhchBEqs0vg8QskRwg_3_2"/>
      <w:bookmarkStart w:id="3419" w:name="Tc_5oQdhXnXjk-e7rD0EGdCrA_2_6"/>
      <w:bookmarkStart w:id="3420" w:name="Tc_Yw0MQ9dgX0Ws0obn-KPoBg_2_4"/>
      <w:bookmarkStart w:id="3421" w:name="Tc_wfbvhIjjc0W88hlTuiTCjw_2_2"/>
      <w:bookmarkStart w:id="3422" w:name="Tc_TwZet7LQFE-2-hE0-EiHpA_1_2"/>
      <w:bookmarkStart w:id="3423" w:name="Tc_aZ1B_PJ1BUutDuQZiCbSFw_17_0"/>
      <w:bookmarkStart w:id="3424" w:name="Tc_ie8Sc4hNn0eD4y8rldUSgw_16_0"/>
      <w:bookmarkStart w:id="3425" w:name="Tc_Xasrf54oH0SvxTJnb8GNLA_15_0"/>
      <w:bookmarkStart w:id="3426" w:name="Tc_U-Czx7sYzUGEZJl1aQLfWw_14_0"/>
      <w:bookmarkStart w:id="3427" w:name="Tc_OA4DEn64P067B7ElPj5_WQ_13_0"/>
      <w:bookmarkStart w:id="3428" w:name="Tc_tu0-_6ivQEKjnoaiebcHtg_12_6"/>
      <w:bookmarkStart w:id="3429" w:name="Tc__--XUs2NfkC-Hrfwel4FdA_12_4"/>
      <w:bookmarkStart w:id="3430" w:name="Tc_63mycTluc06rEPfsa66pvw_12_2"/>
      <w:bookmarkStart w:id="3431" w:name="Tc_FA0J3riwckCDHDbr1jdc3w_12_0"/>
      <w:bookmarkStart w:id="3432" w:name="Tc_s1hklhZhyUKGyG_pKX0QPw_11_0"/>
      <w:bookmarkStart w:id="3433" w:name="Tc_YlA2PaRrGkiIxtmgpErSWA_10_0"/>
      <w:bookmarkStart w:id="3434" w:name="Tc_J14rGy2qaEC60uVTYPWGig_9_0"/>
      <w:bookmarkStart w:id="3435" w:name="Tc_9tFVSzamdUyscVxYXeJ8GA_8_0"/>
      <w:bookmarkStart w:id="3436" w:name="Tc_VNt85pZZr0CsGmifc79BSw_7_0"/>
      <w:bookmarkStart w:id="3437" w:name="Tc_zA96DQpiS0ScZarMsdInSA_6_6"/>
      <w:bookmarkStart w:id="3438" w:name="Tc_AQqGDQb0CUWyMkbnBCgacQ_6_0"/>
      <w:bookmarkStart w:id="3439" w:name="Tc_cVJ0hFI8JUCHDwrQt-3gtg_5_0"/>
      <w:bookmarkStart w:id="3440" w:name="Tc_bzkVh5ie3EmLDMPeBAy94A_4_0"/>
      <w:bookmarkStart w:id="3441" w:name="Tc_VssKPyxFwkm71iAMkkRq_A_3_6"/>
      <w:bookmarkStart w:id="3442" w:name="Tc_PRiTASWAQEWkUaxiqGHVGw_3_4"/>
      <w:bookmarkStart w:id="3443" w:name="Tc_Va2mB4YFFEGYv8M-UggCXg_3_2"/>
      <w:bookmarkStart w:id="3444" w:name="Tc_-_VI6gRHtUmLh5bYNmsVJw_2_6"/>
      <w:bookmarkStart w:id="3445" w:name="Tc_MPic73wEmUifmVI7XIiDrQ_2_4"/>
      <w:bookmarkStart w:id="3446" w:name="Tc_SXw7oiN6hkWaM8MkA087qA_2_2"/>
      <w:bookmarkStart w:id="3447" w:name="Tc_zOa4bvNO-km6Cl3-NYcQuw_1_2"/>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p>
    <w:tbl>
      <w:tblPr>
        <w:tblW w:w="4401" w:type="dxa"/>
        <w:jc w:val="left"/>
        <w:tblInd w:w="0" w:type="dxa"/>
        <w:tblLayout w:type="fixed"/>
        <w:tblCellMar>
          <w:top w:w="0" w:type="dxa"/>
          <w:left w:w="0" w:type="dxa"/>
          <w:bottom w:w="0" w:type="dxa"/>
          <w:right w:w="0" w:type="dxa"/>
        </w:tblCellMar>
      </w:tblPr>
      <w:tblGrid>
        <w:gridCol w:w="124"/>
        <w:gridCol w:w="331"/>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(b)</w:t>
            </w:r>
          </w:p>
        </w:tc>
        <w:tc>
          <w:tcPr>
            <w:tcW w:w="3946"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Condensed Statements of Comprehensive Loss</w:t>
            </w:r>
          </w:p>
        </w:tc>
      </w:tr>
    </w:tbl>
    <w:p>
      <w:pPr>
        <w:pStyle w:val="TextBody"/>
        <w:bidi w:val="0"/>
        <w:spacing w:lineRule="auto" w:line="307"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308"/>
        <w:gridCol w:w="346"/>
        <w:gridCol w:w="887"/>
        <w:gridCol w:w="346"/>
        <w:gridCol w:w="1037"/>
        <w:gridCol w:w="346"/>
        <w:gridCol w:w="935"/>
      </w:tblGrid>
      <w:tr>
        <w:trPr/>
        <w:tc>
          <w:tcPr>
            <w:tcW w:w="6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4005580" cy="175260"/>
                      <wp:effectExtent l="0" t="0" r="0" b="0"/>
                      <wp:wrapNone/>
                      <wp:docPr id="634" name="Frame629"/>
                      <a:graphic xmlns:a="http://schemas.openxmlformats.org/drawingml/2006/main">
                        <a:graphicData uri="http://schemas.microsoft.com/office/word/2010/wordprocessingShape">
                          <wps:wsp>
                            <wps:cNvSpPr txBox="1"/>
                            <wps:spPr>
                              <a:xfrm>
                                <a:off x="0" y="0"/>
                                <a:ext cx="400558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19710" cy="175260"/>
                      <wp:effectExtent l="0" t="0" r="0" b="0"/>
                      <wp:wrapNone/>
                      <wp:docPr id="635" name="Frame6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563245" cy="175260"/>
                      <wp:effectExtent l="0" t="0" r="0" b="0"/>
                      <wp:wrapNone/>
                      <wp:docPr id="636" name="Frame63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19710" cy="175260"/>
                      <wp:effectExtent l="0" t="0" r="0" b="0"/>
                      <wp:wrapNone/>
                      <wp:docPr id="637" name="Frame6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58495" cy="175260"/>
                      <wp:effectExtent l="0" t="0" r="0" b="0"/>
                      <wp:wrapNone/>
                      <wp:docPr id="638" name="Frame633"/>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19710" cy="175260"/>
                      <wp:effectExtent l="0" t="0" r="0" b="0"/>
                      <wp:wrapNone/>
                      <wp:docPr id="639" name="Frame6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593725" cy="175260"/>
                      <wp:effectExtent l="0" t="0" r="0" b="0"/>
                      <wp:wrapNone/>
                      <wp:docPr id="640" name="Frame635"/>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308"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551"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308"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103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935"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6308"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037"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35"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6308"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(4,816)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(24,322)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(2,983)</w:t>
            </w:r>
          </w:p>
        </w:tc>
      </w:tr>
      <w:tr>
        <w:trPr/>
        <w:tc>
          <w:tcPr>
            <w:tcW w:w="6308"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4,891</w:t>
            </w:r>
          </w:p>
        </w:tc>
        <w:tc>
          <w:tcPr>
            <w:tcW w:w="346" w:type="dxa"/>
            <w:tcBorders/>
            <w:vAlign w:val="center"/>
          </w:tcPr>
          <w:p>
            <w:pPr>
              <w:pStyle w:val="TableContents"/>
              <w:bidi w:val="0"/>
              <w:spacing w:lineRule="auto" w:line="307" w:before="0" w:after="160"/>
              <w:ind w:left="0" w:right="0" w:hanging="0"/>
              <w:jc w:val="left"/>
              <w:rPr/>
            </w:pPr>
            <w:r>
              <w:rPr/>
              <w:t>​</w:t>
            </w:r>
          </w:p>
        </w:tc>
        <w:tc>
          <w:tcPr>
            <w:tcW w:w="103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4,725</w:t>
            </w:r>
          </w:p>
        </w:tc>
        <w:tc>
          <w:tcPr>
            <w:tcW w:w="346" w:type="dxa"/>
            <w:tcBorders/>
            <w:vAlign w:val="center"/>
          </w:tcPr>
          <w:p>
            <w:pPr>
              <w:pStyle w:val="TableContents"/>
              <w:bidi w:val="0"/>
              <w:spacing w:lineRule="auto" w:line="307" w:before="0" w:after="160"/>
              <w:ind w:left="0" w:right="0" w:hanging="0"/>
              <w:jc w:val="left"/>
              <w:rPr/>
            </w:pPr>
            <w:r>
              <w:rPr/>
              <w:t>​</w:t>
            </w:r>
          </w:p>
        </w:tc>
        <w:tc>
          <w:tcPr>
            <w:tcW w:w="93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6,979</w:t>
            </w:r>
          </w:p>
        </w:tc>
      </w:tr>
      <w:tr>
        <w:trPr/>
        <w:tc>
          <w:tcPr>
            <w:tcW w:w="6308"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(12,876)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5" w:type="dxa"/>
            <w:tcBorders/>
            <w:shd w:fill="CCEEFF" w:val="clear"/>
            <w:vAlign w:val="center"/>
          </w:tcPr>
          <w:p>
            <w:pPr>
              <w:pStyle w:val="TableContents"/>
              <w:bidi w:val="0"/>
              <w:spacing w:lineRule="auto" w:line="307" w:before="0" w:after="1"/>
              <w:ind w:left="0" w:right="0" w:hanging="0"/>
              <w:jc w:val="right"/>
              <w:rPr/>
            </w:pPr>
            <w:r>
              <w:rPr/>
              <w:t>—</w:t>
            </w:r>
          </w:p>
        </w:tc>
      </w:tr>
      <w:tr>
        <w:trPr/>
        <w:tc>
          <w:tcPr>
            <w:tcW w:w="6308"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Investment income (loss), net</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10,685</w:t>
            </w:r>
          </w:p>
        </w:tc>
        <w:tc>
          <w:tcPr>
            <w:tcW w:w="346" w:type="dxa"/>
            <w:tcBorders/>
            <w:vAlign w:val="center"/>
          </w:tcPr>
          <w:p>
            <w:pPr>
              <w:pStyle w:val="TableContents"/>
              <w:bidi w:val="0"/>
              <w:spacing w:lineRule="auto" w:line="307" w:before="0" w:after="160"/>
              <w:ind w:left="0" w:right="0" w:hanging="0"/>
              <w:jc w:val="left"/>
              <w:rPr/>
            </w:pPr>
            <w:r>
              <w:rPr/>
              <w:t>​</w:t>
            </w:r>
          </w:p>
        </w:tc>
        <w:tc>
          <w:tcPr>
            <w:tcW w:w="103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13,320</w:t>
            </w:r>
          </w:p>
        </w:tc>
        <w:tc>
          <w:tcPr>
            <w:tcW w:w="346" w:type="dxa"/>
            <w:tcBorders/>
            <w:vAlign w:val="center"/>
          </w:tcPr>
          <w:p>
            <w:pPr>
              <w:pStyle w:val="TableContents"/>
              <w:bidi w:val="0"/>
              <w:spacing w:lineRule="auto" w:line="307" w:before="0" w:after="160"/>
              <w:ind w:left="0" w:right="0" w:hanging="0"/>
              <w:jc w:val="left"/>
              <w:rPr/>
            </w:pPr>
            <w:r>
              <w:rPr/>
              <w:t>​</w:t>
            </w:r>
          </w:p>
        </w:tc>
        <w:tc>
          <w:tcPr>
            <w:tcW w:w="93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(5,084)</w:t>
            </w:r>
          </w:p>
        </w:tc>
      </w:tr>
      <w:tr>
        <w:trPr/>
        <w:tc>
          <w:tcPr>
            <w:tcW w:w="6308"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exchange gains (losses), net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6,010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5"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6308"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values of liabilities, excluding impact of instrument-specific credit risk</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(25,778)</w:t>
            </w:r>
          </w:p>
        </w:tc>
        <w:tc>
          <w:tcPr>
            <w:tcW w:w="346" w:type="dxa"/>
            <w:tcBorders/>
            <w:vAlign w:val="center"/>
          </w:tcPr>
          <w:p>
            <w:pPr>
              <w:pStyle w:val="TableContents"/>
              <w:bidi w:val="0"/>
              <w:spacing w:lineRule="auto" w:line="307" w:before="0" w:after="160"/>
              <w:ind w:left="0" w:right="0" w:hanging="0"/>
              <w:jc w:val="left"/>
              <w:rPr/>
            </w:pPr>
            <w:r>
              <w:rPr/>
              <w:t>​</w:t>
            </w:r>
          </w:p>
        </w:tc>
        <w:tc>
          <w:tcPr>
            <w:tcW w:w="103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(285,322)</w:t>
            </w:r>
          </w:p>
        </w:tc>
        <w:tc>
          <w:tcPr>
            <w:tcW w:w="346" w:type="dxa"/>
            <w:tcBorders/>
            <w:vAlign w:val="center"/>
          </w:tcPr>
          <w:p>
            <w:pPr>
              <w:pStyle w:val="TableContents"/>
              <w:bidi w:val="0"/>
              <w:spacing w:lineRule="auto" w:line="307" w:before="0" w:after="160"/>
              <w:ind w:left="0" w:right="0" w:hanging="0"/>
              <w:jc w:val="left"/>
              <w:rPr/>
            </w:pPr>
            <w:r>
              <w:rPr/>
              <w:t>​</w:t>
            </w:r>
          </w:p>
        </w:tc>
        <w:tc>
          <w:tcPr>
            <w:tcW w:w="93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(3,124)</w:t>
            </w:r>
          </w:p>
        </w:tc>
      </w:tr>
      <w:tr>
        <w:trPr/>
        <w:tc>
          <w:tcPr>
            <w:tcW w:w="6308"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 of losses from subsidiaries and former consolidated VIEs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(451,040)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(801,064)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(737,618)</w:t>
            </w:r>
          </w:p>
        </w:tc>
      </w:tr>
      <w:tr>
        <w:trPr/>
        <w:tc>
          <w:tcPr>
            <w:tcW w:w="6308"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(464,220)</w:t>
            </w:r>
          </w:p>
        </w:tc>
        <w:tc>
          <w:tcPr>
            <w:tcW w:w="346" w:type="dxa"/>
            <w:tcBorders/>
            <w:vAlign w:val="center"/>
          </w:tcPr>
          <w:p>
            <w:pPr>
              <w:pStyle w:val="TableContents"/>
              <w:bidi w:val="0"/>
              <w:spacing w:lineRule="auto" w:line="307" w:before="0" w:after="160"/>
              <w:ind w:left="0" w:right="0" w:hanging="0"/>
              <w:jc w:val="left"/>
              <w:rPr/>
            </w:pPr>
            <w:r>
              <w:rPr/>
              <w:t>​</w:t>
            </w:r>
          </w:p>
        </w:tc>
        <w:tc>
          <w:tcPr>
            <w:tcW w:w="1037"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(1,104,925)</w:t>
            </w:r>
          </w:p>
        </w:tc>
        <w:tc>
          <w:tcPr>
            <w:tcW w:w="346" w:type="dxa"/>
            <w:tcBorders/>
            <w:vAlign w:val="center"/>
          </w:tcPr>
          <w:p>
            <w:pPr>
              <w:pStyle w:val="TableContents"/>
              <w:bidi w:val="0"/>
              <w:spacing w:lineRule="auto" w:line="307" w:before="0" w:after="160"/>
              <w:ind w:left="0" w:right="0" w:hanging="0"/>
              <w:jc w:val="left"/>
              <w:rPr/>
            </w:pPr>
            <w:r>
              <w:rPr/>
              <w:t>​</w:t>
            </w:r>
          </w:p>
        </w:tc>
        <w:tc>
          <w:tcPr>
            <w:tcW w:w="935"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(742,001)</w:t>
            </w:r>
          </w:p>
        </w:tc>
      </w:tr>
      <w:tr>
        <w:trPr/>
        <w:tc>
          <w:tcPr>
            <w:tcW w:w="6308"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tax expense 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r>
      <w:tr>
        <w:trPr/>
        <w:tc>
          <w:tcPr>
            <w:tcW w:w="6308"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(464,220)</w:t>
            </w:r>
          </w:p>
        </w:tc>
        <w:tc>
          <w:tcPr>
            <w:tcW w:w="346" w:type="dxa"/>
            <w:tcBorders/>
            <w:vAlign w:val="center"/>
          </w:tcPr>
          <w:p>
            <w:pPr>
              <w:pStyle w:val="TableContents"/>
              <w:bidi w:val="0"/>
              <w:spacing w:lineRule="auto" w:line="307" w:before="0" w:after="160"/>
              <w:ind w:left="0" w:right="0" w:hanging="0"/>
              <w:jc w:val="left"/>
              <w:rPr/>
            </w:pPr>
            <w:r>
              <w:rPr/>
              <w:t>​</w:t>
            </w:r>
          </w:p>
        </w:tc>
        <w:tc>
          <w:tcPr>
            <w:tcW w:w="1037"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(1,104,925)</w:t>
            </w:r>
          </w:p>
        </w:tc>
        <w:tc>
          <w:tcPr>
            <w:tcW w:w="346" w:type="dxa"/>
            <w:tcBorders/>
            <w:vAlign w:val="center"/>
          </w:tcPr>
          <w:p>
            <w:pPr>
              <w:pStyle w:val="TableContents"/>
              <w:bidi w:val="0"/>
              <w:spacing w:lineRule="auto" w:line="307" w:before="0" w:after="160"/>
              <w:ind w:left="0" w:right="0" w:hanging="0"/>
              <w:jc w:val="left"/>
              <w:rPr/>
            </w:pPr>
            <w:r>
              <w:rPr/>
              <w:t>​</w:t>
            </w:r>
          </w:p>
        </w:tc>
        <w:tc>
          <w:tcPr>
            <w:tcW w:w="935"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(742,001)</w:t>
            </w:r>
          </w:p>
        </w:tc>
      </w:tr>
      <w:tr>
        <w:trPr/>
        <w:tc>
          <w:tcPr>
            <w:tcW w:w="6308"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7"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5" w:type="dxa"/>
            <w:tcBorders/>
            <w:shd w:fill="CCEEFF" w:val="clear"/>
            <w:vAlign w:val="center"/>
          </w:tcPr>
          <w:p>
            <w:pPr>
              <w:pStyle w:val="TableContents"/>
              <w:bidi w:val="0"/>
              <w:spacing w:lineRule="auto" w:line="307" w:before="0" w:after="160"/>
              <w:ind w:left="0" w:right="0" w:hanging="0"/>
              <w:jc w:val="right"/>
              <w:rPr/>
            </w:pPr>
            <w:r>
              <w:rPr/>
              <w:t>​</w:t>
            </w:r>
          </w:p>
        </w:tc>
      </w:tr>
      <w:tr>
        <w:trPr/>
        <w:tc>
          <w:tcPr>
            <w:tcW w:w="6308"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Fair value changes of liabilities due to instrument-specific credit risk, net of nil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88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13,875</w:t>
            </w:r>
          </w:p>
        </w:tc>
        <w:tc>
          <w:tcPr>
            <w:tcW w:w="346" w:type="dxa"/>
            <w:tcBorders/>
            <w:vAlign w:val="center"/>
          </w:tcPr>
          <w:p>
            <w:pPr>
              <w:pStyle w:val="TableContents"/>
              <w:bidi w:val="0"/>
              <w:spacing w:lineRule="auto" w:line="307" w:before="0" w:after="160"/>
              <w:ind w:left="0" w:right="0" w:hanging="0"/>
              <w:jc w:val="left"/>
              <w:rPr/>
            </w:pPr>
            <w:r>
              <w:rPr/>
              <w:t>​</w:t>
            </w:r>
          </w:p>
        </w:tc>
        <w:tc>
          <w:tcPr>
            <w:tcW w:w="1037"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13,547</w:t>
            </w:r>
          </w:p>
        </w:tc>
        <w:tc>
          <w:tcPr>
            <w:tcW w:w="346" w:type="dxa"/>
            <w:tcBorders/>
            <w:vAlign w:val="center"/>
          </w:tcPr>
          <w:p>
            <w:pPr>
              <w:pStyle w:val="TableContents"/>
              <w:bidi w:val="0"/>
              <w:spacing w:lineRule="auto" w:line="307" w:before="0" w:after="160"/>
              <w:ind w:left="0" w:right="0" w:hanging="0"/>
              <w:jc w:val="left"/>
              <w:rPr/>
            </w:pPr>
            <w:r>
              <w:rPr/>
              <w:t>​</w:t>
            </w:r>
          </w:p>
        </w:tc>
        <w:tc>
          <w:tcPr>
            <w:tcW w:w="935"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(8,650)</w:t>
            </w:r>
          </w:p>
        </w:tc>
      </w:tr>
      <w:tr>
        <w:trPr/>
        <w:tc>
          <w:tcPr>
            <w:tcW w:w="6308"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nil income taxes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(29,222)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16,351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16,210</w:t>
            </w:r>
          </w:p>
        </w:tc>
      </w:tr>
      <w:tr>
        <w:trPr/>
        <w:tc>
          <w:tcPr>
            <w:tcW w:w="6308"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comprehensive loss</w:t>
            </w:r>
          </w:p>
        </w:tc>
        <w:tc>
          <w:tcPr>
            <w:tcW w:w="346" w:type="dxa"/>
            <w:tcBorders/>
            <w:vAlign w:val="center"/>
          </w:tcPr>
          <w:p>
            <w:pPr>
              <w:pStyle w:val="TableContents"/>
              <w:bidi w:val="0"/>
              <w:spacing w:lineRule="auto" w:line="307" w:before="0" w:after="1"/>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(479,567)</w:t>
            </w:r>
          </w:p>
        </w:tc>
        <w:tc>
          <w:tcPr>
            <w:tcW w:w="346" w:type="dxa"/>
            <w:tcBorders/>
            <w:vAlign w:val="center"/>
          </w:tcPr>
          <w:p>
            <w:pPr>
              <w:pStyle w:val="TableContents"/>
              <w:bidi w:val="0"/>
              <w:spacing w:lineRule="auto" w:line="307" w:before="0" w:after="160"/>
              <w:ind w:left="0" w:right="0" w:hanging="0"/>
              <w:jc w:val="left"/>
              <w:rPr/>
            </w:pPr>
            <w:r>
              <w:rPr/>
              <w:t>​</w:t>
            </w:r>
          </w:p>
        </w:tc>
        <w:tc>
          <w:tcPr>
            <w:tcW w:w="1037"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(1,075,027)</w:t>
            </w:r>
          </w:p>
        </w:tc>
        <w:tc>
          <w:tcPr>
            <w:tcW w:w="346" w:type="dxa"/>
            <w:tcBorders/>
            <w:vAlign w:val="center"/>
          </w:tcPr>
          <w:p>
            <w:pPr>
              <w:pStyle w:val="TableContents"/>
              <w:bidi w:val="0"/>
              <w:spacing w:lineRule="auto" w:line="307" w:before="0" w:after="160"/>
              <w:ind w:left="0" w:right="0" w:hanging="0"/>
              <w:jc w:val="left"/>
              <w:rPr/>
            </w:pPr>
            <w:r>
              <w:rPr/>
              <w:t>​</w:t>
            </w:r>
          </w:p>
        </w:tc>
        <w:tc>
          <w:tcPr>
            <w:tcW w:w="935"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(734,441)</w:t>
            </w:r>
          </w:p>
        </w:tc>
      </w:tr>
    </w:tbl>
    <w:p>
      <w:pPr>
        <w:pStyle w:val="TextBody"/>
        <w:bidi w:val="0"/>
        <w:spacing w:lineRule="auto" w:line="307" w:before="0" w:after="160"/>
        <w:ind w:left="0" w:right="0" w:hanging="0"/>
        <w:jc w:val="left"/>
        <w:rPr/>
      </w:pPr>
      <w:r>
        <w:rPr/>
        <w:t>​</w:t>
      </w:r>
    </w:p>
    <w:tbl>
      <w:tblPr>
        <w:tblW w:w="3621" w:type="dxa"/>
        <w:jc w:val="left"/>
        <w:tblInd w:w="0" w:type="dxa"/>
        <w:tblLayout w:type="fixed"/>
        <w:tblCellMar>
          <w:top w:w="0" w:type="dxa"/>
          <w:left w:w="0" w:type="dxa"/>
          <w:bottom w:w="0" w:type="dxa"/>
          <w:right w:w="0" w:type="dxa"/>
        </w:tblCellMar>
      </w:tblPr>
      <w:tblGrid>
        <w:gridCol w:w="124"/>
        <w:gridCol w:w="31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(c)</w:t>
            </w:r>
          </w:p>
        </w:tc>
        <w:tc>
          <w:tcPr>
            <w:tcW w:w="3181" w:type="dxa"/>
            <w:tcBorders/>
            <w:vAlign w:val="center"/>
          </w:tcPr>
          <w:p>
            <w:pPr>
              <w:pStyle w:val="TableContents"/>
              <w:bidi w:val="0"/>
              <w:spacing w:lineRule="auto" w:line="285" w:before="0" w:after="0"/>
              <w:jc w:val="both"/>
              <w:rPr>
                <w:rFonts w:ascii="Times New Roman;Times;serif" w:hAnsi="Times New Roman;Times;serif"/>
                <w:sz w:val="20"/>
              </w:rPr>
            </w:pPr>
            <w:r>
              <w:rPr>
                <w:rFonts w:ascii="Times New Roman;Times;serif" w:hAnsi="Times New Roman;Times;serif"/>
                <w:sz w:val="20"/>
              </w:rPr>
              <w:t>Condensed Statements of Cash Flows</w:t>
            </w:r>
          </w:p>
        </w:tc>
      </w:tr>
    </w:tbl>
    <w:p>
      <w:pPr>
        <w:pStyle w:val="TextBody"/>
        <w:bidi w:val="0"/>
        <w:spacing w:lineRule="auto" w:line="307" w:before="0" w:after="160"/>
        <w:ind w:left="0" w:right="0" w:hanging="0"/>
        <w:jc w:val="both"/>
        <w:rPr/>
      </w:pPr>
      <w:r>
        <w:rPr/>
        <w:t>​</w:t>
      </w:r>
    </w:p>
    <w:tbl>
      <w:tblPr>
        <w:tblW w:w="8827" w:type="dxa"/>
        <w:jc w:val="left"/>
        <w:tblInd w:w="0" w:type="dxa"/>
        <w:tblLayout w:type="fixed"/>
        <w:tblCellMar>
          <w:top w:w="0" w:type="dxa"/>
          <w:left w:w="0" w:type="dxa"/>
          <w:bottom w:w="0" w:type="dxa"/>
          <w:right w:w="0" w:type="dxa"/>
        </w:tblCellMar>
      </w:tblPr>
      <w:tblGrid>
        <w:gridCol w:w="4891"/>
        <w:gridCol w:w="346"/>
        <w:gridCol w:w="901"/>
        <w:gridCol w:w="346"/>
        <w:gridCol w:w="1051"/>
        <w:gridCol w:w="346"/>
        <w:gridCol w:w="946"/>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3105785" cy="175260"/>
                      <wp:effectExtent l="0" t="0" r="0" b="0"/>
                      <wp:wrapNone/>
                      <wp:docPr id="641" name="Frame636"/>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19710" cy="175260"/>
                      <wp:effectExtent l="0" t="0" r="0" b="0"/>
                      <wp:wrapNone/>
                      <wp:docPr id="642" name="Frame6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572135" cy="175260"/>
                      <wp:effectExtent l="0" t="0" r="0" b="0"/>
                      <wp:wrapNone/>
                      <wp:docPr id="643" name="Frame63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19710" cy="175260"/>
                      <wp:effectExtent l="0" t="0" r="0" b="0"/>
                      <wp:wrapNone/>
                      <wp:docPr id="644" name="Frame6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67385" cy="175260"/>
                      <wp:effectExtent l="0" t="0" r="0" b="0"/>
                      <wp:wrapNone/>
                      <wp:docPr id="645" name="Frame64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175260"/>
                      <wp:effectExtent l="0" t="0" r="0" b="0"/>
                      <wp:wrapNone/>
                      <wp:docPr id="646" name="Frame6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00710" cy="175260"/>
                      <wp:effectExtent l="0" t="0" r="0" b="0"/>
                      <wp:wrapNone/>
                      <wp:docPr id="647" name="Frame64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359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8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lineRule="auto" w:line="307"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489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1051"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c>
          <w:tcPr>
            <w:tcW w:w="346" w:type="dxa"/>
            <w:tcBorders/>
            <w:vAlign w:val="center"/>
          </w:tcPr>
          <w:p>
            <w:pPr>
              <w:pStyle w:val="TableContents"/>
              <w:bidi w:val="0"/>
              <w:spacing w:lineRule="auto" w:line="307" w:before="0" w:after="160"/>
              <w:ind w:left="0" w:right="0" w:hanging="0"/>
              <w:jc w:val="center"/>
              <w:rPr/>
            </w:pPr>
            <w:r>
              <w:rPr/>
              <w:t>​</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b/>
                <w:i/>
                <w:sz w:val="16"/>
              </w:rPr>
            </w:pPr>
            <w:r>
              <w:rPr>
                <w:rFonts w:ascii="Times New Roman;Times;serif" w:hAnsi="Times New Roman;Times;serif"/>
                <w:b/>
                <w:i/>
                <w:sz w:val="16"/>
              </w:rPr>
              <w:t>US$</w:t>
            </w:r>
          </w:p>
        </w:tc>
      </w:tr>
      <w:tr>
        <w:trPr/>
        <w:tc>
          <w:tcPr>
            <w:tcW w:w="48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(used in) generated from operating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(3,584)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(45,034)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3,127</w:t>
            </w:r>
          </w:p>
        </w:tc>
      </w:tr>
      <w:tr>
        <w:trPr/>
        <w:tc>
          <w:tcPr>
            <w:tcW w:w="48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generated from (used in) investing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270,001</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(1,246,477)</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(347,697)</w:t>
            </w:r>
          </w:p>
        </w:tc>
      </w:tr>
      <w:tr>
        <w:trPr/>
        <w:tc>
          <w:tcPr>
            <w:tcW w:w="48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cash (used in) generated from financing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(267,454)</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1,260,592</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27,163</w:t>
            </w:r>
          </w:p>
        </w:tc>
      </w:tr>
      <w:tr>
        <w:trPr/>
        <w:tc>
          <w:tcPr>
            <w:tcW w:w="48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restricted cash</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(1,668)</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(1,812)</w:t>
            </w:r>
          </w:p>
        </w:tc>
      </w:tr>
      <w:tr>
        <w:trPr/>
        <w:tc>
          <w:tcPr>
            <w:tcW w:w="48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decrease in cash and restricted cash</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(32,587)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(319,219)</w:t>
            </w:r>
          </w:p>
        </w:tc>
      </w:tr>
      <w:tr>
        <w:trPr/>
        <w:tc>
          <w:tcPr>
            <w:tcW w:w="489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and restricted cash at beginning of the year</w:t>
            </w:r>
          </w:p>
        </w:tc>
        <w:tc>
          <w:tcPr>
            <w:tcW w:w="346" w:type="dxa"/>
            <w:tcBorders/>
            <w:vAlign w:val="center"/>
          </w:tcPr>
          <w:p>
            <w:pPr>
              <w:pStyle w:val="TableContents"/>
              <w:bidi w:val="0"/>
              <w:spacing w:lineRule="auto" w:line="307"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1,301</w:t>
            </w:r>
          </w:p>
        </w:tc>
        <w:tc>
          <w:tcPr>
            <w:tcW w:w="346" w:type="dxa"/>
            <w:tcBorders/>
            <w:vAlign w:val="center"/>
          </w:tcPr>
          <w:p>
            <w:pPr>
              <w:pStyle w:val="TableContents"/>
              <w:bidi w:val="0"/>
              <w:spacing w:lineRule="auto" w:line="307"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33,888</w:t>
            </w:r>
          </w:p>
        </w:tc>
        <w:tc>
          <w:tcPr>
            <w:tcW w:w="346" w:type="dxa"/>
            <w:tcBorders/>
            <w:vAlign w:val="center"/>
          </w:tcPr>
          <w:p>
            <w:pPr>
              <w:pStyle w:val="TableContents"/>
              <w:bidi w:val="0"/>
              <w:spacing w:lineRule="auto" w:line="307"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353,107</w:t>
            </w:r>
          </w:p>
        </w:tc>
      </w:tr>
      <w:tr>
        <w:trPr/>
        <w:tc>
          <w:tcPr>
            <w:tcW w:w="489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Cash and restricted cash at end of the year</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1,301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b/>
                <w:sz w:val="20"/>
              </w:rPr>
            </w:pPr>
            <w:r>
              <w:rPr>
                <w:rFonts w:ascii="Times New Roman;Times;serif" w:hAnsi="Times New Roman;Times;serif"/>
                <w:b/>
                <w:sz w:val="20"/>
              </w:rPr>
              <w:t>33,888</w:t>
            </w:r>
          </w:p>
        </w:tc>
      </w:tr>
    </w:tbl>
    <w:p>
      <w:pPr>
        <w:pStyle w:val="TextBody"/>
        <w:bidi w:val="0"/>
        <w:spacing w:lineRule="auto" w:line="307" w:before="0" w:after="160"/>
        <w:ind w:left="0" w:right="0" w:hanging="0"/>
        <w:jc w:val="left"/>
        <w:rPr/>
      </w:pPr>
      <w:r>
        <w:rPr/>
        <w:t>​</w:t>
      </w:r>
    </w:p>
    <w:p>
      <w:pPr>
        <w:pStyle w:val="TextBody"/>
        <w:bidi w:val="0"/>
        <w:spacing w:lineRule="auto" w:line="307" w:before="0" w:after="240"/>
        <w:ind w:left="0" w:right="0" w:firstLine="720"/>
        <w:jc w:val="left"/>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lineRule="auto" w:line="307"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accounting policies are the same as the Group’s accounting policies with the exception of the accounting for the investments in subsidiaries and former consolidated VIEs. For the company only financial information, the Company records its investments in subsidiaries under the equity method of accounting as prescribed in </w:t>
      </w:r>
      <w:r>
        <w:rPr>
          <w:rFonts w:ascii="Times New Roman;Times;serif" w:hAnsi="Times New Roman;Times;serif"/>
          <w:i/>
          <w:sz w:val="20"/>
        </w:rPr>
        <w:t>ASC 323, Investments—Equity Method and Joint Ventures</w:t>
      </w:r>
      <w:r>
        <w:rPr>
          <w:rFonts w:ascii="Times New Roman;Times;serif" w:hAnsi="Times New Roman;Times;serif"/>
          <w:sz w:val="20"/>
        </w:rPr>
        <w:t>. Such investments are presented on the condensed balance sheets as “Share of losses in excess of investments in subsidiaries” and shares in the subsidiaries and former consolidated VIE’s and VIE’s subsidiaries’ loss are presented as “Share of losses from subsidiaries and former consolidated VIEs” on the condensed statements of comprehensive loss.</w:t>
      </w:r>
    </w:p>
    <w:p>
      <w:pPr>
        <w:pStyle w:val="TextBody"/>
        <w:bidi w:val="0"/>
        <w:spacing w:lineRule="auto" w:line="307" w:before="0" w:after="20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F-72</w:t>
      </w:r>
    </w:p>
    <w:p>
      <w:pPr>
        <w:pStyle w:val="TextBody"/>
        <w:bidi w:val="0"/>
        <w:spacing w:before="0" w:after="240"/>
        <w:ind w:left="0" w:right="0" w:hanging="0"/>
        <w:jc w:val="right"/>
        <w:rPr>
          <w:rFonts w:ascii="Times New Roman;Times;serif" w:hAnsi="Times New Roman;Times;serif"/>
          <w:b/>
          <w:sz w:val="20"/>
        </w:rPr>
      </w:pPr>
      <w:bookmarkStart w:id="3448" w:name="lot-20251231xex4d50.htm"/>
      <w:bookmarkStart w:id="3449" w:name="kslot20251231xex4d50"/>
      <w:bookmarkEnd w:id="3448"/>
      <w:bookmarkEnd w:id="3449"/>
      <w:r>
        <w:rPr>
          <w:rFonts w:ascii="Times New Roman;Times;serif" w:hAnsi="Times New Roman;Times;serif"/>
          <w:b/>
          <w:sz w:val="20"/>
        </w:rPr>
        <w:t>Exhibit 4.50</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Confidential treatment has been requested for redacted portions of this exhibit.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This copy omits the information subject to the confidentiality request. Omissions are designated as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SECURITIES 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SECURITIES PURCHASE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dated as of August 19, 2025, is by and among Lotus Technology Inc., an exempted company incorporated under the laws of the Cayman Islands with offices located at No. 800 Century Avenue, Pudong District, Shanghai, People’s Republic of China 200120 (the “</w:t>
      </w:r>
      <w:r>
        <w:rPr>
          <w:rFonts w:ascii="Times New Roman;Times;serif" w:hAnsi="Times New Roman;Times;serif"/>
          <w:b/>
          <w:sz w:val="20"/>
        </w:rPr>
        <w:t>Company</w:t>
      </w:r>
      <w:r>
        <w:rPr>
          <w:rFonts w:ascii="Times New Roman;Times;serif" w:hAnsi="Times New Roman;Times;serif"/>
          <w:sz w:val="20"/>
        </w:rPr>
        <w:t>”), and each of the investors listed on the Schedule of Buyers attached hereto (individually, a “</w:t>
      </w:r>
      <w:r>
        <w:rPr>
          <w:rFonts w:ascii="Times New Roman;Times;serif" w:hAnsi="Times New Roman;Times;serif"/>
          <w:b/>
          <w:sz w:val="20"/>
        </w:rPr>
        <w:t>Buyer</w:t>
      </w:r>
      <w:r>
        <w:rPr>
          <w:rFonts w:ascii="Times New Roman;Times;serif" w:hAnsi="Times New Roman;Times;serif"/>
          <w:sz w:val="20"/>
        </w:rPr>
        <w:t>” and collectively, the “</w:t>
      </w:r>
      <w:r>
        <w:rPr>
          <w:rFonts w:ascii="Times New Roman;Times;serif" w:hAnsi="Times New Roman;Times;serif"/>
          <w:b/>
          <w:sz w:val="20"/>
        </w:rPr>
        <w:t>Buyers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and each Buyer desire to enter into this transaction to purchase Notes (as defined below) pursuant to (i) a currently effective shelf registration statement on Form F-3, which has sufficient availability for the issuance of the Securities (as defined below) on the Closing Date (as defined below) (Registration Number 333-285533) (the “</w:t>
      </w:r>
      <w:r>
        <w:rPr>
          <w:rFonts w:ascii="Times New Roman;Times;serif" w:hAnsi="Times New Roman;Times;serif"/>
          <w:b/>
          <w:sz w:val="20"/>
        </w:rPr>
        <w:t>Registration Statement</w:t>
      </w:r>
      <w:r>
        <w:rPr>
          <w:rFonts w:ascii="Times New Roman;Times;serif" w:hAnsi="Times New Roman;Times;serif"/>
          <w:sz w:val="20"/>
        </w:rPr>
        <w:t>”) and has been declared effective in accordance with the Securities Act of 1933, as amended, (the “</w:t>
      </w:r>
      <w:r>
        <w:rPr>
          <w:rFonts w:ascii="Times New Roman;Times;serif" w:hAnsi="Times New Roman;Times;serif"/>
          <w:b/>
          <w:sz w:val="20"/>
        </w:rPr>
        <w:t>1933 Act</w:t>
      </w:r>
      <w:r>
        <w:rPr>
          <w:rFonts w:ascii="Times New Roman;Times;serif" w:hAnsi="Times New Roman;Times;serif"/>
          <w:sz w:val="20"/>
        </w:rPr>
        <w:t>”), by the U.S. Securities and Exchange Commission (the “</w:t>
      </w:r>
      <w:r>
        <w:rPr>
          <w:rFonts w:ascii="Times New Roman;Times;serif" w:hAnsi="Times New Roman;Times;serif"/>
          <w:b/>
          <w:sz w:val="20"/>
        </w:rPr>
        <w:t>SEC</w:t>
      </w:r>
      <w:r>
        <w:rPr>
          <w:rFonts w:ascii="Times New Roman;Times;serif" w:hAnsi="Times New Roman;Times;serif"/>
          <w:sz w:val="20"/>
        </w:rPr>
        <w:t>”) and (ii) registration statements on Form F-6, which registered, in aggregate, 263,000,000 ADSs (as defined below) issuable upon deposit of Ordinary Shares (as defined below) (Registration No. 333-282411 and File No. 333-275006) (the “</w:t>
      </w:r>
      <w:r>
        <w:rPr>
          <w:rFonts w:ascii="Times New Roman;Times;serif" w:hAnsi="Times New Roman;Times;serif"/>
          <w:b/>
          <w:sz w:val="20"/>
        </w:rPr>
        <w:t>ADS Registration Statements</w:t>
      </w:r>
      <w:r>
        <w:rPr>
          <w:rFonts w:ascii="Times New Roman;Times;serif" w:hAnsi="Times New Roman;Times;serif"/>
          <w:sz w:val="20"/>
        </w:rPr>
        <w:t>”), which ADS Registration Statements have been declared effective in accordance with the 1933 Act by the SEC.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Ordinary Shares of the Company are, as of the date hereof, represented by American Depository Shares (the “</w:t>
      </w:r>
      <w:r>
        <w:rPr>
          <w:rFonts w:ascii="Times New Roman;Times;serif" w:hAnsi="Times New Roman;Times;serif"/>
          <w:b/>
          <w:sz w:val="20"/>
        </w:rPr>
        <w:t>ADSs</w:t>
      </w:r>
      <w:r>
        <w:rPr>
          <w:rFonts w:ascii="Times New Roman;Times;serif" w:hAnsi="Times New Roman;Times;serif"/>
          <w:sz w:val="20"/>
        </w:rPr>
        <w:t>”), each ADS representing one (1) Ordinary Share and evidenced by an American Depository Receipt (each, an “</w:t>
      </w:r>
      <w:r>
        <w:rPr>
          <w:rFonts w:ascii="Times New Roman;Times;serif" w:hAnsi="Times New Roman;Times;serif"/>
          <w:b/>
          <w:sz w:val="20"/>
        </w:rPr>
        <w:t>ADR</w:t>
      </w:r>
      <w:r>
        <w:rPr>
          <w:rFonts w:ascii="Times New Roman;Times;serif" w:hAnsi="Times New Roman;Times;serif"/>
          <w:sz w:val="20"/>
        </w:rPr>
        <w:t>”), pursuant to the Deposit Agreement, dated as of January 29, 2024 by and among the Company and Deutsche Bank Trust Company Americas, as Depositary (the “</w:t>
      </w:r>
      <w:r>
        <w:rPr>
          <w:rFonts w:ascii="Times New Roman;Times;serif" w:hAnsi="Times New Roman;Times;serif"/>
          <w:b/>
          <w:sz w:val="20"/>
        </w:rPr>
        <w:t>Depositary</w:t>
      </w:r>
      <w:r>
        <w:rPr>
          <w:rFonts w:ascii="Times New Roman;Times;serif" w:hAnsi="Times New Roman;Times;serif"/>
          <w:sz w:val="20"/>
        </w:rPr>
        <w:t>”) and the holders and beneficial owners from time to time of the ADSs issued thereunder (as amended, the “</w:t>
      </w:r>
      <w:r>
        <w:rPr>
          <w:rFonts w:ascii="Times New Roman;Times;serif" w:hAnsi="Times New Roman;Times;serif"/>
          <w:b/>
          <w:sz w:val="20"/>
        </w:rPr>
        <w:t>Deposit Agreement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The Company has authorized a new series of convertible notes of the Company, in the aggregate original principal amount of $300 million, substantially in the form attached hereto as </w:t>
      </w:r>
      <w:r>
        <w:rPr>
          <w:rFonts w:ascii="Times New Roman;Times;serif" w:hAnsi="Times New Roman;Times;serif"/>
          <w:b/>
          <w:sz w:val="20"/>
        </w:rPr>
        <w:t>Exhibit A-1</w:t>
      </w:r>
      <w:r>
        <w:rPr>
          <w:rFonts w:ascii="Times New Roman;Times;serif" w:hAnsi="Times New Roman;Times;serif"/>
          <w:sz w:val="20"/>
        </w:rPr>
        <w:t xml:space="preserve"> (the “</w:t>
      </w:r>
      <w:r>
        <w:rPr>
          <w:rFonts w:ascii="Times New Roman;Times;serif" w:hAnsi="Times New Roman;Times;serif"/>
          <w:b/>
          <w:sz w:val="20"/>
        </w:rPr>
        <w:t>Notes</w:t>
      </w:r>
      <w:r>
        <w:rPr>
          <w:rFonts w:ascii="Times New Roman;Times;serif" w:hAnsi="Times New Roman;Times;serif"/>
          <w:sz w:val="20"/>
        </w:rPr>
        <w:t>”), which Notes shall be convertible into Ordinary Shares (as defined below) (including in the form of ADSs) (the Ordinary Shares issuable pursuant to the terms of the Notes or otherwise, collectively, the “</w:t>
      </w:r>
      <w:r>
        <w:rPr>
          <w:rFonts w:ascii="Times New Roman;Times;serif" w:hAnsi="Times New Roman;Times;serif"/>
          <w:b/>
          <w:sz w:val="20"/>
        </w:rPr>
        <w:t>Conversion Shares</w:t>
      </w:r>
      <w:r>
        <w:rPr>
          <w:rFonts w:ascii="Times New Roman;Times;serif" w:hAnsi="Times New Roman;Times;serif"/>
          <w:sz w:val="20"/>
        </w:rPr>
        <w:t>” and the ADSs representing the Conversion Shares, the “</w:t>
      </w:r>
      <w:r>
        <w:rPr>
          <w:rFonts w:ascii="Times New Roman;Times;serif" w:hAnsi="Times New Roman;Times;serif"/>
          <w:b/>
          <w:sz w:val="20"/>
        </w:rPr>
        <w:t>Conversion ADSs</w:t>
      </w:r>
      <w:r>
        <w:rPr>
          <w:rFonts w:ascii="Times New Roman;Times;serif" w:hAnsi="Times New Roman;Times;serif"/>
          <w:sz w:val="20"/>
        </w:rPr>
        <w:t>”), in accordance with the terms of the Notes, and issued pursuant to and by, the provisions of (x) an Indenture dated as of the Initial Closing Date (as defined below), by and between the Company and U.S. Bank Trust Company, National Association, as trustee (the “</w:t>
      </w:r>
      <w:r>
        <w:rPr>
          <w:rFonts w:ascii="Times New Roman;Times;serif" w:hAnsi="Times New Roman;Times;serif"/>
          <w:b/>
          <w:sz w:val="20"/>
        </w:rPr>
        <w:t>Trustee</w:t>
      </w:r>
      <w:r>
        <w:rPr>
          <w:rFonts w:ascii="Times New Roman;Times;serif" w:hAnsi="Times New Roman;Times;serif"/>
          <w:sz w:val="20"/>
        </w:rPr>
        <w:t xml:space="preserve">”), in substantially the form attached hereto as </w:t>
      </w:r>
      <w:r>
        <w:rPr>
          <w:rFonts w:ascii="Times New Roman;Times;serif" w:hAnsi="Times New Roman;Times;serif"/>
          <w:b/>
          <w:sz w:val="20"/>
        </w:rPr>
        <w:t>Exhibit A-2</w:t>
      </w:r>
      <w:r>
        <w:rPr>
          <w:rFonts w:ascii="Times New Roman;Times;serif" w:hAnsi="Times New Roman;Times;serif"/>
          <w:sz w:val="20"/>
        </w:rPr>
        <w:t xml:space="preserve"> (as amended and/or supplemented from time to time, including, without limitation, by any Supplemental Indenture (as defined below), the “</w:t>
      </w:r>
      <w:r>
        <w:rPr>
          <w:rFonts w:ascii="Times New Roman;Times;serif" w:hAnsi="Times New Roman;Times;serif"/>
          <w:b/>
          <w:sz w:val="20"/>
        </w:rPr>
        <w:t>Indenture</w:t>
      </w:r>
      <w:r>
        <w:rPr>
          <w:rFonts w:ascii="Times New Roman;Times;serif" w:hAnsi="Times New Roman;Times;serif"/>
          <w:sz w:val="20"/>
        </w:rPr>
        <w:t xml:space="preserve">”), and (y) one or more supplemental indentures with respect to the Notes in the form attached hereto as </w:t>
      </w:r>
      <w:r>
        <w:rPr>
          <w:rFonts w:ascii="Times New Roman;Times;serif" w:hAnsi="Times New Roman;Times;serif"/>
          <w:b/>
          <w:sz w:val="20"/>
        </w:rPr>
        <w:t>Exhibit A-3</w:t>
      </w:r>
      <w:r>
        <w:rPr>
          <w:rFonts w:ascii="Times New Roman;Times;serif" w:hAnsi="Times New Roman;Times;serif"/>
          <w:sz w:val="20"/>
        </w:rPr>
        <w:t xml:space="preserve"> (each, a “</w:t>
      </w:r>
      <w:r>
        <w:rPr>
          <w:rFonts w:ascii="Times New Roman;Times;serif" w:hAnsi="Times New Roman;Times;serif"/>
          <w:b/>
          <w:sz w:val="20"/>
        </w:rPr>
        <w:t>Supplemental Indenture</w:t>
      </w:r>
      <w:r>
        <w:rPr>
          <w:rFonts w:ascii="Times New Roman;Times;serif" w:hAnsi="Times New Roman;Times;serif"/>
          <w:sz w:val="20"/>
        </w:rPr>
        <w:t>”, and collectively, the “</w:t>
      </w:r>
      <w:r>
        <w:rPr>
          <w:rFonts w:ascii="Times New Roman;Times;serif" w:hAnsi="Times New Roman;Times;serif"/>
          <w:b/>
          <w:sz w:val="20"/>
        </w:rPr>
        <w:t>Supplemental Indentures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Each Buyer wishes to purchase, and the Company wishes to sell, upon the terms and conditions stated in this Agreement, at the Initial Closing (as defined below) a Note in the aggregate original principal amount set forth opposite such Buyer’s name in column (3) on the Schedule of Buyers (which aggregate principal amount for all Buyers shall not exceed $10 million) (each an “</w:t>
      </w:r>
      <w:r>
        <w:rPr>
          <w:rFonts w:ascii="Times New Roman;Times;serif" w:hAnsi="Times New Roman;Times;serif"/>
          <w:b/>
          <w:sz w:val="20"/>
        </w:rPr>
        <w:t>Initial Note</w:t>
      </w:r>
      <w:r>
        <w:rPr>
          <w:rFonts w:ascii="Times New Roman;Times;serif" w:hAnsi="Times New Roman;Times;serif"/>
          <w:sz w:val="20"/>
        </w:rPr>
        <w:t>”, and collectively, the “</w:t>
      </w:r>
      <w:r>
        <w:rPr>
          <w:rFonts w:ascii="Times New Roman;Times;serif" w:hAnsi="Times New Roman;Times;serif"/>
          <w:b/>
          <w:sz w:val="20"/>
        </w:rPr>
        <w:t>Initial Notes</w:t>
      </w:r>
      <w:r>
        <w:rPr>
          <w:rFonts w:ascii="Times New Roman;Times;serif" w:hAnsi="Times New Roman;Times;serif"/>
          <w:sz w:val="20"/>
        </w:rPr>
        <w:t>”).</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Subject to the terms and conditions set forth in this Agreement, the Company may require each Buyer (or one or more Buyers may require the Company, as applicable) to participate in one or more Additional Optional Closings (as defined below) for the purchase by such Buyer, and the sale by the Company, of one or more additional Notes with an aggregate original principal amount for all Additional Optional Closings not to exceed the maximum aggregate principal amount set forth opposite such Buyer’s name in column (4) on the Schedule of Buyers (which aggregate principal amount for all Buyers for all Additional Optional Closings shall not exceed $200 million) (each an “</w:t>
      </w:r>
      <w:r>
        <w:rPr>
          <w:rFonts w:ascii="Times New Roman;Times;serif" w:hAnsi="Times New Roman;Times;serif"/>
          <w:b/>
          <w:sz w:val="20"/>
        </w:rPr>
        <w:t>Additional Optional Note</w:t>
      </w:r>
      <w:r>
        <w:rPr>
          <w:rFonts w:ascii="Times New Roman;Times;serif" w:hAnsi="Times New Roman;Times;serif"/>
          <w:sz w:val="20"/>
        </w:rPr>
        <w:t>”, and collectively, the “</w:t>
      </w:r>
      <w:r>
        <w:rPr>
          <w:rFonts w:ascii="Times New Roman;Times;serif" w:hAnsi="Times New Roman;Times;serif"/>
          <w:b/>
          <w:sz w:val="20"/>
        </w:rPr>
        <w:t>Additional Optional Notes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Subject to the terms and conditions set forth in this Agreement, the Company and each Buyer may mutually agree to consummate one or more Additional Mutual Closings (as defined below) for the purchase by such Buyer, and the sale by the Company, of one or more additional Notes with an aggregate original principal amount for all Additional Mutual Closings not to exceed the maximum aggregate principal amount set forth opposite such Buyer’s name in column (F) on the Schedule of Buyers (which aggregate principal amount for all Buyers for all Additional Mutual Closings shall not exceed $90 million) (each an “</w:t>
      </w:r>
      <w:r>
        <w:rPr>
          <w:rFonts w:ascii="Times New Roman;Times;serif" w:hAnsi="Times New Roman;Times;serif"/>
          <w:b/>
          <w:sz w:val="20"/>
        </w:rPr>
        <w:t>Additional Mutual Note</w:t>
      </w:r>
      <w:r>
        <w:rPr>
          <w:rFonts w:ascii="Times New Roman;Times;serif" w:hAnsi="Times New Roman;Times;serif"/>
          <w:sz w:val="20"/>
        </w:rPr>
        <w:t>”, and collectively, the “</w:t>
      </w:r>
      <w:r>
        <w:rPr>
          <w:rFonts w:ascii="Times New Roman;Times;serif" w:hAnsi="Times New Roman;Times;serif"/>
          <w:b/>
          <w:sz w:val="20"/>
        </w:rPr>
        <w:t>Additional Mutual Notes</w:t>
      </w:r>
      <w:r>
        <w:rPr>
          <w:rFonts w:ascii="Times New Roman;Times;serif" w:hAnsi="Times New Roman;Times;serif"/>
          <w:sz w:val="20"/>
        </w:rPr>
        <w:t>”, and together with the Additional Optional Notes, the “</w:t>
      </w:r>
      <w:r>
        <w:rPr>
          <w:rFonts w:ascii="Times New Roman;Times;serif" w:hAnsi="Times New Roman;Times;serif"/>
          <w:b/>
          <w:sz w:val="20"/>
        </w:rPr>
        <w:t>Additional Notes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Notes, the Conversion Shares and the Conversion ADSs are collectively referred to herein as the “</w:t>
      </w:r>
      <w:r>
        <w:rPr>
          <w:rFonts w:ascii="Times New Roman;Times;serif" w:hAnsi="Times New Roman;Times;serif"/>
          <w:b/>
          <w:sz w:val="20"/>
        </w:rPr>
        <w:t>Securities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premises and the mutual covenants contained herein and for other good and valuable consideration, the receipt and sufficiency of which are hereby acknowledged, the Company and each Buyer hereby agree as follows:</w:t>
      </w:r>
    </w:p>
    <w:tbl>
      <w:tblPr>
        <w:tblW w:w="3310" w:type="dxa"/>
        <w:jc w:val="left"/>
        <w:tblInd w:w="0" w:type="dxa"/>
        <w:tblLayout w:type="fixed"/>
        <w:tblCellMar>
          <w:top w:w="0" w:type="dxa"/>
          <w:left w:w="0" w:type="dxa"/>
          <w:bottom w:w="0" w:type="dxa"/>
          <w:right w:w="0" w:type="dxa"/>
        </w:tblCellMar>
      </w:tblPr>
      <w:tblGrid>
        <w:gridCol w:w="170"/>
        <w:gridCol w:w="314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31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PURCHASE AND SALE OF NOTES.</w:t>
            </w:r>
          </w:p>
        </w:tc>
      </w:tr>
    </w:tbl>
    <w:tbl>
      <w:tblPr>
        <w:tblW w:w="1758" w:type="dxa"/>
        <w:jc w:val="left"/>
        <w:tblInd w:w="0" w:type="dxa"/>
        <w:tblLayout w:type="fixed"/>
        <w:tblCellMar>
          <w:top w:w="0" w:type="dxa"/>
          <w:left w:w="0" w:type="dxa"/>
          <w:bottom w:w="0" w:type="dxa"/>
          <w:right w:w="0" w:type="dxa"/>
        </w:tblCellMar>
      </w:tblPr>
      <w:tblGrid>
        <w:gridCol w:w="23"/>
        <w:gridCol w:w="230"/>
        <w:gridCol w:w="15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5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Purchase of Notes</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Purchase of Initial Notes</w:t>
      </w:r>
      <w:r>
        <w:rPr>
          <w:rFonts w:ascii="Times New Roman;Times;serif" w:hAnsi="Times New Roman;Times;serif"/>
          <w:sz w:val="20"/>
        </w:rPr>
        <w:t>. Subject to the satisfaction (or waiver) of the conditions set forth in Sections 6(a) and 7(a) below, the Company shall issue and sell to each Buyer, and each Buyer severally, but not jointly, agrees to purchase from the Company on the Initial Closing Date (as defined below), an Initial Note in the original principal amount as is set forth opposite such Buyer’s name in column (3) on the Schedule of Buyers (the “</w:t>
      </w:r>
      <w:r>
        <w:rPr>
          <w:rFonts w:ascii="Times New Roman;Times;serif" w:hAnsi="Times New Roman;Times;serif"/>
          <w:b/>
          <w:sz w:val="20"/>
        </w:rPr>
        <w:t>Initial Closing</w:t>
      </w:r>
      <w:r>
        <w:rPr>
          <w:rFonts w:ascii="Times New Roman;Times;serif" w:hAnsi="Times New Roman;Times;serif"/>
          <w:sz w:val="20"/>
        </w:rPr>
        <w:t>”).</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Purchase of Additional Notes</w:t>
      </w:r>
      <w:r>
        <w:rPr>
          <w:rFonts w:ascii="Times New Roman;Times;serif" w:hAnsi="Times New Roman;Times;serif"/>
          <w:sz w:val="20"/>
        </w:rPr>
        <w:t>. Subject to the satisfaction (or waiver) of the conditions set forth in Sections 1(b)(ii), 1(b)(iii) and/or 1(b)(iv), as applicable, and Sections 6(b) and 7(b) below, the Company shall issue and sell to such Buyer, and such Buyer severally, but not jointly, with any other Buyer, shall purchase from the Company, on the applicable Additional Closing Date (as defined below), such aggregate number of Additional Notes as is set forth in such applicable Additional Closing Notice (as defined below) (each such closing of the purchase of such Additional Notes, each, an “</w:t>
      </w:r>
      <w:r>
        <w:rPr>
          <w:rFonts w:ascii="Times New Roman;Times;serif" w:hAnsi="Times New Roman;Times;serif"/>
          <w:b/>
          <w:sz w:val="20"/>
        </w:rPr>
        <w:t>Additional Closing</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Closing</w:t>
      </w:r>
      <w:r>
        <w:rPr>
          <w:rFonts w:ascii="Times New Roman;Times;serif" w:hAnsi="Times New Roman;Times;serif"/>
          <w:sz w:val="20"/>
        </w:rPr>
        <w:t>. Each of the Initial Closing and any Additional Closings (collectively, the “</w:t>
      </w:r>
      <w:r>
        <w:rPr>
          <w:rFonts w:ascii="Times New Roman;Times;serif" w:hAnsi="Times New Roman;Times;serif"/>
          <w:b/>
          <w:sz w:val="20"/>
        </w:rPr>
        <w:t>Closings</w:t>
      </w:r>
      <w:r>
        <w:rPr>
          <w:rFonts w:ascii="Times New Roman;Times;serif" w:hAnsi="Times New Roman;Times;serif"/>
          <w:sz w:val="20"/>
        </w:rPr>
        <w:t>,” and each date of Closing, a “</w:t>
      </w:r>
      <w:r>
        <w:rPr>
          <w:rFonts w:ascii="Times New Roman;Times;serif" w:hAnsi="Times New Roman;Times;serif"/>
          <w:b/>
          <w:sz w:val="20"/>
        </w:rPr>
        <w:t>Closing Date</w:t>
      </w:r>
      <w:r>
        <w:rPr>
          <w:rFonts w:ascii="Times New Roman;Times;serif" w:hAnsi="Times New Roman;Times;serif"/>
          <w:sz w:val="20"/>
        </w:rPr>
        <w:t>”) of the purchase of Notes by the Buyers shall occur at the offices of Kelley Drye &amp; Warren LLP, 3 World Trade Center, 175 Greenwich Street, New York, NY 10007.</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Initial Closing</w:t>
      </w:r>
      <w:r>
        <w:rPr>
          <w:rFonts w:ascii="Times New Roman;Times;serif" w:hAnsi="Times New Roman;Times;serif"/>
          <w:sz w:val="20"/>
        </w:rPr>
        <w:t>. The date and time of the Initial Closing (the “</w:t>
      </w:r>
      <w:r>
        <w:rPr>
          <w:rFonts w:ascii="Times New Roman;Times;serif" w:hAnsi="Times New Roman;Times;serif"/>
          <w:b/>
          <w:sz w:val="20"/>
        </w:rPr>
        <w:t>Initial Closing Date</w:t>
      </w:r>
      <w:r>
        <w:rPr>
          <w:rFonts w:ascii="Times New Roman;Times;serif" w:hAnsi="Times New Roman;Times;serif"/>
          <w:sz w:val="20"/>
        </w:rPr>
        <w:t>”) shall be 9:30 a.m., New York time, on the first (1st) Business Day (as defined below) on which the conditions to the Initial Closing set forth in Sections 6(a) and 7(a) below are satisfied or waived (or such other date as is mutually agreed to by the Company and each Buyer). As used herein “</w:t>
      </w:r>
      <w:r>
        <w:rPr>
          <w:rFonts w:ascii="Times New Roman;Times;serif" w:hAnsi="Times New Roman;Times;serif"/>
          <w:b/>
          <w:sz w:val="20"/>
        </w:rPr>
        <w:t>Business Day</w:t>
      </w:r>
      <w:r>
        <w:rPr>
          <w:rFonts w:ascii="Times New Roman;Times;serif" w:hAnsi="Times New Roman;Times;serif"/>
          <w:sz w:val="20"/>
        </w:rPr>
        <w:t>” means any day other than Saturday, Sunday or other day on which commercial banks in The City of New York, Cayman Islands, Hong Kong or mainland China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Cayman Islands, Hong Kong or mainland China generally are open for use by customers on such day.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Additional Closings at Buyer’s Election</w:t>
      </w:r>
      <w:r>
        <w:rPr>
          <w:rFonts w:ascii="Times New Roman;Times;serif" w:hAnsi="Times New Roman;Times;serif"/>
          <w:sz w:val="20"/>
        </w:rPr>
        <w:t>. Subject to the satisfaction (or waiver) of the conditions set forth in Sections 6(b) and 7(b) below (the “</w:t>
      </w:r>
      <w:r>
        <w:rPr>
          <w:rFonts w:ascii="Times New Roman;Times;serif" w:hAnsi="Times New Roman;Times;serif"/>
          <w:b/>
          <w:sz w:val="20"/>
        </w:rPr>
        <w:t>Additional Closing Conditions</w:t>
      </w:r>
      <w:r>
        <w:rPr>
          <w:rFonts w:ascii="Times New Roman;Times;serif" w:hAnsi="Times New Roman;Times;serif"/>
          <w:sz w:val="20"/>
        </w:rPr>
        <w:t>”), each Buyer, severally, shall have the right, exercisable by e-mail delivery of a written notice to the Company (each, an “</w:t>
      </w:r>
      <w:r>
        <w:rPr>
          <w:rFonts w:ascii="Times New Roman;Times;serif" w:hAnsi="Times New Roman;Times;serif"/>
          <w:b/>
          <w:sz w:val="20"/>
        </w:rPr>
        <w:t>Additional Buyer Optional Closing Notice</w:t>
      </w:r>
      <w:r>
        <w:rPr>
          <w:rFonts w:ascii="Times New Roman;Times;serif" w:hAnsi="Times New Roman;Times;serif"/>
          <w:sz w:val="20"/>
        </w:rPr>
        <w:t>”, and the date thereof, each an “</w:t>
      </w:r>
      <w:r>
        <w:rPr>
          <w:rFonts w:ascii="Times New Roman;Times;serif" w:hAnsi="Times New Roman;Times;serif"/>
          <w:b/>
          <w:sz w:val="20"/>
        </w:rPr>
        <w:t>Additional Buyer Optional Closing Notice Date</w:t>
      </w:r>
      <w:r>
        <w:rPr>
          <w:rFonts w:ascii="Times New Roman;Times;serif" w:hAnsi="Times New Roman;Times;serif"/>
          <w:sz w:val="20"/>
        </w:rPr>
        <w:t>”) to purchase, and to require the Company to sell to such Buyer, at one or more Additional Closings (each, an “</w:t>
      </w:r>
      <w:r>
        <w:rPr>
          <w:rFonts w:ascii="Times New Roman;Times;serif" w:hAnsi="Times New Roman;Times;serif"/>
          <w:b/>
          <w:sz w:val="20"/>
        </w:rPr>
        <w:t>Additional Buyer Optional Closing</w:t>
      </w:r>
      <w:r>
        <w:rPr>
          <w:rFonts w:ascii="Times New Roman;Times;serif" w:hAnsi="Times New Roman;Times;serif"/>
          <w:sz w:val="20"/>
        </w:rPr>
        <w:t>”), up to such maximum aggregate principal amount of Additional Notes as set forth opposite its name in column (4) on the Schedule of Buyers (less the aggregate principal amount of any Additional Notes sold to such Buyer at any Additional Company Optional Closings (as defined below)) (each, an “</w:t>
      </w:r>
      <w:r>
        <w:rPr>
          <w:rFonts w:ascii="Times New Roman;Times;serif" w:hAnsi="Times New Roman;Times;serif"/>
          <w:b/>
          <w:sz w:val="20"/>
        </w:rPr>
        <w:t>Additional Buyer Optional Notes Amount</w:t>
      </w:r>
      <w:r>
        <w:rPr>
          <w:rFonts w:ascii="Times New Roman;Times;serif" w:hAnsi="Times New Roman;Times;serif"/>
          <w:sz w:val="20"/>
        </w:rPr>
        <w:t>”); provided that, during the period commencing from the last day of the third (3</w:t>
      </w:r>
      <w:r>
        <w:rPr>
          <w:rFonts w:ascii="Times New Roman;Times;serif" w:hAnsi="Times New Roman;Times;serif"/>
          <w:sz w:val="15"/>
        </w:rPr>
        <w:t>rd</w:t>
      </w:r>
      <w:r>
        <w:rPr>
          <w:rFonts w:ascii="Times New Roman;Times;serif" w:hAnsi="Times New Roman;Times;serif"/>
          <w:sz w:val="20"/>
        </w:rPr>
        <w:t>) calendar month following the end of each Fiscal Year (as defined in the Notes) until the last day of the fourth (4</w:t>
      </w:r>
      <w:r>
        <w:rPr>
          <w:rFonts w:ascii="Times New Roman;Times;serif" w:hAnsi="Times New Roman;Times;serif"/>
          <w:sz w:val="15"/>
        </w:rPr>
        <w:t>th</w:t>
      </w:r>
      <w:r>
        <w:rPr>
          <w:rFonts w:ascii="Times New Roman;Times;serif" w:hAnsi="Times New Roman;Times;serif"/>
          <w:sz w:val="20"/>
        </w:rPr>
        <w:t>) calendar month following the end of such Fiscal Year, a Buyer shall only be entitled to deliver an Additional Buyer Optional Closing Notice upon the prior written approval of the Company. Each Additional Buyer Optional Closing Notice shall specify (x) the proposed date and time of the applicable Additional Closing (which, if unspecified in such Additional Buyer Optional Closing Notice, shall be the fifth (5</w:t>
      </w:r>
      <w:r>
        <w:rPr>
          <w:rFonts w:ascii="Times New Roman;Times;serif" w:hAnsi="Times New Roman;Times;serif"/>
          <w:sz w:val="15"/>
        </w:rPr>
        <w:t>th</w:t>
      </w:r>
      <w:r>
        <w:rPr>
          <w:rFonts w:ascii="Times New Roman;Times;serif" w:hAnsi="Times New Roman;Times;serif"/>
          <w:sz w:val="20"/>
        </w:rPr>
        <w:t>) Trading Day (as defined in the Notes) after such Additional Buyer Optional Closing Notice or such other date as is mutually agreed to by the Company and each Buyer, each, an “</w:t>
      </w:r>
      <w:r>
        <w:rPr>
          <w:rFonts w:ascii="Times New Roman;Times;serif" w:hAnsi="Times New Roman;Times;serif"/>
          <w:b/>
          <w:sz w:val="20"/>
        </w:rPr>
        <w:t>Additional Buyer Optional Closing Date</w:t>
      </w:r>
      <w:r>
        <w:rPr>
          <w:rFonts w:ascii="Times New Roman;Times;serif" w:hAnsi="Times New Roman;Times;serif"/>
          <w:sz w:val="20"/>
        </w:rPr>
        <w:t>,”) and (y) the applicable Additional Buyer Optional Notes Amount of the Additional Note to be issued to such Buyer at such Additional Closing, which amount shall be not less than $8,000,000 or such other amount that the Buyer and the Company may agree. The Buyers’ rights to effect any Additional Closings hereunder shall terminate upon the forty-eight (48) month anniversary of the Initial Closing Date that has occurred hereunder (or such earlier date as the Buyers shall determine, in their sole discretion, by delivery of a written notice to the Company) (the “</w:t>
      </w:r>
      <w:r>
        <w:rPr>
          <w:rFonts w:ascii="Times New Roman;Times;serif" w:hAnsi="Times New Roman;Times;serif"/>
          <w:b/>
          <w:sz w:val="20"/>
        </w:rPr>
        <w:t>Additional Closing Expiration Date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u w:val="single"/>
        </w:rPr>
        <w:t>Additional Closing at the Company’s Election</w:t>
      </w:r>
      <w:r>
        <w:rPr>
          <w:rFonts w:ascii="Times New Roman;Times;serif" w:hAnsi="Times New Roman;Times;serif"/>
          <w:sz w:val="20"/>
        </w:rPr>
        <w:t>. Subject to the satisfaction (or waiver) of the Additional Notice Conditions (as defined below) and the Additional Closing Conditions, the Company may deliver at any time after the fifth (5</w:t>
      </w:r>
      <w:r>
        <w:rPr>
          <w:rFonts w:ascii="Times New Roman;Times;serif" w:hAnsi="Times New Roman;Times;serif"/>
          <w:sz w:val="15"/>
        </w:rPr>
        <w:t>th</w:t>
      </w:r>
      <w:r>
        <w:rPr>
          <w:rFonts w:ascii="Times New Roman;Times;serif" w:hAnsi="Times New Roman;Times;serif"/>
          <w:sz w:val="20"/>
        </w:rPr>
        <w:t>) Trading Day after the last applicable Closing Date, a written notice (each, an “</w:t>
      </w:r>
      <w:r>
        <w:rPr>
          <w:rFonts w:ascii="Times New Roman;Times;serif" w:hAnsi="Times New Roman;Times;serif"/>
          <w:b/>
          <w:sz w:val="20"/>
        </w:rPr>
        <w:t>Additional Company Optional Closing Notice</w:t>
      </w:r>
      <w:r>
        <w:rPr>
          <w:rFonts w:ascii="Times New Roman;Times;serif" w:hAnsi="Times New Roman;Times;serif"/>
          <w:sz w:val="20"/>
        </w:rPr>
        <w:t>”, and together with each Additional Buyer Optional Closing Notice, each an “</w:t>
      </w:r>
      <w:r>
        <w:rPr>
          <w:rFonts w:ascii="Times New Roman;Times;serif" w:hAnsi="Times New Roman;Times;serif"/>
          <w:b/>
          <w:sz w:val="20"/>
        </w:rPr>
        <w:t>Additional Optional Closing Notice</w:t>
      </w:r>
      <w:r>
        <w:rPr>
          <w:rFonts w:ascii="Times New Roman;Times;serif" w:hAnsi="Times New Roman;Times;serif"/>
          <w:sz w:val="20"/>
        </w:rPr>
        <w:t>”, and the Additional Closing with respect to such Additional Company Optional Closing Notice, each, an “</w:t>
      </w:r>
      <w:r>
        <w:rPr>
          <w:rFonts w:ascii="Times New Roman;Times;serif" w:hAnsi="Times New Roman;Times;serif"/>
          <w:b/>
          <w:sz w:val="20"/>
        </w:rPr>
        <w:t>Additional Company Optional Closing</w:t>
      </w:r>
      <w:r>
        <w:rPr>
          <w:rFonts w:ascii="Times New Roman;Times;serif" w:hAnsi="Times New Roman;Times;serif"/>
          <w:sz w:val="20"/>
        </w:rPr>
        <w:t>”, and together with each Additional Buyer Optional Closing, each an “</w:t>
      </w:r>
      <w:r>
        <w:rPr>
          <w:rFonts w:ascii="Times New Roman;Times;serif" w:hAnsi="Times New Roman;Times;serif"/>
          <w:b/>
          <w:sz w:val="20"/>
        </w:rPr>
        <w:t>Additional Optional Closing</w:t>
      </w:r>
      <w:r>
        <w:rPr>
          <w:rFonts w:ascii="Times New Roman;Times;serif" w:hAnsi="Times New Roman;Times;serif"/>
          <w:sz w:val="20"/>
        </w:rPr>
        <w:t>”, and the date of any such Additional Company Optional Closing, the “</w:t>
      </w:r>
      <w:r>
        <w:rPr>
          <w:rFonts w:ascii="Times New Roman;Times;serif" w:hAnsi="Times New Roman;Times;serif"/>
          <w:b/>
          <w:sz w:val="20"/>
        </w:rPr>
        <w:t>Additional Company Optional Closing Date</w:t>
      </w:r>
      <w:r>
        <w:rPr>
          <w:rFonts w:ascii="Times New Roman;Times;serif" w:hAnsi="Times New Roman;Times;serif"/>
          <w:sz w:val="20"/>
        </w:rPr>
        <w:t>”, and together with each Additional Buyer Optional Closing Date, each an “</w:t>
      </w:r>
      <w:r>
        <w:rPr>
          <w:rFonts w:ascii="Times New Roman;Times;serif" w:hAnsi="Times New Roman;Times;serif"/>
          <w:b/>
          <w:sz w:val="20"/>
        </w:rPr>
        <w:t>Additional Optional Closing Date</w:t>
      </w:r>
      <w:r>
        <w:rPr>
          <w:rFonts w:ascii="Times New Roman;Times;serif" w:hAnsi="Times New Roman;Times;serif"/>
          <w:sz w:val="20"/>
        </w:rPr>
        <w:t>”) to require the issuance of up to such maximum aggregate principal amount of Additional Notes as set forth opposite its name in column (4) on the Schedule of Buyers (less the aggregate principal amount of any Additional Notes sold to such Buyer at any Additional Buyer Optional Closings) (the “</w:t>
      </w:r>
      <w:r>
        <w:rPr>
          <w:rFonts w:ascii="Times New Roman;Times;serif" w:hAnsi="Times New Roman;Times;serif"/>
          <w:b/>
          <w:sz w:val="20"/>
        </w:rPr>
        <w:t>Additional Company Optional Note Amount</w:t>
      </w:r>
      <w:r>
        <w:rPr>
          <w:rFonts w:ascii="Times New Roman;Times;serif" w:hAnsi="Times New Roman;Times;serif"/>
          <w:sz w:val="20"/>
        </w:rPr>
        <w:t>”) to the Buyers. The Additional Company Optional Closing Notice shall be executed by the chief executive officer or chief financial officer of the Company and shall (A) certify that the following conditions, if applicable, have been satisfied in full (collectively, the “</w:t>
      </w:r>
      <w:r>
        <w:rPr>
          <w:rFonts w:ascii="Times New Roman;Times;serif" w:hAnsi="Times New Roman;Times;serif"/>
          <w:b/>
          <w:sz w:val="20"/>
        </w:rPr>
        <w:t>Additional Notice Conditions</w:t>
      </w:r>
      <w:r>
        <w:rPr>
          <w:rFonts w:ascii="Times New Roman;Times;serif" w:hAnsi="Times New Roman;Times;serif"/>
          <w:sz w:val="20"/>
        </w:rPr>
        <w:t>”): (i) no Equity Conditions Failure (as defined in the Notes) exists (or detailing any such Equity Conditions Failure and specifying that no Additional Closing shall occur unless the Buyers waive such Equity Conditions Failure) as of the date of such Additional Company Optional Closing Notice (each, an “</w:t>
      </w:r>
      <w:r>
        <w:rPr>
          <w:rFonts w:ascii="Times New Roman;Times;serif" w:hAnsi="Times New Roman;Times;serif"/>
          <w:b/>
          <w:sz w:val="20"/>
        </w:rPr>
        <w:t>Additional Company Optional Closing Notice Date</w:t>
      </w:r>
      <w:r>
        <w:rPr>
          <w:rFonts w:ascii="Times New Roman;Times;serif" w:hAnsi="Times New Roman;Times;serif"/>
          <w:sz w:val="20"/>
        </w:rPr>
        <w:t>”, and together with each Additional Buyer Optional Closing Notice Date, each an “</w:t>
      </w:r>
      <w:r>
        <w:rPr>
          <w:rFonts w:ascii="Times New Roman;Times;serif" w:hAnsi="Times New Roman;Times;serif"/>
          <w:b/>
          <w:sz w:val="20"/>
        </w:rPr>
        <w:t>Additional Optional Closing Notice Date</w:t>
      </w:r>
      <w:r>
        <w:rPr>
          <w:rFonts w:ascii="Times New Roman;Times;serif" w:hAnsi="Times New Roman;Times;serif"/>
          <w:sz w:val="20"/>
        </w:rPr>
        <w:t>”), and (ii) the aggregate principal amount of Notes outstanding as of the Additional Company Optional Closing Notice Date is less than or equal to $5 million, (B) confirm the aggregate principal amount of the Additional Notes to be purchased by the Buyers at such Additional Closing, which shall not exceed, in the aggregate, $10 million, (C) attach the draft applicable additional Supplemental Indenture, and (D) set forth the proposed Additional Company Optional Closing Date (which shall be the fifth (5th) Trading Day after such Additional Company Optional Closing Notice Date or such other date as is mutually agreed to by the Company and each Buyer). Each Additional Company Optional Closing Notice shall be irrevocable. The Company’s rights to effect any Additional Company Optional Closings hereunder shall terminate upon the Additional Closing Expiration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u w:val="single"/>
        </w:rPr>
        <w:t>Additional Mutual Closings</w:t>
      </w:r>
      <w:r>
        <w:rPr>
          <w:rFonts w:ascii="Times New Roman;Times;serif" w:hAnsi="Times New Roman;Times;serif"/>
          <w:sz w:val="20"/>
        </w:rPr>
        <w:t>. At any time after the Initial Closing Date, the Company or any Buyer (as applicable, the “</w:t>
      </w:r>
      <w:r>
        <w:rPr>
          <w:rFonts w:ascii="Times New Roman;Times;serif" w:hAnsi="Times New Roman;Times;serif"/>
          <w:b/>
          <w:sz w:val="20"/>
        </w:rPr>
        <w:t>Initiating Party</w:t>
      </w:r>
      <w:r>
        <w:rPr>
          <w:rFonts w:ascii="Times New Roman;Times;serif" w:hAnsi="Times New Roman;Times;serif"/>
          <w:sz w:val="20"/>
        </w:rPr>
        <w:t>”) may deliver one or more written notices (each, an “</w:t>
      </w:r>
      <w:r>
        <w:rPr>
          <w:rFonts w:ascii="Times New Roman;Times;serif" w:hAnsi="Times New Roman;Times;serif"/>
          <w:b/>
          <w:sz w:val="20"/>
        </w:rPr>
        <w:t>Additional Mutual Closing Notice</w:t>
      </w:r>
      <w:r>
        <w:rPr>
          <w:rFonts w:ascii="Times New Roman;Times;serif" w:hAnsi="Times New Roman;Times;serif"/>
          <w:sz w:val="20"/>
        </w:rPr>
        <w:t>”, and together with each Additional Buyer Optional Closing Notice and each Additional Company Optional Closing Notice, each an “</w:t>
      </w:r>
      <w:r>
        <w:rPr>
          <w:rFonts w:ascii="Times New Roman;Times;serif" w:hAnsi="Times New Roman;Times;serif"/>
          <w:b/>
          <w:sz w:val="20"/>
        </w:rPr>
        <w:t>Additional Closing Notice</w:t>
      </w:r>
      <w:r>
        <w:rPr>
          <w:rFonts w:ascii="Times New Roman;Times;serif" w:hAnsi="Times New Roman;Times;serif"/>
          <w:sz w:val="20"/>
        </w:rPr>
        <w:t>”, and the date of each Additional Mutual Closing Notice, each, an “</w:t>
      </w:r>
      <w:r>
        <w:rPr>
          <w:rFonts w:ascii="Times New Roman;Times;serif" w:hAnsi="Times New Roman;Times;serif"/>
          <w:b/>
          <w:sz w:val="20"/>
        </w:rPr>
        <w:t>Additional Mutual Closing Notice Date</w:t>
      </w:r>
      <w:r>
        <w:rPr>
          <w:rFonts w:ascii="Times New Roman;Times;serif" w:hAnsi="Times New Roman;Times;serif"/>
          <w:sz w:val="20"/>
        </w:rPr>
        <w:t>”, and together with each Additional Buyer Optional Closing Notice Date and each Additional Company Optional Closing Notice Date, each an “</w:t>
      </w:r>
      <w:r>
        <w:rPr>
          <w:rFonts w:ascii="Times New Roman;Times;serif" w:hAnsi="Times New Roman;Times;serif"/>
          <w:b/>
          <w:sz w:val="20"/>
        </w:rPr>
        <w:t>Additional Closing Notice Date</w:t>
      </w:r>
      <w:r>
        <w:rPr>
          <w:rFonts w:ascii="Times New Roman;Times;serif" w:hAnsi="Times New Roman;Times;serif"/>
          <w:sz w:val="20"/>
        </w:rPr>
        <w:t>”) to the other party (the “</w:t>
      </w:r>
      <w:r>
        <w:rPr>
          <w:rFonts w:ascii="Times New Roman;Times;serif" w:hAnsi="Times New Roman;Times;serif"/>
          <w:b/>
          <w:sz w:val="20"/>
        </w:rPr>
        <w:t>Responding Party</w:t>
      </w:r>
      <w:r>
        <w:rPr>
          <w:rFonts w:ascii="Times New Roman;Times;serif" w:hAnsi="Times New Roman;Times;serif"/>
          <w:sz w:val="20"/>
        </w:rPr>
        <w:t>”), (A) requesting an Additional Closing (each, an “</w:t>
      </w:r>
      <w:r>
        <w:rPr>
          <w:rFonts w:ascii="Times New Roman;Times;serif" w:hAnsi="Times New Roman;Times;serif"/>
          <w:b/>
          <w:sz w:val="20"/>
        </w:rPr>
        <w:t>Additional Mutual Closing</w:t>
      </w:r>
      <w:r>
        <w:rPr>
          <w:rFonts w:ascii="Times New Roman;Times;serif" w:hAnsi="Times New Roman;Times;serif"/>
          <w:sz w:val="20"/>
        </w:rPr>
        <w:t>”, and together with the Additional Optional Closings, each an “</w:t>
      </w:r>
      <w:r>
        <w:rPr>
          <w:rFonts w:ascii="Times New Roman;Times;serif" w:hAnsi="Times New Roman;Times;serif"/>
          <w:b/>
          <w:sz w:val="20"/>
        </w:rPr>
        <w:t>Additional Closing</w:t>
      </w:r>
      <w:r>
        <w:rPr>
          <w:rFonts w:ascii="Times New Roman;Times;serif" w:hAnsi="Times New Roman;Times;serif"/>
          <w:sz w:val="20"/>
        </w:rPr>
        <w:t>”, and the date of any such Additional Mutual Closing, each an “</w:t>
      </w:r>
      <w:r>
        <w:rPr>
          <w:rFonts w:ascii="Times New Roman;Times;serif" w:hAnsi="Times New Roman;Times;serif"/>
          <w:b/>
          <w:sz w:val="20"/>
        </w:rPr>
        <w:t>Additional Mutual Closing Date</w:t>
      </w:r>
      <w:r>
        <w:rPr>
          <w:rFonts w:ascii="Times New Roman;Times;serif" w:hAnsi="Times New Roman;Times;serif"/>
          <w:sz w:val="20"/>
        </w:rPr>
        <w:t>”, and together with each Additional Optional Closing Date, each an “</w:t>
      </w:r>
      <w:r>
        <w:rPr>
          <w:rFonts w:ascii="Times New Roman;Times;serif" w:hAnsi="Times New Roman;Times;serif"/>
          <w:b/>
          <w:sz w:val="20"/>
        </w:rPr>
        <w:t>Additional Closing Date</w:t>
      </w:r>
      <w:r>
        <w:rPr>
          <w:rFonts w:ascii="Times New Roman;Times;serif" w:hAnsi="Times New Roman;Times;serif"/>
          <w:sz w:val="20"/>
        </w:rPr>
        <w:t>”) of such aggregate principal amount of the Additional Notes to be purchased by such applicable Buyer as set forth in such Additional Mutual Closing Notice (which, together with the aggregate principal amount of any Additional Notes issued at any prior Additional Mutual Closings, shall not exceed the maximum aggregate principal amount as set forth opposite such Buyer’s name in column (5) on the Schedule of Buyers), (B) if the Initiating Party is the Company, attaching the draft applicable additional Supplemental Indenture, and (C) setting forth the proposed Additional Mutual Closing Date. If a Responding Party fails to execute and return such Additional Mutual Closing Notice to the Initiating Party within five (5) Business Days of receipt, such Additional Mutual Closing Notice shall be automatically cancelled. For the avoidance of doubt, no Additional Mutual Closing shall occur hereunder unless both the Company and each such applicable Buyer shall have duly executed and delivered an Additional Mutual Closing Notice with respect thereto and no party shall be under any obligation to execute and deliver any Additional Mutual Closing Notice. Notwithstanding anything herein to the contrary, no Additional Mutual Closings shall occur hereunder from and after the Additional Closing Expiration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72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Purchase Price</w:t>
      </w:r>
      <w:r>
        <w:rPr>
          <w:rFonts w:ascii="Times New Roman;Times;serif" w:hAnsi="Times New Roman;Times;serif"/>
          <w:sz w:val="20"/>
        </w:rPr>
        <w:t>. The aggregate purchase price for the Initial Notes to be purchased by each Buyer (the “</w:t>
      </w:r>
      <w:r>
        <w:rPr>
          <w:rFonts w:ascii="Times New Roman;Times;serif" w:hAnsi="Times New Roman;Times;serif"/>
          <w:b/>
          <w:sz w:val="20"/>
        </w:rPr>
        <w:t>Initial Purchase Price</w:t>
      </w:r>
      <w:r>
        <w:rPr>
          <w:rFonts w:ascii="Times New Roman;Times;serif" w:hAnsi="Times New Roman;Times;serif"/>
          <w:sz w:val="20"/>
        </w:rPr>
        <w:t>”) shall be the amount set forth opposite such Buyer’s name in column (6) on the Schedule of Buyers. Each Buyer shall pay $1,000 for each $1,000 of principal amount of Initial Notes to be purchased by such Buyer at the Initial Closing. The aggregate purchase price for the Additional Notes to be purchased by each Buyer at any given Additional Closing (each, an “</w:t>
      </w:r>
      <w:r>
        <w:rPr>
          <w:rFonts w:ascii="Times New Roman;Times;serif" w:hAnsi="Times New Roman;Times;serif"/>
          <w:b/>
          <w:sz w:val="20"/>
        </w:rPr>
        <w:t>Additional Purchase Price</w:t>
      </w:r>
      <w:r>
        <w:rPr>
          <w:rFonts w:ascii="Times New Roman;Times;serif" w:hAnsi="Times New Roman;Times;serif"/>
          <w:sz w:val="20"/>
        </w:rPr>
        <w:t>”, and together with the Initial Purchase Price, each, a “</w:t>
      </w:r>
      <w:r>
        <w:rPr>
          <w:rFonts w:ascii="Times New Roman;Times;serif" w:hAnsi="Times New Roman;Times;serif"/>
          <w:b/>
          <w:sz w:val="20"/>
        </w:rPr>
        <w:t>Purchase Price</w:t>
      </w:r>
      <w:r>
        <w:rPr>
          <w:rFonts w:ascii="Times New Roman;Times;serif" w:hAnsi="Times New Roman;Times;serif"/>
          <w:sz w:val="20"/>
        </w:rPr>
        <w:t>”) shall be $1,000 for each $1,000 of aggregate principal amount of Additional Notes to be issued in such Additional Closing (which, together with the Additional Purchase Price of each prior Additional Closings, shall not exceed the aggregate amount set forth opposite such Buyer’s name in column (7) on the Schedule of Buyers).</w:t>
      </w:r>
    </w:p>
    <w:tbl>
      <w:tblPr>
        <w:tblW w:w="1713" w:type="dxa"/>
        <w:jc w:val="left"/>
        <w:tblInd w:w="0" w:type="dxa"/>
        <w:tblLayout w:type="fixed"/>
        <w:tblCellMar>
          <w:top w:w="0" w:type="dxa"/>
          <w:left w:w="0" w:type="dxa"/>
          <w:bottom w:w="0" w:type="dxa"/>
          <w:right w:w="0" w:type="dxa"/>
        </w:tblCellMar>
      </w:tblPr>
      <w:tblGrid>
        <w:gridCol w:w="23"/>
        <w:gridCol w:w="245"/>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4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Form of Payment</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On the Initial Closing Date, (i) each Buyer shall pay its respective Initial Purchase Price (less, in the case of any Buyer, the amounts withheld pursuant to Section 4(j)) to the Company for the Initial Notes to be issued and sold to such Buyer at the Initial Closing, by wire transfer of immediately available funds in accordance with the Initial Flow of Funds Letter (as defined below) and (ii) the Company shall deliver to each Buyer an Initial Note in the aggregate original principal amount as is set forth opposite such Buyer’s name in column (3) of the Schedule of Buyers duly executed on behalf of the Company and registered in the name of such Buyer or its designee.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On each applicable Additional Closing Date, (i) each Buyer participating in such Additional Closing shall pay its respective applicable Additional Purchase Price for such Additional Closing (less, in the case of any Buyer, the amounts withheld pursuant to Section 4(j)) to the Company for the Additional Notes to be issued and sold to such Buyer at such Additional Closing, by wire transfer of immediately available funds in accordance with the applicable Additional Flow of Funds Letter (as defined below) and (ii) the Company shall deliver to each such applicable Buyer an Additional Note in the aggregate original principal amount as is set forth in the applicable Additional Closing Notice to be issued to such Buyer, duly executed on behalf of the Company and registered in the name of such Buyer or its designee.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4840" w:type="dxa"/>
        <w:jc w:val="left"/>
        <w:tblInd w:w="0" w:type="dxa"/>
        <w:tblLayout w:type="fixed"/>
        <w:tblCellMar>
          <w:top w:w="0" w:type="dxa"/>
          <w:left w:w="0" w:type="dxa"/>
          <w:bottom w:w="0" w:type="dxa"/>
          <w:right w:w="0" w:type="dxa"/>
        </w:tblCellMar>
      </w:tblPr>
      <w:tblGrid>
        <w:gridCol w:w="170"/>
        <w:gridCol w:w="467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46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BUYER’S REPRESENTATIONS AND WARRANTIES.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Buyer, severally and not jointly, represents and warrants to the Company with respect to only itself that, as of the date hereof and as of each Closing Date in which such Buyer purchases any Notes hereunder,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Organization; Authority</w:t>
      </w:r>
      <w:r>
        <w:rPr>
          <w:rFonts w:ascii="Times New Roman;Times;serif" w:hAnsi="Times New Roman;Times;serif"/>
          <w:sz w:val="20"/>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Validity; Enforcement</w:t>
      </w:r>
      <w:r>
        <w:rPr>
          <w:rFonts w:ascii="Times New Roman;Times;serif" w:hAnsi="Times New Roman;Times;serif"/>
          <w:sz w:val="20"/>
        </w:rPr>
        <w:t>. This Agreement has been duly and validly authorized, executed and delivered on behalf of such Buyer and shall constitute the legal, valid and binding obligations of such Buyer enforceable against such Buyer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 Conflicts</w:t>
      </w:r>
      <w:r>
        <w:rPr>
          <w:rFonts w:ascii="Times New Roman;Times;serif" w:hAnsi="Times New Roman;Times;serif"/>
          <w:sz w:val="20"/>
        </w:rPr>
        <w:t>. The execution, delivery and performance by such Buyer of this Agreement and the consummation by such Buyer of the transactions contemplated hereby will not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Residency</w:t>
      </w:r>
      <w:r>
        <w:rPr>
          <w:rFonts w:ascii="Times New Roman;Times;serif" w:hAnsi="Times New Roman;Times;serif"/>
          <w:sz w:val="20"/>
        </w:rPr>
        <w:t>. Such Buyer is a resident of that jurisdiction specified below its address on the Schedule of Buyers.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Information</w:t>
      </w:r>
      <w:r>
        <w:rPr>
          <w:rFonts w:ascii="Times New Roman;Times;serif" w:hAnsi="Times New Roman;Times;serif"/>
          <w:sz w:val="20"/>
        </w:rPr>
        <w:t>. Such Buyer and its advisors, if any, have been furnished with all materials relating to the business, finances and operations of the Company and materials relating to the offer and sale of the Securities that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has sought such accounting, legal and tax advice as it has considered necessary to make an informed investment decision with respect to its acquisition of the Securities.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No Governmental Review</w:t>
      </w:r>
      <w:r>
        <w:rPr>
          <w:rFonts w:ascii="Times New Roman;Times;serif" w:hAnsi="Times New Roman;Times;serif"/>
          <w:sz w:val="20"/>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Certain Trading Activities</w:t>
      </w:r>
      <w:r>
        <w:rPr>
          <w:rFonts w:ascii="Times New Roman;Times;serif" w:hAnsi="Times New Roman;Times;serif"/>
          <w:sz w:val="20"/>
        </w:rPr>
        <w:t>. During the period commencing at the time that the Buyer was first contacted by the Company, or any other Person representing the Company, regarding the transactions contemplated hereby and ending immediately prior to the execution of this Agreement, none of the Buyer, any of its Affiliates or any entity managed or controlled by the Buyer has, directly or indirectly, executed any purchases or sales, including Short Sales, of any securities of the Company (including, without limitation, the ADSs), or any stock pledge, forward sales contract, option, put, call, swap or similar hedging arrangement (including on a total return basis) with respect to any securities of the Company (including, without limitation, the ADSs). As used in this Agreement, “</w:t>
      </w:r>
      <w:r>
        <w:rPr>
          <w:rFonts w:ascii="Times New Roman;Times;serif" w:hAnsi="Times New Roman;Times;serif"/>
          <w:b/>
          <w:sz w:val="20"/>
        </w:rPr>
        <w:t>Short Sales</w:t>
      </w:r>
      <w:r>
        <w:rPr>
          <w:rFonts w:ascii="Times New Roman;Times;serif" w:hAnsi="Times New Roman;Times;serif"/>
          <w:sz w:val="20"/>
        </w:rPr>
        <w:t>” means “short sales” as defined in Rule 200 promulgated under Regulation SHO under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Sufficiency and Source of Funds</w:t>
      </w:r>
      <w:r>
        <w:rPr>
          <w:rFonts w:ascii="Times New Roman;Times;serif" w:hAnsi="Times New Roman;Times;serif"/>
          <w:sz w:val="20"/>
        </w:rPr>
        <w:t>. The Buyer represents and warrants that (i) has sufficient cash or other sources of immediately available funds to consummate the transactions contemplated by the Transaction Documents, including the payment of the Purchase Price and the satisfaction of any other of its payment obligations to the extent arising under the Transaction Documents, and (ii) the source of such funds will not be derived from, or related to, any activity that is conducted in violation of the Money Laundering Laws (as defined below) or any applicable terrorist financing laws, regulations and conventions, nor, to such Buyer’s knowledge, will such funds be derived from any account or Person located in a jurisdiction that is named on any Sanction List (as defined below). “</w:t>
      </w:r>
      <w:r>
        <w:rPr>
          <w:rFonts w:ascii="Times New Roman;Times;serif" w:hAnsi="Times New Roman;Times;serif"/>
          <w:b/>
          <w:sz w:val="20"/>
        </w:rPr>
        <w:t>Money Laundering Laws</w:t>
      </w:r>
      <w:r>
        <w:rPr>
          <w:rFonts w:ascii="Times New Roman;Times;serif" w:hAnsi="Times New Roman;Times;serif"/>
          <w:sz w:val="20"/>
        </w:rPr>
        <w:t>” means applicable anti-money laundering statutes,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of jurisdictions where the relevant Person conducts business, the rules and regulations thereunder and any related or similar rules, regulations or guidelines, issued, administered or enforced by any governmental agency, and “</w:t>
      </w:r>
      <w:r>
        <w:rPr>
          <w:rFonts w:ascii="Times New Roman;Times;serif" w:hAnsi="Times New Roman;Times;serif"/>
          <w:b/>
          <w:sz w:val="20"/>
        </w:rPr>
        <w:t>Sanction Lists</w:t>
      </w:r>
      <w:r>
        <w:rPr>
          <w:rFonts w:ascii="Times New Roman;Times;serif" w:hAnsi="Times New Roman;Times;serif"/>
          <w:sz w:val="20"/>
        </w:rPr>
        <w:t>” means the Specially Designated Nationals and Blocked Persons List, the Foreign Sanctions Evaders List, the Sectoral Sanctions Identification List, or any other similar list of sanctioned persons administered by the U.S. Treasury Department’s Office of Foreign Assets Control, or any similar list of sanctioned persons administered by the European Union or any individual European Union member state, including the United Kingdom.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Office of Foreign Assets Control</w:t>
      </w:r>
      <w:r>
        <w:rPr>
          <w:rFonts w:ascii="Times New Roman;Times;serif" w:hAnsi="Times New Roman;Times;serif"/>
          <w:sz w:val="20"/>
        </w:rPr>
        <w:t>. Neither the Investor nor any of its director or officer, nor, to the Investor’s knowledge, any Person that owns a controlling interest in the Investor, is a Person that is (i) named on any Sanction List, nor (ii) located or organized in or resident of any Sanction Country. As used in this Agreement, “</w:t>
      </w:r>
      <w:r>
        <w:rPr>
          <w:rFonts w:ascii="Times New Roman;Times;serif" w:hAnsi="Times New Roman;Times;serif"/>
          <w:b/>
          <w:sz w:val="20"/>
        </w:rPr>
        <w:t>Sanction Country</w:t>
      </w:r>
      <w:r>
        <w:rPr>
          <w:rFonts w:ascii="Times New Roman;Times;serif" w:hAnsi="Times New Roman;Times;serif"/>
          <w:sz w:val="20"/>
        </w:rPr>
        <w:t>” means Crimea, Donetsk, and Luhansk regions of Ukraine, Cuba, Iran, North Korea, Sudan or Syria, or any other country or territory embargoed or subject to substantial trade restrictions by the United States, the European Union or any individual European Union member state, including the United Kingdom.</w:t>
      </w:r>
    </w:p>
    <w:tbl>
      <w:tblPr>
        <w:tblW w:w="5770" w:type="dxa"/>
        <w:jc w:val="left"/>
        <w:tblInd w:w="0" w:type="dxa"/>
        <w:tblLayout w:type="fixed"/>
        <w:tblCellMar>
          <w:top w:w="0" w:type="dxa"/>
          <w:left w:w="0" w:type="dxa"/>
          <w:bottom w:w="0" w:type="dxa"/>
          <w:right w:w="0" w:type="dxa"/>
        </w:tblCellMar>
      </w:tblPr>
      <w:tblGrid>
        <w:gridCol w:w="170"/>
        <w:gridCol w:w="560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56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REPRESENTATIONS AND WARRANTIES OF THE COMPANY.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represents and warrants to each of the Buyers that, except as set forth in the SEC Documents (other than the representations and warranties set forth in Section 3(a) through and including Section 3(e), which shall be qualified only to the extent explicitly set forth in such sections), the following representations are true and correct as of the date hereof and as of each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Organization and Qualification</w:t>
      </w:r>
      <w:r>
        <w:rPr>
          <w:rFonts w:ascii="Times New Roman;Times;serif" w:hAnsi="Times New Roman;Times;serif"/>
          <w:sz w:val="20"/>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Times;serif" w:hAnsi="Times New Roman;Times;serif"/>
          <w:b/>
          <w:sz w:val="20"/>
        </w:rPr>
        <w:t>Material Adverse Effect</w:t>
      </w:r>
      <w:r>
        <w:rPr>
          <w:rFonts w:ascii="Times New Roman;Times;serif" w:hAnsi="Times New Roman;Times;serif"/>
          <w:sz w:val="20"/>
        </w:rPr>
        <w:t>” means any material adverse effect on (i) the business, properties, assets, liabilities, operations (including results thereof), condition (financial or otherwise) or prospects of the Company or any Subsidiary (as defined below),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Subsidiaries and Affiliated Entities</w:t>
      </w:r>
      <w:r>
        <w:rPr>
          <w:rFonts w:ascii="Times New Roman;Times;serif" w:hAnsi="Times New Roman;Times;serif"/>
          <w:sz w:val="20"/>
        </w:rPr>
        <w:t>. Each of the Company’s direct and indirect subsidiaries as defined under Rule 405 that meets the definition of “significant subsidiary” in Article 1, Rule 1-02 of Regulation S-X under the Exchange Act (each a “</w:t>
      </w:r>
      <w:r>
        <w:rPr>
          <w:rFonts w:ascii="Times New Roman;Times;serif" w:hAnsi="Times New Roman;Times;serif"/>
          <w:b/>
          <w:sz w:val="20"/>
        </w:rPr>
        <w:t>Subsidiary</w:t>
      </w:r>
      <w:r>
        <w:rPr>
          <w:rFonts w:ascii="Times New Roman;Times;serif" w:hAnsi="Times New Roman;Times;serif"/>
          <w:sz w:val="20"/>
        </w:rPr>
        <w:t>” and collectively, the “</w:t>
      </w:r>
      <w:r>
        <w:rPr>
          <w:rFonts w:ascii="Times New Roman;Times;serif" w:hAnsi="Times New Roman;Times;serif"/>
          <w:b/>
          <w:sz w:val="20"/>
        </w:rPr>
        <w:t>Subsidiaries</w:t>
      </w:r>
      <w:r>
        <w:rPr>
          <w:rFonts w:ascii="Times New Roman;Times;serif" w:hAnsi="Times New Roman;Times;serif"/>
          <w:sz w:val="20"/>
        </w:rPr>
        <w:t xml:space="preserve">”) as of the date hereof has been identified on </w:t>
      </w:r>
      <w:r>
        <w:rPr>
          <w:rFonts w:ascii="Times New Roman;Times;serif" w:hAnsi="Times New Roman;Times;serif"/>
          <w:sz w:val="20"/>
          <w:u w:val="single"/>
        </w:rPr>
        <w:t>Schedule 3(a)(i)</w:t>
      </w:r>
      <w:r>
        <w:rPr>
          <w:rFonts w:ascii="Times New Roman;Times;serif" w:hAnsi="Times New Roman;Times;serif"/>
          <w:sz w:val="20"/>
        </w:rPr>
        <w:t xml:space="preserve"> hereto. Except as set forth in the SEC Documents, each of the Subsidiaries has been duly incorporated, is validly existing as a corporation in good standing under the laws of the jurisdiction of its incorporation, has the corporate power and authority to own its property and to conduct its business; all of the equity interests of each Subsidiary have been duly and validly authorized and issued, are owned directly or indirectly by the Company, are fully paid and non-assessable and, are free and clear of all liens, encumbrances, equities or claims. None of the outstanding share capital or equity interest in any Subsidiary was issued in violation of pre-emptive or similar rights of any security holder of such Subsidiary. All of the constitutive or organizational documents of each of the Subsidiaries comply with the requirements of applicable laws of its jurisdiction of incorporation or organization and are in full force and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720" w:right="0" w:firstLine="720"/>
        <w:jc w:val="both"/>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Company has no Affiliated Entities. As used in this Agreement, “</w:t>
      </w:r>
      <w:r>
        <w:rPr>
          <w:rFonts w:ascii="Times New Roman;Times;serif" w:hAnsi="Times New Roman;Times;serif"/>
          <w:b/>
          <w:sz w:val="20"/>
        </w:rPr>
        <w:t>Affiliated Entities</w:t>
      </w:r>
      <w:r>
        <w:rPr>
          <w:rFonts w:ascii="Times New Roman;Times;serif" w:hAnsi="Times New Roman;Times;serif"/>
          <w:sz w:val="20"/>
        </w:rPr>
        <w:t>” means the consolidated entities which the Company controls and through which the Company conducts its operations in the People’s Republic of China (“</w:t>
      </w:r>
      <w:r>
        <w:rPr>
          <w:rFonts w:ascii="Times New Roman;Times;serif" w:hAnsi="Times New Roman;Times;serif"/>
          <w:b/>
          <w:sz w:val="20"/>
        </w:rPr>
        <w:t>PRC</w:t>
      </w:r>
      <w:r>
        <w:rPr>
          <w:rFonts w:ascii="Times New Roman;Times;serif" w:hAnsi="Times New Roman;Times;serif"/>
          <w:sz w:val="20"/>
        </w:rPr>
        <w:t>”) by way of contractual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Authorization; Enforcement; Validity</w:t>
      </w:r>
      <w:r>
        <w:rPr>
          <w:rFonts w:ascii="Times New Roman;Times;serif" w:hAnsi="Times New Roman;Times;serif"/>
          <w:sz w:val="20"/>
        </w:rPr>
        <w:t>. The Company has the requisite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Notes and the reservation for issuance and issuance of the Conversion Shares and the Conversion ADSs) have been duly authorized by the Company’s board of directors and each of its Subsidiaries’ board of directors or other governing body, as applicable, and (other than (i) the filing with the SEC of (A) the applicable 6-K Filing (as defined below), (B) the Indenture (and/or any amendment or supplement thereto), (C) a Form T-1, (D) a prospectus supplement in connection with the applicable Closing as required by the Registration Statement pursuant to Rule 424(b) under the 1933 Act (the “</w:t>
      </w:r>
      <w:r>
        <w:rPr>
          <w:rFonts w:ascii="Times New Roman;Times;serif" w:hAnsi="Times New Roman;Times;serif"/>
          <w:b/>
          <w:sz w:val="20"/>
        </w:rPr>
        <w:t>Prospectus Supplement</w:t>
      </w:r>
      <w:r>
        <w:rPr>
          <w:rFonts w:ascii="Times New Roman;Times;serif" w:hAnsi="Times New Roman;Times;serif"/>
          <w:sz w:val="20"/>
        </w:rPr>
        <w:t>”) supplementing the base prospectus forming part of the Registration Statement (the “</w:t>
      </w:r>
      <w:r>
        <w:rPr>
          <w:rFonts w:ascii="Times New Roman;Times;serif" w:hAnsi="Times New Roman;Times;serif"/>
          <w:b/>
          <w:sz w:val="20"/>
        </w:rPr>
        <w:t>Prospectus</w:t>
      </w:r>
      <w:r>
        <w:rPr>
          <w:rFonts w:ascii="Times New Roman;Times;serif" w:hAnsi="Times New Roman;Times;serif"/>
          <w:sz w:val="20"/>
        </w:rPr>
        <w:t>”), and (E) any other filings as may be required by any state securities agencies and the China Securities Regulatory Commission (“</w:t>
      </w:r>
      <w:r>
        <w:rPr>
          <w:rFonts w:ascii="Times New Roman;Times;serif" w:hAnsi="Times New Roman;Times;serif"/>
          <w:b/>
          <w:sz w:val="20"/>
        </w:rPr>
        <w:t>CSRC</w:t>
      </w:r>
      <w:r>
        <w:rPr>
          <w:rFonts w:ascii="Times New Roman;Times;serif" w:hAnsi="Times New Roman;Times;serif"/>
          <w:sz w:val="20"/>
        </w:rPr>
        <w:t>”) (collectively, the “</w:t>
      </w:r>
      <w:r>
        <w:rPr>
          <w:rFonts w:ascii="Times New Roman;Times;serif" w:hAnsi="Times New Roman;Times;serif"/>
          <w:b/>
          <w:sz w:val="20"/>
        </w:rPr>
        <w:t>Required Approvals</w:t>
      </w:r>
      <w:r>
        <w:rPr>
          <w:rFonts w:ascii="Times New Roman;Times;serif" w:hAnsi="Times New Roman;Times;serif"/>
          <w:sz w:val="20"/>
        </w:rPr>
        <w:t>”)) no further filing, consent or authorization is required by the Company, its Subsidiaries, their respective boards of directors or their shareholders or other governing body. This Agreement has been, and the other Transaction Documents to which it is a party will be prior to such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Times;serif" w:hAnsi="Times New Roman;Times;serif"/>
          <w:b/>
          <w:sz w:val="20"/>
        </w:rPr>
        <w:t>Transaction Documents</w:t>
      </w:r>
      <w:r>
        <w:rPr>
          <w:rFonts w:ascii="Times New Roman;Times;serif" w:hAnsi="Times New Roman;Times;serif"/>
          <w:sz w:val="20"/>
        </w:rPr>
        <w:t>” means, collectively, this Agreement, the Notes, the Indenture, the Supplemental Indentures, the Custodian Agreements, the Leak-Out Agreement (as defined below), the Administrative Fee Letter (as defined below) and each of the other agreements and instruments entered into or delivered by any of the parties hereto in connection with the transactions contemplated hereby and thereby, as may be amended from time to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Issuance of Securities; Registration Statement; ADS Registration Statements</w:t>
      </w:r>
      <w:r>
        <w:rPr>
          <w:rFonts w:ascii="Times New Roman;Times;serif" w:hAnsi="Times New Roman;Times;serif"/>
          <w:sz w:val="20"/>
        </w:rPr>
        <w:t>. The issuance of the Notes are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Times;serif" w:hAnsi="Times New Roman;Times;serif"/>
          <w:b/>
          <w:sz w:val="20"/>
        </w:rPr>
        <w:t>Liens</w:t>
      </w:r>
      <w:r>
        <w:rPr>
          <w:rFonts w:ascii="Times New Roman;Times;serif" w:hAnsi="Times New Roman;Times;serif"/>
          <w:sz w:val="20"/>
        </w:rPr>
        <w:t>”) with respect to the issuance thereof. As of each Closing, the Company shall have reserved from its duly authorized share capital not less than the Required Reserve Amount (as defined below). As of each Closing, the Company shall have sufficient ADSs registered under one or more effective registration statements on Form F-6, which may be the ADS Registration Statements, taking into account treasury ADSs reserved in the Treasury Reserve (as defined below), to effect the issuance in full of the Conversion ADSs representing the Required Reserve Amount of Ordinary Shares issuable (or transfer of treasury ADSs from the Treasury Reserve, as applicable) upon conversion of the Notes to be issued in the applicable Closing and any Notes outstanding as of such applicable Closing, if any. Upon issuance or conversion in accordance with this Agreement and/or the Notes, as applicable, and the Conversion Shares (and the Conversion ADSs), when issued, will be validly issued, fully paid and nonassessable and free from all preemptive or similar rights or Liens with respect to the issue thereof, with the holders being entitled to all rights accorded to a holder of existing ADSs representing Ordinary Shares. The ADS Registration Statements are effective and the Company has not received any notice that the SEC has issued or intends to issue a stop-order with respect to either of the ADS Registration Statements or that the SEC otherwise has suspended or withdrawn the effectiveness of the ADS Registration Statements, either temporarily or permanently, or intends or has threatened in writing to do so. The issuance by the Company of the Securities has been registered under the 1933 Act, the Securities are being issued pursuant to the Registration Statement and all of the Securities are freely transferable and freely tradable by each of the Buyers without restriction, whether by way of registration or some exemption therefrom, assuming the accuracy of the representations and warranties of the Buyers in this Agreement. The Registration Statement is effective and available for the issuance of the Securities thereunder and the Company has not received any notice that the SEC has issued or intends to issue a stop-order with respect to the Registration Statement or that the SEC otherwise has suspended or withdrawn the effectiveness of the Registration Statement, either temporarily or permanently, or intends or has threatened in writing to do so. The “Plan of Distribution” section of the Prospectus (as supplemented by the Prospectus Supplement) permits the issuance and sale of the Securities hereunder and as contemplated by the other Transaction Documents. Upon receipt of the Securities, each of the Buyers will have good and marketable title to the Securities. The Registration Statement and any prospectus included therein, including the Prospectus and the Prospectus Supplement, complied in all material respects with the requirements of the 1933 Act and the Securities Exchange Act of 1934, as amended (the “</w:t>
      </w:r>
      <w:r>
        <w:rPr>
          <w:rFonts w:ascii="Times New Roman;Times;serif" w:hAnsi="Times New Roman;Times;serif"/>
          <w:b/>
          <w:sz w:val="20"/>
        </w:rPr>
        <w:t>1934 Act</w:t>
      </w:r>
      <w:r>
        <w:rPr>
          <w:rFonts w:ascii="Times New Roman;Times;serif" w:hAnsi="Times New Roman;Times;serif"/>
          <w:sz w:val="20"/>
        </w:rPr>
        <w:t>”) and the rules and regulations of the SEC promulgated thereunder and all other applicable laws and regulations. At the time the Registration Statement and any amendments thereto became effective, at the date of this Agreement and at each deemed effective date thereof pursuant to Rule 430B(f)(2) of the 1933 Act, the Registration Statement and any amendments thereto complied and will comply in all material respects with the requirements of the 1933 Act and did not and will not contain any untrue statement of a material fact or omit to state any material fact required to be stated therein or necessary to make the statements therein not misleading. The Prospectus and any amendments or supplements thereto (including, without limitation the Prospectus Supplement), at the time the Prospectus or any amendment or supplement thereto was issued and at the applicable Closing Date, complied, and will comply, in all material respects with the requirements of the 1933 Act and did not, and will not, contain any untrue statement of a material fact or omit to state a material fact necessary in order to make the statements therein, in light of the circumstances under which they were made, not misleading. The Company meets all of the requirements for the use of Form F-3 under the 1933 Act for the offering and sale of the Securities contemplated by this Agreement and the other Transaction Documents, and the SEC has not notified the Company of any objection to the use of the form of the Registration Statement pursuant to Rule 401(g)(1) under the 1933 Act.</w:t>
      </w:r>
    </w:p>
    <w:p>
      <w:pPr>
        <w:pStyle w:val="TextBody"/>
        <w:bidi w:val="0"/>
        <w:spacing w:before="0" w:after="12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Registration Statement meets the requirements set forth in Rule 415(a)(1)(x) under the 1933 Act. At the earliest time after the filing of the Registration Statement that the Company or another offering participant made a bona fide offer (within the meaning of Rule 164(h)(2) under the 1933 Act) relating to any of the Securities, the Company was not and is not an “Ineligible Issuer” (as defined in Rule 405 under the 1933 Act). The Company (i) has not distributed any offering material in connection with the offer or sale of any of the Securities and (ii) until no Buyer holds any of the Securities, shall not distribute any offering material in connection with the offer or sale of any of the Securities to, or by, any of the Buyers (if required), in each case, other than the Registration Statement, the Prospectus or the Prospectus Supplement. In accordance with Rule 5110(b)(7)(C)(i) of the Financial Industry Regulatory Authority Manual, the offering of the Securities has been registered with the SEC on Form F-3 under the 1933 Act pursuant to the standards for Form F-3 in effect prior to October 21, 1992, and the Securities are being offered pursuant to Rule 415 promulgated under the 1933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 Conflicts</w:t>
      </w:r>
      <w:r>
        <w:rPr>
          <w:rFonts w:ascii="Times New Roman;Times;serif" w:hAnsi="Times New Roman;Times;serif"/>
          <w:sz w:val="20"/>
        </w:rPr>
        <w:t>. The execution, delivery and performance of the Transaction Documents by the Company and the consummation by the Company of the transactions contemplated hereby and thereby (including, without limitation, the issuance of the Notes and the reservation for issuance and issuance of the Conversion Shares and the Conversion ADSs) will not (i) result in a violation of the certificate of incorporation, as may be amended from time to time, of the Company, the Memorandum and Articles of Association (as defined below), or the certificate of formation, memorandum of association, articles of association, bylaws or other organizational documents of the Company or any of its Subsidiaries, or any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Global Select Market (the “</w:t>
      </w:r>
      <w:r>
        <w:rPr>
          <w:rFonts w:ascii="Times New Roman;Times;serif" w:hAnsi="Times New Roman;Times;serif"/>
          <w:b/>
          <w:sz w:val="20"/>
        </w:rPr>
        <w:t>Principal Market</w:t>
      </w:r>
      <w:r>
        <w:rPr>
          <w:rFonts w:ascii="Times New Roman;Times;serif" w:hAnsi="Times New Roman;Times;serif"/>
          <w:sz w:val="20"/>
        </w:rPr>
        <w:t>”) and including all applicable foreign, federal and state laws, rules and regulations, including, without limitation, the laws, rules and regulations of the Cayman Islands or PRC applicable to the Company or any of its Subsidiaries or by which any property or asset of the Company or any of its Subsidiaries is bound or affected), except, in the case of clauses (ii) and (iii), as would not, individually or in the aggregate,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Consents</w:t>
      </w:r>
      <w:r>
        <w:rPr>
          <w:rFonts w:ascii="Times New Roman;Times;serif" w:hAnsi="Times New Roman;Times;serif"/>
          <w:sz w:val="20"/>
        </w:rPr>
        <w:t>. Neither the Company nor any Subsidiary is required to obtain any consent from, authorization or order of, or make any filing or registration with (other than the Required Approvals),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such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ADSs in the foreseeable future. “</w:t>
      </w:r>
      <w:r>
        <w:rPr>
          <w:rFonts w:ascii="Times New Roman;Times;serif" w:hAnsi="Times New Roman;Times;serif"/>
          <w:b/>
          <w:sz w:val="20"/>
        </w:rPr>
        <w:t>Governmental Entity</w:t>
      </w:r>
      <w:r>
        <w:rPr>
          <w:rFonts w:ascii="Times New Roman;Times;serif" w:hAnsi="Times New Roman;Times;serif"/>
          <w:sz w:val="20"/>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Acknowledgment Regarding Buyer’s Purchase of Securities</w:t>
      </w:r>
      <w:r>
        <w:rPr>
          <w:rFonts w:ascii="Times New Roman;Times;serif" w:hAnsi="Times New Roman;Times;serif"/>
          <w:sz w:val="20"/>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(ii) to its knowledge, an “affiliate” (as defined in Rule 144) of the Company or any of its Subsidiaries or (iii) to its knowledge, a “beneficial owner” of more than 10% of the Ordinary Shares (including, without limitation, any Ordinary Shares underlying any ADSs then outstanding) (as defined for purposes of Rule 13d-3 of the 1934 Act).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Placement Agent’s Fees</w:t>
      </w:r>
      <w:r>
        <w:rPr>
          <w:rFonts w:ascii="Times New Roman;Times;serif" w:hAnsi="Times New Roman;Times;serif"/>
          <w:sz w:val="20"/>
        </w:rPr>
        <w:t>. The Company shall be responsible for the payment of any placement agent’s fees, financial advisory fees, or brokers’ commissions (other than for Persons engaged by any Buyer or its investment advisor) relating to or arising out of the transactions contemplated hereby. The Company shall pay, and hold each Buyer harmless against, any liability, loss or expense (including, without limitation, attorney’s fees and out-of-pocket expenses) arising in connection with any such claim (other than from Persons engaged by any Buyer or its investment advisor). Neither the Company nor any of its Subsidiaries has engaged any placement agent or other agent in connection with the offer or sale of the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No Integrated Offering</w:t>
      </w:r>
      <w:r>
        <w:rPr>
          <w:rFonts w:ascii="Times New Roman;Times;serif" w:hAnsi="Times New Roman;Times;serif"/>
          <w:sz w:val="20"/>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shareholders of the Company under any applicable shareholder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Dilutive Effect</w:t>
      </w:r>
      <w:r>
        <w:rPr>
          <w:rFonts w:ascii="Times New Roman;Times;serif" w:hAnsi="Times New Roman;Times;serif"/>
          <w:sz w:val="20"/>
        </w:rPr>
        <w:t>. The Company understands and acknowledges that the number of Conversion Shares could increase in certain circumstances. The Company further acknowledges that its obligation to issue the Conversion Shares pursuant to the terms of the Notes in accordance with this Agreement and the Notes is, in each case, absolute and unconditional regardless of the dilutive effect that such issuance may have on the ownership interests of other shareholders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Application of Takeover Protections; Rights Agreement</w:t>
      </w:r>
      <w:r>
        <w:rPr>
          <w:rFonts w:ascii="Times New Roman;Times;serif" w:hAnsi="Times New Roman;Times;serif"/>
          <w:sz w:val="20"/>
        </w:rPr>
        <w:t>. The Company and its board of directors have taken all necessary action, if any, in order to render inapplicable any control share acquisition, interested shareholder, business combination, poison pill (including, without limitation, any distribution under a rights agreement), shareholder rights plan or other similar anti-takeover provision under the Memorandum and Articles of Association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shareholder rights plan or similar arrangement relating to accumulations of beneficial ownership of Ordinary Shares (including, without limitation, any Ordinary Shares underlying any ADSs then outstanding) or ADSs or a change in control of the Company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SEC Documents; Financial Statements</w:t>
      </w:r>
      <w:r>
        <w:rPr>
          <w:rFonts w:ascii="Times New Roman;Times;serif" w:hAnsi="Times New Roman;Times;serif"/>
          <w:sz w:val="20"/>
        </w:rPr>
        <w:t>. During the two (2) years prior to the date hereof, the Company has timely filed all reports, schedules, forms, proxy statements, statements and other documents required to be filed or furnished by it with the SEC pursuant to the reporting requirements of the 1934 Act (all of the reports, schedules, registrations, forms, statements, information and other documents filed with or furnished to the SEC by the Company and which hereafter may be filed with or furnished to the SEC by the Company, together with all exhibits and appendices included therein and financial statements, notes and schedules thereto and documents incorporated by reference therein being hereinafter referred to as the “</w:t>
      </w:r>
      <w:r>
        <w:rPr>
          <w:rFonts w:ascii="Times New Roman;Times;serif" w:hAnsi="Times New Roman;Times;serif"/>
          <w:b/>
          <w:sz w:val="20"/>
        </w:rPr>
        <w:t>SEC Documents</w:t>
      </w:r>
      <w:r>
        <w:rPr>
          <w:rFonts w:ascii="Times New Roman;Times;serif" w:hAnsi="Times New Roman;Times;serif"/>
          <w:sz w:val="20"/>
        </w:rPr>
        <w:t>”). The Company has delivered or has made available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Times;serif" w:hAnsi="Times New Roman;Times;serif"/>
          <w:b/>
          <w:sz w:val="20"/>
        </w:rPr>
        <w:t>GAAP</w:t>
      </w:r>
      <w:r>
        <w:rPr>
          <w:rFonts w:ascii="Times New Roman;Times;serif" w:hAnsi="Times New Roman;Times;serif"/>
          <w:sz w:val="20"/>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any of the Buyers which is not included in the SEC Documents (including, without limitation, information referred to in Section 2(e)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Times;serif" w:hAnsi="Times New Roman;Times;serif"/>
          <w:b/>
          <w:sz w:val="20"/>
        </w:rPr>
        <w:t>Financial Statements</w:t>
      </w:r>
      <w:r>
        <w:rPr>
          <w:rFonts w:ascii="Times New Roman;Times;serif" w:hAnsi="Times New Roman;Times;serif"/>
          <w:sz w:val="20"/>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Absence of Certain Changes</w:t>
      </w:r>
      <w:r>
        <w:rPr>
          <w:rFonts w:ascii="Times New Roman;Times;serif" w:hAnsi="Times New Roman;Times;serif"/>
          <w:sz w:val="20"/>
        </w:rPr>
        <w:t>. Since the date of the Company’s most recent audited financial statements contained in a Form 20-F,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20-F, neither the Company nor any of its Subsidiaries has (i) declared or paid any dividends, (ii) 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No Undisclosed Events, Liabilities, Developments or Circumstances</w:t>
      </w:r>
      <w:r>
        <w:rPr>
          <w:rFonts w:ascii="Times New Roman;Times;serif" w:hAnsi="Times New Roman;Times;serif"/>
          <w:sz w:val="20"/>
        </w:rPr>
        <w:t>.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F-3 filed with the SEC relating to an issuance and sale by the Company of its Ordinary Shares and/or ADSs, as applicable, and which has not been publicly announced, (ii) could have a material adverse effect on any Buyer’s investment hereunder or (iii) could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Conduct of Business; Regulatory Permits</w:t>
      </w:r>
      <w:r>
        <w:rPr>
          <w:rFonts w:ascii="Times New Roman;Times;serif" w:hAnsi="Times New Roman;Times;serif"/>
          <w:sz w:val="20"/>
        </w:rPr>
        <w:t>. Neither the Company nor any of its Subsidiaries is in violation of any term of or in default under its Articles of Association, any certificate of designation, preferences or rights of any other outstanding series of preferred shares of the Company or any of its Subsidiaries or Memorandum of Association or their organizational charter, certificate of formation, memorandum of association, articles of association, Articles of Association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Without limiting the generality of the foregoing, the Company is not in violation of any of the rules, regulations or requirements of the Principal Market and has no knowledge of any facts or circumstances that could reasonably lead to delisting or suspension of the ADSs by the Principal Market in the foreseeable future. During the two years prior to the date hereof, (i) the ADSs has been listed or designated for quotation on the Principal Market, (ii) trading in the ADSs has not been suspended by the SEC or the Principal Market and (iii) the Company has received no communication, written or oral, from the SEC or the Principal Market regarding the suspension or delisting of the ADSs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Foreign Corrupt Practices</w:t>
      </w:r>
      <w:r>
        <w:rPr>
          <w:rFonts w:ascii="Times New Roman;Times;serif" w:hAnsi="Times New Roman;Times;serif"/>
          <w:sz w:val="20"/>
        </w:rPr>
        <w:t>. In the past five (5) years, neither the Company, the Company’s Subsidiary or any director, or (to the knowledge of the Company) officer, agent, employee, nor any other person acting for or on behalf of the foregoing (individually and collectively, a “</w:t>
      </w:r>
      <w:r>
        <w:rPr>
          <w:rFonts w:ascii="Times New Roman;Times;serif" w:hAnsi="Times New Roman;Times;serif"/>
          <w:b/>
          <w:sz w:val="20"/>
        </w:rPr>
        <w:t>Company Affiliate</w:t>
      </w:r>
      <w:r>
        <w:rPr>
          <w:rFonts w:ascii="Times New Roman;Times;serif" w:hAnsi="Times New Roman;Times;serif"/>
          <w:sz w:val="20"/>
        </w:rPr>
        <w:t>”) have violated the U.S. Foreign Corrupt Practices Act (the “</w:t>
      </w:r>
      <w:r>
        <w:rPr>
          <w:rFonts w:ascii="Times New Roman;Times;serif" w:hAnsi="Times New Roman;Times;serif"/>
          <w:b/>
          <w:sz w:val="20"/>
        </w:rPr>
        <w:t>FCPA</w:t>
      </w:r>
      <w:r>
        <w:rPr>
          <w:rFonts w:ascii="Times New Roman;Times;serif" w:hAnsi="Times New Roman;Times;serif"/>
          <w:sz w:val="20"/>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Times;serif" w:hAnsi="Times New Roman;Times;serif"/>
          <w:b/>
          <w:sz w:val="20"/>
        </w:rPr>
        <w:t>Government Official</w:t>
      </w:r>
      <w:r>
        <w:rPr>
          <w:rFonts w:ascii="Times New Roman;Times;serif" w:hAnsi="Times New Roman;Times;serif"/>
          <w:sz w:val="20"/>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pStyle w:val="TextBody"/>
        <w:bidi w:val="0"/>
        <w:spacing w:before="0" w:after="240"/>
        <w:ind w:left="720" w:right="0" w:firstLine="1440"/>
        <w:jc w:val="left"/>
        <w:rPr>
          <w:rFonts w:ascii="Times New Roman;Times;serif" w:hAnsi="Times New Roman;Times;serif"/>
          <w:sz w:val="20"/>
        </w:rPr>
      </w:pPr>
      <w:r>
        <w:rPr>
          <w:rFonts w:ascii="Times New Roman;Times;serif" w:hAnsi="Times New Roman;Times;serif"/>
          <w:sz w:val="20"/>
        </w:rPr>
        <w:t>(ii)assisting the Company or its Subsidiaries in obtaining or retaining business for or with, or directing business to, the Company or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u w:val="single"/>
        </w:rPr>
        <w:t>Sarbanes-Oxley Act</w:t>
      </w:r>
      <w:r>
        <w:rPr>
          <w:rFonts w:ascii="Times New Roman;Times;serif" w:hAnsi="Times New Roman;Times;serif"/>
          <w:sz w:val="20"/>
        </w:rPr>
        <w:t>. The Company and each Subsidiary is in compliance with any and all applicable requirements of the Sarbanes-Oxley Act of 2002, as amended, and any and all applicable rules and regulations promulgated by the SEC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u w:val="single"/>
        </w:rPr>
        <w:t>Transactions With Affiliates</w:t>
      </w:r>
      <w:r>
        <w:rPr>
          <w:rFonts w:ascii="Times New Roman;Times;serif" w:hAnsi="Times New Roman;Times;serif"/>
          <w:sz w:val="20"/>
        </w:rPr>
        <w:t>. Except as would not reasonably result (or with the passage of time, would reasonably be expected to result, as applicable) in a Material Adverse Effect, no current or former employee, partner, director, officer or shareholder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shareholder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equity of a company whose securities are traded on or quoted through an Eligible Market (as defined in Section 4(i))), nor does any such Person receive income from any source other than the Company or its Subsidiaries which relates to the business of the Company or its Subsidiaries or should properly accrue to the Company or its Subsidiaries. Except as would not reasonably result (or with the passage of time, would reasonably be expected to result, as applicable) in a Material Adverse Effect, no employee, officer, shareholder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share option agreements outstanding under any share option plan approved by the Board of Directors of the Company).</w:t>
      </w:r>
    </w:p>
    <w:tbl>
      <w:tblPr>
        <w:tblW w:w="2058" w:type="dxa"/>
        <w:jc w:val="left"/>
        <w:tblInd w:w="0" w:type="dxa"/>
        <w:tblLayout w:type="fixed"/>
        <w:tblCellMar>
          <w:top w:w="0" w:type="dxa"/>
          <w:left w:w="0" w:type="dxa"/>
          <w:bottom w:w="0" w:type="dxa"/>
          <w:right w:w="0" w:type="dxa"/>
        </w:tblCellMar>
      </w:tblPr>
      <w:tblGrid>
        <w:gridCol w:w="23"/>
        <w:gridCol w:w="200"/>
        <w:gridCol w:w="18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w:t>
            </w:r>
          </w:p>
        </w:tc>
        <w:tc>
          <w:tcPr>
            <w:tcW w:w="183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Equity Capitalization.</w:t>
            </w:r>
          </w:p>
        </w:tc>
      </w:tr>
    </w:tbl>
    <w:tbl>
      <w:tblPr>
        <w:tblW w:w="1218" w:type="dxa"/>
        <w:jc w:val="left"/>
        <w:tblInd w:w="0" w:type="dxa"/>
        <w:tblLayout w:type="fixed"/>
        <w:tblCellMar>
          <w:top w:w="0" w:type="dxa"/>
          <w:left w:w="0" w:type="dxa"/>
          <w:bottom w:w="0" w:type="dxa"/>
          <w:right w:w="0" w:type="dxa"/>
        </w:tblCellMar>
      </w:tblPr>
      <w:tblGrid>
        <w:gridCol w:w="23"/>
        <w:gridCol w:w="200"/>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Definitions</w:t>
            </w:r>
            <w:r>
              <w:rPr>
                <w:rFonts w:ascii="Times New Roman;Times;serif" w:hAnsi="Times New Roman;Times;serif"/>
                <w:sz w:val="20"/>
              </w:rPr>
              <w:t>:</w:t>
            </w:r>
          </w:p>
        </w:tc>
      </w:tr>
    </w:tbl>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b/>
          <w:sz w:val="20"/>
        </w:rPr>
        <w:t>ADS</w:t>
      </w:r>
      <w:r>
        <w:rPr>
          <w:rFonts w:ascii="Times New Roman;Times;serif" w:hAnsi="Times New Roman;Times;serif"/>
          <w:sz w:val="20"/>
        </w:rPr>
        <w:t>s” means (x) the American Depositary Shares of the Company, which as of the date hereof represents one (1) Ordinary Share per each ADS or (y) any share capital into which such ADSs shall have been changed or any share capital resulting from any exchange, modification, restructuring or reclassification of such ADSs.</w:t>
      </w:r>
    </w:p>
    <w:p>
      <w:pPr>
        <w:pStyle w:val="TextBody"/>
        <w:bidi w:val="0"/>
        <w:spacing w:before="0" w:after="120"/>
        <w:ind w:left="144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240"/>
              <w:jc w:val="both"/>
              <w:rPr/>
            </w:pPr>
            <w:r>
              <w:rPr/>
              <w:t>“</w:t>
            </w:r>
            <w:r>
              <w:rPr>
                <w:rFonts w:ascii="Times New Roman;Times;serif" w:hAnsi="Times New Roman;Times;serif"/>
                <w:b/>
                <w:sz w:val="20"/>
              </w:rPr>
              <w:t>Ordinary Shares</w:t>
            </w:r>
            <w:r>
              <w:rPr>
                <w:rFonts w:ascii="Times New Roman;Times;serif" w:hAnsi="Times New Roman;Times;serif"/>
                <w:sz w:val="20"/>
              </w:rPr>
              <w:t>” means (x) the Company’s ordinary shares, $0.00001 par value per share, and (y) any share capital into which such ordinary shares shall have been changed or any share capital resulting from a reclassification of such ordinary shares.</w:t>
            </w:r>
          </w:p>
        </w:tc>
      </w:tr>
    </w:tbl>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b/>
          <w:sz w:val="20"/>
        </w:rPr>
        <w:t>Blank Check Shares</w:t>
      </w:r>
      <w:r>
        <w:rPr>
          <w:rFonts w:ascii="Times New Roman;Times;serif" w:hAnsi="Times New Roman;Times;serif"/>
          <w:sz w:val="20"/>
        </w:rPr>
        <w:t>” means (x) the Company’s blank check shares, $0.00001 par value per share, the terms of which may be designated by the board of directors of the Company in a certificate of designations and (y) any share capital into which such shares shall have been changed or any share capital resulting from a reclassification of such shares (other than a conversion of such shares into Ordinary Shares and/or ADSs, as applicable, in accordance with the terms of such certificate of designations).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Authorized and Outstanding Share Capital</w:t>
      </w:r>
      <w:r>
        <w:rPr>
          <w:rFonts w:ascii="Times New Roman;Times;serif" w:hAnsi="Times New Roman;Times;serif"/>
          <w:sz w:val="20"/>
        </w:rPr>
        <w:t>. As of the date hereof, the authorized share capital of the Company consists of (A) 4,500,000,000 Ordinary Shares, of which, 678,705,338 Ordinary Shares are issued and outstanding and 30,431,006 Ordinary Shares are reserved for issuance pursuant to Ordinary Share Equivalents (as defined below) (other than the Notes) exercisable or exchangeable for, or convertible into, Ordinary Shares, and (B) 500,000,000 Blank Check Shares, none of which are issued and outstanding. As of the date hereof, 98,664,566 ADSs are issued and outstanding and no ADSs are reserved for issuance pursuant to Ordinary Share Equivalents (other than the Notes) exercisable or exchangeable for, or convertible into, Ordinary Shares. “</w:t>
      </w:r>
      <w:r>
        <w:rPr>
          <w:rFonts w:ascii="Times New Roman;Times;serif" w:hAnsi="Times New Roman;Times;serif"/>
          <w:b/>
          <w:sz w:val="20"/>
        </w:rPr>
        <w:t>Ordinary Share Equivalents</w:t>
      </w:r>
      <w:r>
        <w:rPr>
          <w:rFonts w:ascii="Times New Roman;Times;serif" w:hAnsi="Times New Roman;Times;serif"/>
          <w:sz w:val="20"/>
        </w:rPr>
        <w:t>” means any share capital or other security of the Company or any of its Subsidiaries that is at any time and under any circumstances directly or indirectly convertible into, exercisable or exchangeable for, or which otherwise entitles the holder thereof to acquire, any share capital or other security of the Company (including, without limitation, Ordinary Shares and ADSs) or any of its Subsidiaries.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u w:val="single"/>
        </w:rPr>
        <w:t>Valid Issuance; Available Shares; Affiliates</w:t>
      </w:r>
      <w:r>
        <w:rPr>
          <w:rFonts w:ascii="Times New Roman;Times;serif" w:hAnsi="Times New Roman;Times;serif"/>
          <w:sz w:val="20"/>
        </w:rPr>
        <w:t xml:space="preserve">. All of such issued and outstanding shares are duly authorized and have been, or upon issuance will be, validly issued and are fully paid and nonassessable. </w:t>
      </w:r>
      <w:r>
        <w:rPr>
          <w:rFonts w:ascii="Times New Roman;Times;serif" w:hAnsi="Times New Roman;Times;serif"/>
          <w:sz w:val="20"/>
          <w:u w:val="single"/>
        </w:rPr>
        <w:t>Schedule 3(r)(iii)</w:t>
      </w:r>
      <w:r>
        <w:rPr>
          <w:rFonts w:ascii="Times New Roman;Times;serif" w:hAnsi="Times New Roman;Times;serif"/>
          <w:sz w:val="20"/>
        </w:rPr>
        <w:t xml:space="preserve"> sets forth the number of Ordinary Shares and ADSs, as applicable, that are as of the date hereof, owned by Persons who are “affiliates” (as defined in Rule 405 of the 1933 Act and calculated based on the assumption that only officers, directors and holders of at least 10% of the Company’s issued and outstanding Ordinary Shares and/or ADSs, as applicable, are “affiliates” without conceding that any such Persons are “affiliates” for purposes of federal securities laws) of the Company or any of its Subsidiaries. Except as set forth on </w:t>
      </w:r>
      <w:r>
        <w:rPr>
          <w:rFonts w:ascii="Times New Roman;Times;serif" w:hAnsi="Times New Roman;Times;serif"/>
          <w:sz w:val="20"/>
          <w:u w:val="single"/>
        </w:rPr>
        <w:t>Schedule 3(r)(iii)</w:t>
      </w:r>
      <w:r>
        <w:rPr>
          <w:rFonts w:ascii="Times New Roman;Times;serif" w:hAnsi="Times New Roman;Times;serif"/>
          <w:sz w:val="20"/>
        </w:rPr>
        <w:t>, to the Company’s knowledge, no Person owns 10% or more of the Company’s issued and outstanding Ordinary Shares and/or ADSs, as applicable, (calculated based on the assumption that all Ordinary Share Equivalents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shareholder for purposes of federal securities laws).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u w:val="single"/>
        </w:rPr>
        <w:t>Existing Securities; Obligations</w:t>
      </w:r>
      <w:r>
        <w:rPr>
          <w:rFonts w:ascii="Times New Roman;Times;serif" w:hAnsi="Times New Roman;Times;serif"/>
          <w:sz w:val="20"/>
        </w:rPr>
        <w:t>. (A) None of the Company’s or any Subsidiary’s shares, interests or share capital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share capital of the Company or any of its Subsidiaries, or contracts, commitments, understandings or arrangements by which the Company or any of its Subsidiaries is or may become bound to issue additional shares, interests or share capital of the Company or any of its Subsidiaries or options, warrants, scrip, rights to subscribe to, calls or commitments of any character whatsoever relating to, or securities or rights convertible into, or exercisable or exchangeable for, any shares, interests or share capital of the Company or any of its Subsidiaries; (C) there are no agreements or arrangements under which the Company or any of its Subsidiaries is obligated to register the sale of any of their securities under the 1933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share appreciation rights or “phantom share” plans or agreements or any similar plan or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u w:val="single"/>
        </w:rPr>
        <w:t>Organizational Documents</w:t>
      </w:r>
      <w:r>
        <w:rPr>
          <w:rFonts w:ascii="Times New Roman;Times;serif" w:hAnsi="Times New Roman;Times;serif"/>
          <w:sz w:val="20"/>
        </w:rPr>
        <w:t>. The Company has furnished to the Buyers true, correct and complete copies of the Company’s memorandum of association (as amended and as in effect on the date hereof, the “</w:t>
      </w:r>
      <w:r>
        <w:rPr>
          <w:rFonts w:ascii="Times New Roman;Times;serif" w:hAnsi="Times New Roman;Times;serif"/>
          <w:b/>
          <w:sz w:val="20"/>
        </w:rPr>
        <w:t>Memorandum of Association</w:t>
      </w:r>
      <w:r>
        <w:rPr>
          <w:rFonts w:ascii="Times New Roman;Times;serif" w:hAnsi="Times New Roman;Times;serif"/>
          <w:sz w:val="20"/>
        </w:rPr>
        <w:t>”) and articles of association (as amended and as in effect on the date hereof, the “</w:t>
      </w:r>
      <w:r>
        <w:rPr>
          <w:rFonts w:ascii="Times New Roman;Times;serif" w:hAnsi="Times New Roman;Times;serif"/>
          <w:b/>
          <w:sz w:val="20"/>
        </w:rPr>
        <w:t>Articles of Association</w:t>
      </w:r>
      <w:r>
        <w:rPr>
          <w:rFonts w:ascii="Times New Roman;Times;serif" w:hAnsi="Times New Roman;Times;serif"/>
          <w:sz w:val="20"/>
        </w:rPr>
        <w:t>”), and the terms of all Ordinary Share Equivalents and the material rights of the holders thereof in respect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72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u w:val="single"/>
        </w:rPr>
        <w:t>Indebtedness and Other Contracts</w:t>
      </w:r>
      <w:r>
        <w:rPr>
          <w:rFonts w:ascii="Times New Roman;Times;serif" w:hAnsi="Times New Roman;Times;serif"/>
          <w:sz w:val="20"/>
        </w:rPr>
        <w:t xml:space="preserve">. Neither the Company nor any of its Subsidiaries, (i) except as disclosed in the SEC Documents or </w:t>
      </w:r>
      <w:r>
        <w:rPr>
          <w:rFonts w:ascii="Times New Roman;Times;serif" w:hAnsi="Times New Roman;Times;serif"/>
          <w:sz w:val="20"/>
          <w:u w:val="single"/>
        </w:rPr>
        <w:t>Schedule 3(s)</w:t>
      </w:r>
      <w:r>
        <w:rPr>
          <w:rFonts w:ascii="Times New Roman;Times;serif" w:hAnsi="Times New Roman;Times;serif"/>
          <w:sz w:val="20"/>
        </w:rPr>
        <w:t xml:space="preserve"> hereto or any Indebtedness that exist between the Company and its Subsidiaries or between the Company’s Subsidiaries, has any outstanding debt securities, notes, credit agreements, credit facilities or other agreements, documents or instruments evidencing Indebtedness of the Company or any of its Subsidiaries or by which the Company or any of its Subsidiaries is or may become bound, which individually or in the aggregate is equal to or exceeds $100,000,000,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Times New Roman;Times;serif" w:hAnsi="Times New Roman;Times;serif"/>
          <w:b/>
          <w:sz w:val="20"/>
        </w:rPr>
        <w:t>Indebtedness</w:t>
      </w:r>
      <w:r>
        <w:rPr>
          <w:rFonts w:ascii="Times New Roman;Times;serif" w:hAnsi="Times New Roman;Times;serif"/>
          <w:sz w:val="20"/>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Times;serif" w:hAnsi="Times New Roman;Times;serif"/>
          <w:b/>
          <w:sz w:val="20"/>
        </w:rPr>
        <w:t>Contingent Obligation</w:t>
      </w:r>
      <w:r>
        <w:rPr>
          <w:rFonts w:ascii="Times New Roman;Times;serif" w:hAnsi="Times New Roman;Times;serif"/>
          <w:sz w:val="20"/>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u w:val="single"/>
        </w:rPr>
        <w:t>Litigation</w:t>
      </w:r>
      <w:r>
        <w:rPr>
          <w:rFonts w:ascii="Times New Roman;Times;serif" w:hAnsi="Times New Roman;Times;serif"/>
          <w:sz w:val="20"/>
        </w:rPr>
        <w:t>.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Ordinary Shares and/or ADSs, as applicable, or any of the Company’s or its Subsidiaries’ officers or directors, whether of a civil or criminal nature or otherwise, in their capacities as such, which individually or in the aggregate could not have a Material Adverse Effect.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including, without limitation, the Registration Statement and/or the ADS Registration Statements. After reasonable inquiry of its employees, the Company is not aware of any fact which might result in or form the basis for any such action, suit, arbitration, investigation, inquiry or other proceeding, which individually or in the aggregate could not have a Material Adverse Effect. Neither the Company nor any of its Subsidiaries is subject to any order, writ, judgment, injunction, decree, determination or award of any Governmental Entity, which individually or in the aggregate, could not have a Material Adverse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sz w:val="20"/>
          <w:u w:val="single"/>
        </w:rPr>
        <w:t>Insurance</w:t>
      </w:r>
      <w:r>
        <w:rPr>
          <w:rFonts w:ascii="Times New Roman;Times;serif" w:hAnsi="Times New Roman;Times;serif"/>
          <w:sz w:val="20"/>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u w:val="single"/>
        </w:rPr>
        <w:t>Employee Relations</w:t>
      </w:r>
      <w:r>
        <w:rPr>
          <w:rFonts w:ascii="Times New Roman;Times;serif" w:hAnsi="Times New Roman;Times;serif"/>
          <w:sz w:val="20"/>
        </w:rPr>
        <w:t>. Neither the Company nor any of its Subsidiaries is a party to any collective bargaining agreement or employs any member of a union. The Company and its Subsidiaries believe that their relations with their employees are good. No current (or former)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current (or former)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tbl>
      <w:tblPr>
        <w:tblW w:w="753" w:type="dxa"/>
        <w:jc w:val="left"/>
        <w:tblInd w:w="0" w:type="dxa"/>
        <w:tblLayout w:type="fixed"/>
        <w:tblCellMar>
          <w:top w:w="0" w:type="dxa"/>
          <w:left w:w="0" w:type="dxa"/>
          <w:bottom w:w="0" w:type="dxa"/>
          <w:right w:w="0" w:type="dxa"/>
        </w:tblCellMar>
      </w:tblPr>
      <w:tblGrid>
        <w:gridCol w:w="23"/>
        <w:gridCol w:w="275"/>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w:t>
            </w:r>
          </w:p>
        </w:tc>
        <w:tc>
          <w:tcPr>
            <w:tcW w:w="4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Title</w:t>
            </w: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Real Property</w:t>
      </w:r>
      <w:r>
        <w:rPr>
          <w:rFonts w:ascii="Times New Roman;Times;serif" w:hAnsi="Times New Roman;Times;serif"/>
          <w:sz w:val="20"/>
        </w:rPr>
        <w:t>. Other than as could not impair the present or anticipated use of the Real Property in any material respect, (A) each of the Company and its Subsidiaries holds good title to or valid leasehold interest in all real property which is material to the business of the Company and its Subsidiaries (the “</w:t>
      </w:r>
      <w:r>
        <w:rPr>
          <w:rFonts w:ascii="Times New Roman;Times;serif" w:hAnsi="Times New Roman;Times;serif"/>
          <w:b/>
          <w:sz w:val="20"/>
        </w:rPr>
        <w:t>Real Property</w:t>
      </w:r>
      <w:r>
        <w:rPr>
          <w:rFonts w:ascii="Times New Roman;Times;serif" w:hAnsi="Times New Roman;Times;serif"/>
          <w:sz w:val="20"/>
        </w:rPr>
        <w:t>”), (B) the Real Property is free and clear of all Liens and is not subject to any rights of way, building use restrictions, exceptions, variances, reservations, or limitations of any nature except for (x) Liens for current taxes not yet due and (y) zoning laws and other land use restrictions that do not impair the present or anticipated use of the property subject thereto, and (C)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pStyle w:val="TextBody"/>
        <w:bidi w:val="0"/>
        <w:spacing w:before="0" w:after="120"/>
        <w:ind w:left="72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Fixtures and Equipment</w:t>
      </w:r>
      <w:r>
        <w:rPr>
          <w:rFonts w:ascii="Times New Roman;Times;serif" w:hAnsi="Times New Roman;Times;serif"/>
          <w:sz w:val="20"/>
        </w:rPr>
        <w:t>. Other than as could not impair the present or anticipated use of the Fixtures and Equipment in any material respect, (A) each of the Company and its Subsidiaries (as applicable) has good title to, or a valid leasehold interest in, the tangible personal property, equipment, improvements, fixtures, and other personal property and appurtenances that are used by the Company or its Subsidiary which is material to the business of the Company and its Subsidiaries (the “</w:t>
      </w:r>
      <w:r>
        <w:rPr>
          <w:rFonts w:ascii="Times New Roman;Times;serif" w:hAnsi="Times New Roman;Times;serif"/>
          <w:b/>
          <w:sz w:val="20"/>
        </w:rPr>
        <w:t>Fixtures and Equipment</w:t>
      </w:r>
      <w:r>
        <w:rPr>
          <w:rFonts w:ascii="Times New Roman;Times;serif" w:hAnsi="Times New Roman;Times;serif"/>
          <w:sz w:val="20"/>
        </w:rPr>
        <w:t>”), (B)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such Closing, and (C)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u w:val="single"/>
        </w:rPr>
        <w:t>Intellectual Property Rights</w:t>
      </w:r>
      <w:r>
        <w:rPr>
          <w:rFonts w:ascii="Times New Roman;Times;serif" w:hAnsi="Times New Roman;Times;serif"/>
          <w:sz w:val="20"/>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Times;serif" w:hAnsi="Times New Roman;Times;serif"/>
          <w:b/>
          <w:sz w:val="20"/>
        </w:rPr>
        <w:t>Intellectual Property Rights</w:t>
      </w:r>
      <w:r>
        <w:rPr>
          <w:rFonts w:ascii="Times New Roman;Times;serif" w:hAnsi="Times New Roman;Times;serif"/>
          <w:sz w:val="20"/>
        </w:rPr>
        <w:t>”) necessary to conduct their respective businesses as now conducted and presently proposed to be conducted, except where the failure to own or possess any of the foregoing would not reasonably be expected to result in a Material Adverse Effect. The Company does not have any knowledge of any infringement by the Company or its Subsidiaries of Intellectual Property Rights of others which, individually or in the aggregate, would have a Material Adverse Effect in the event of an unfavorable decision, ruling or finding. There is no claim, action or proceeding being made or brought, or to the knowledge of the Company or any of its Subsidiaries, being threatened, against the Company or any of its Subsidiaries regarding its Intellectual Property Rights which, individually or in the aggregate, would have a Material Adverse Effect in the event of an unfavorable decision, ruling or finding.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w:t>
      </w:r>
      <w:r>
        <w:rPr>
          <w:rFonts w:ascii="Times New Roman;Times;serif" w:hAnsi="Times New Roman;Times;serif"/>
          <w:sz w:val="20"/>
          <w:u w:val="single"/>
        </w:rPr>
        <w:t>Environmental Laws</w:t>
      </w:r>
      <w:r>
        <w:rPr>
          <w:rFonts w:ascii="Times New Roman;Times;serif" w:hAnsi="Times New Roman;Times;serif"/>
          <w:sz w:val="20"/>
        </w:rPr>
        <w:t>. (i) 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Times New Roman;Times;serif" w:hAnsi="Times New Roman;Times;serif"/>
          <w:b/>
          <w:sz w:val="20"/>
        </w:rPr>
        <w:t>Environmental Laws</w:t>
      </w:r>
      <w:r>
        <w:rPr>
          <w:rFonts w:ascii="Times New Roman;Times;serif" w:hAnsi="Times New Roman;Times;serif"/>
          <w:sz w:val="20"/>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Times;serif" w:hAnsi="Times New Roman;Times;serif"/>
          <w:b/>
          <w:sz w:val="20"/>
        </w:rPr>
        <w:t>Hazardous Materials</w:t>
      </w:r>
      <w:r>
        <w:rPr>
          <w:rFonts w:ascii="Times New Roman;Times;serif" w:hAnsi="Times New Roman;Times;serif"/>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tbl>
      <w:tblPr>
        <w:tblW w:w="2313" w:type="dxa"/>
        <w:jc w:val="left"/>
        <w:tblInd w:w="0" w:type="dxa"/>
        <w:tblLayout w:type="fixed"/>
        <w:tblCellMar>
          <w:top w:w="0" w:type="dxa"/>
          <w:left w:w="0" w:type="dxa"/>
          <w:bottom w:w="0" w:type="dxa"/>
          <w:right w:w="0" w:type="dxa"/>
        </w:tblCellMar>
      </w:tblPr>
      <w:tblGrid>
        <w:gridCol w:w="23"/>
        <w:gridCol w:w="260"/>
        <w:gridCol w:w="203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20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No Hazardous Materials</w:t>
            </w:r>
            <w:r>
              <w:rPr>
                <w:rFonts w:ascii="Times New Roman;Times;serif" w:hAnsi="Times New Roman;Times;serif"/>
                <w:sz w:val="20"/>
              </w:rPr>
              <w:t>:</w:t>
            </w:r>
          </w:p>
        </w:tc>
      </w:tr>
    </w:tbl>
    <w:p>
      <w:pPr>
        <w:pStyle w:val="TextBody"/>
        <w:bidi w:val="0"/>
        <w:spacing w:before="0" w:after="240"/>
        <w:ind w:left="1456" w:right="0" w:firstLine="1423"/>
        <w:jc w:val="both"/>
        <w:rPr>
          <w:rFonts w:ascii="Times New Roman;Times;serif" w:hAnsi="Times New Roman;Times;serif"/>
          <w:sz w:val="20"/>
        </w:rPr>
      </w:pPr>
      <w:r>
        <w:rPr>
          <w:rFonts w:ascii="Times New Roman;Times;serif" w:hAnsi="Times New Roman;Times;serif"/>
          <w:sz w:val="20"/>
        </w:rPr>
        <w:t>(A)have been disposed of or otherwise released from any Real Property of the Company or any of its Subsidiaries in violation of any Environmental Laws; or</w:t>
      </w:r>
    </w:p>
    <w:p>
      <w:pPr>
        <w:pStyle w:val="TextBody"/>
        <w:bidi w:val="0"/>
        <w:spacing w:before="0" w:after="240"/>
        <w:ind w:left="1456" w:right="0" w:firstLine="1423"/>
        <w:jc w:val="both"/>
        <w:rPr>
          <w:rFonts w:ascii="Times New Roman;Times;serif" w:hAnsi="Times New Roman;Times;serif"/>
          <w:sz w:val="20"/>
        </w:rPr>
      </w:pPr>
      <w:r>
        <w:rPr>
          <w:rFonts w:ascii="Times New Roman;Times;serif" w:hAnsi="Times New Roman;Times;serif"/>
          <w:sz w:val="20"/>
        </w:rPr>
        <w:t>(B)are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 on the business of the Company or any of its Subsidiaries.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None of the Real Properties are on any federal or state “Superfund” list or Liability Information System (“</w:t>
      </w:r>
      <w:r>
        <w:rPr>
          <w:rFonts w:ascii="Times New Roman;Times;serif" w:hAnsi="Times New Roman;Times;serif"/>
          <w:b/>
          <w:sz w:val="20"/>
        </w:rPr>
        <w:t>CERCLIS</w:t>
      </w:r>
      <w:r>
        <w:rPr>
          <w:rFonts w:ascii="Times New Roman;Times;serif" w:hAnsi="Times New Roman;Times;serif"/>
          <w:sz w:val="20"/>
        </w:rPr>
        <w:t>”) list or any state environmental agency list of sites under consideration for CERCLIS, nor subject to any environmental related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(z)</w:t>
      </w:r>
      <w:r>
        <w:rPr>
          <w:rFonts w:ascii="Times New Roman;Times;serif" w:hAnsi="Times New Roman;Times;serif"/>
          <w:sz w:val="20"/>
          <w:u w:val="single"/>
        </w:rPr>
        <w:t>Subsidiary Rights</w:t>
      </w:r>
      <w:r>
        <w:rPr>
          <w:rFonts w:ascii="Times New Roman;Times;serif" w:hAnsi="Times New Roman;Times;serif"/>
          <w:sz w:val="20"/>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(aa)</w:t>
      </w:r>
      <w:r>
        <w:rPr>
          <w:rFonts w:ascii="Times New Roman;Times;serif" w:hAnsi="Times New Roman;Times;serif"/>
          <w:sz w:val="20"/>
          <w:u w:val="single"/>
        </w:rPr>
        <w:t>Tax Status</w:t>
      </w:r>
      <w:r>
        <w:rPr>
          <w:rFonts w:ascii="Times New Roman;Times;serif" w:hAnsi="Times New Roman;Times;serif"/>
          <w:sz w:val="20"/>
        </w:rPr>
        <w:t>. Except where the failure to do so would not, individually or in the aggregate, have a Material Adverse Effect,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amount claimed to be due by the taxing authority of any jurisdiction that would be reasonably likely to result in a Material Adverse Effect, and the officers of the Company and its Subsidiaries know of no basis for any such claim.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(bb)</w:t>
      </w:r>
      <w:r>
        <w:rPr>
          <w:rFonts w:ascii="Times New Roman;Times;serif" w:hAnsi="Times New Roman;Times;serif"/>
          <w:sz w:val="20"/>
          <w:u w:val="single"/>
        </w:rPr>
        <w:t>Internal Accounting and Disclosure Controls</w:t>
      </w:r>
      <w:r>
        <w:rPr>
          <w:rFonts w:ascii="Times New Roman;Times;serif" w:hAnsi="Times New Roman;Times;serif"/>
          <w:sz w:val="20"/>
        </w:rPr>
        <w:t>. The Company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(cc)</w:t>
      </w:r>
      <w:r>
        <w:rPr>
          <w:rFonts w:ascii="Times New Roman;Times;serif" w:hAnsi="Times New Roman;Times;serif"/>
          <w:sz w:val="20"/>
          <w:u w:val="single"/>
        </w:rPr>
        <w:t>Off Balance Sheet Arrangements</w:t>
      </w:r>
      <w:r>
        <w:rPr>
          <w:rFonts w:ascii="Times New Roman;Times;serif" w:hAnsi="Times New Roman;Times;serif"/>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(dd)</w:t>
      </w:r>
      <w:r>
        <w:rPr>
          <w:rFonts w:ascii="Times New Roman;Times;serif" w:hAnsi="Times New Roman;Times;serif"/>
          <w:sz w:val="20"/>
          <w:u w:val="single"/>
        </w:rPr>
        <w:t>Investment Company Status</w:t>
      </w:r>
      <w:r>
        <w:rPr>
          <w:rFonts w:ascii="Times New Roman;Times;serif" w:hAnsi="Times New Roman;Times;serif"/>
          <w:sz w:val="20"/>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(ee)</w:t>
      </w:r>
      <w:r>
        <w:rPr>
          <w:rFonts w:ascii="Times New Roman;Times;serif" w:hAnsi="Times New Roman;Times;serif"/>
          <w:sz w:val="20"/>
          <w:u w:val="single"/>
        </w:rPr>
        <w:t>Acknowledgement Regarding Buyers’ Trading Activity</w:t>
      </w:r>
      <w:r>
        <w:rPr>
          <w:rFonts w:ascii="Times New Roman;Times;serif" w:hAnsi="Times New Roman;Times;serif"/>
          <w:sz w:val="20"/>
        </w:rPr>
        <w:t>. It is understood and acknowledged by the Company that (i) subject to Section 4(aa) below,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subject to Section 2(g) and Section 4(aa) below, any Buyer, and counterparties in “derivative” transactions to which any such Buyer is a party, directly or indirectly, presently may have a “short” position in the Ordinary Shares and/or ADSs, as applicable,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Ordinary Shares and ADSs upon conversion or exchange, as applicable, of the Securities as and when required pursuant to the Transaction Documents for purposes of effecting trading in the ADSs of the Company. The Company further understands and acknowledges that, subject to Section 4(aa) below, following the public disclosure of the transactions contemplated by the Transaction Documents one or more Buyers may engage in hedging and/or trading activities (including, without limitation, the location and/or reservation of borrowable ADSs) at various times during the period that the Securities are outstanding, including, without limitation, during the periods that the value and/or number of the Conversion ADSs deliverable with respect to the Securities are being determined and such hedging and/or trading activities (including, without limitation, the location and/or reservation of borrowable ADSs), if any, can reduce the value of the existing shareholders’ equity interest in the Company both at and after the time the hedging and/or trading activities are being conducted. Subject to Section 4(aa) below, the Company acknowledges that such aforementioned hedging and/or trading activities do not constitute a breach of this Agreement, the Notes or any other Transaction Document or any of the documents executed in connection herewith or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(ff)</w:t>
      </w:r>
      <w:r>
        <w:rPr>
          <w:rFonts w:ascii="Times New Roman;Times;serif" w:hAnsi="Times New Roman;Times;serif"/>
          <w:sz w:val="20"/>
          <w:u w:val="single"/>
        </w:rPr>
        <w:t>Manipulation of Price</w:t>
      </w:r>
      <w:r>
        <w:rPr>
          <w:rFonts w:ascii="Times New Roman;Times;serif" w:hAnsi="Times New Roman;Times;serif"/>
          <w:sz w:val="20"/>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(gg)</w:t>
      </w:r>
      <w:r>
        <w:rPr>
          <w:rFonts w:ascii="Times New Roman;Times;serif" w:hAnsi="Times New Roman;Times;serif"/>
          <w:sz w:val="20"/>
          <w:u w:val="single"/>
        </w:rPr>
        <w:t>U.S. Real Property Holding Corporation</w:t>
      </w:r>
      <w:r>
        <w:rPr>
          <w:rFonts w:ascii="Times New Roman;Times;serif" w:hAnsi="Times New Roman;Times;serif"/>
          <w:sz w:val="20"/>
        </w:rPr>
        <w:t>. Neither the Company nor any of its Subsidiaries is, or has ever been, and so long as any of the Securities are held by any of the Buyers, shall become, a U.S. real property holding corporation within the meaning of Section 897 of the Internal Revenue Code of 1986, as amended (the “</w:t>
      </w:r>
      <w:r>
        <w:rPr>
          <w:rFonts w:ascii="Times New Roman;Times;serif" w:hAnsi="Times New Roman;Times;serif"/>
          <w:b/>
          <w:sz w:val="20"/>
        </w:rPr>
        <w:t>Code</w:t>
      </w:r>
      <w:r>
        <w:rPr>
          <w:rFonts w:ascii="Times New Roman;Times;serif" w:hAnsi="Times New Roman;Times;serif"/>
          <w:sz w:val="20"/>
        </w:rPr>
        <w:t>”), and the Company and each Subsidiary shall so certify upon any Buyer’s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(hh)</w:t>
      </w:r>
      <w:r>
        <w:rPr>
          <w:rFonts w:ascii="Times New Roman;Times;serif" w:hAnsi="Times New Roman;Times;serif"/>
          <w:sz w:val="20"/>
          <w:u w:val="single"/>
        </w:rPr>
        <w:t>Registration Eligibility</w:t>
      </w:r>
      <w:r>
        <w:rPr>
          <w:rFonts w:ascii="Times New Roman;Times;serif" w:hAnsi="Times New Roman;Times;serif"/>
          <w:sz w:val="20"/>
        </w:rPr>
        <w:t>. The Company is eligible to register the Securities for issuance to the Buyers using Form F-3 promulgated under the 1933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Transfer Taxes</w:t>
      </w:r>
      <w:r>
        <w:rPr>
          <w:rFonts w:ascii="Times New Roman;Times;serif" w:hAnsi="Times New Roman;Times;serif"/>
          <w:sz w:val="20"/>
        </w:rPr>
        <w:t>. On such Closing Date, all share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(jj)</w:t>
      </w:r>
      <w:r>
        <w:rPr>
          <w:rFonts w:ascii="Times New Roman;Times;serif" w:hAnsi="Times New Roman;Times;serif"/>
          <w:sz w:val="20"/>
          <w:u w:val="single"/>
        </w:rPr>
        <w:t>Bank Holding Company Act; Regulation U or X</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Neither the Company nor any of its Subsidiaries is subject to the Bank Holding Company Act of 1956, as amended (the “</w:t>
      </w:r>
      <w:r>
        <w:rPr>
          <w:rFonts w:ascii="Times New Roman;Times;serif" w:hAnsi="Times New Roman;Times;serif"/>
          <w:b/>
          <w:sz w:val="20"/>
        </w:rPr>
        <w:t>BHCA</w:t>
      </w:r>
      <w:r>
        <w:rPr>
          <w:rFonts w:ascii="Times New Roman;Times;serif" w:hAnsi="Times New Roman;Times;serif"/>
          <w:sz w:val="20"/>
        </w:rPr>
        <w:t>”) and to regulation by the Board of Governors of the Federal Reserve System of the United States (the “</w:t>
      </w:r>
      <w:r>
        <w:rPr>
          <w:rFonts w:ascii="Times New Roman;Times;serif" w:hAnsi="Times New Roman;Times;serif"/>
          <w:b/>
          <w:sz w:val="20"/>
        </w:rPr>
        <w:t>Federal Reserve</w:t>
      </w:r>
      <w:r>
        <w:rPr>
          <w:rFonts w:ascii="Times New Roman;Times;serif" w:hAnsi="Times New Roman;Times;serif"/>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sale of the Notes, the use of proceeds thereof and the other transactions contemplated thereby or by the other Transaction Documents, will not violate or be inconsistent with the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(kk)</w:t>
      </w:r>
      <w:r>
        <w:rPr>
          <w:rFonts w:ascii="Times New Roman;Times;serif" w:hAnsi="Times New Roman;Times;serif"/>
          <w:sz w:val="20"/>
          <w:u w:val="single"/>
        </w:rPr>
        <w:t>Shell Company Status</w:t>
      </w:r>
      <w:r>
        <w:rPr>
          <w:rFonts w:ascii="Times New Roman;Times;serif" w:hAnsi="Times New Roman;Times;serif"/>
          <w:sz w:val="20"/>
        </w:rPr>
        <w:t>. The Company is not, and has never been, an issuer identified in, or subject to, section (i) of Rule 144 promulgated under the 1933 Act (or a successor rule thereto) (collectively, “</w:t>
      </w:r>
      <w:r>
        <w:rPr>
          <w:rFonts w:ascii="Times New Roman;Times;serif" w:hAnsi="Times New Roman;Times;serif"/>
          <w:b/>
          <w:sz w:val="20"/>
        </w:rPr>
        <w:t>Rule 144</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(ll)</w:t>
      </w:r>
      <w:r>
        <w:rPr>
          <w:rFonts w:ascii="Times New Roman;Times;serif" w:hAnsi="Times New Roman;Times;serif"/>
          <w:sz w:val="20"/>
          <w:u w:val="single"/>
        </w:rPr>
        <w:t>Illegal or Unauthorized Payments; Political Contributions</w:t>
      </w:r>
      <w:r>
        <w:rPr>
          <w:rFonts w:ascii="Times New Roman;Times;serif" w:hAnsi="Times New Roman;Times;serif"/>
          <w:sz w:val="20"/>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(mm)</w:t>
      </w:r>
      <w:r>
        <w:rPr>
          <w:rFonts w:ascii="Times New Roman;Times;serif" w:hAnsi="Times New Roman;Times;serif"/>
          <w:sz w:val="20"/>
          <w:u w:val="single"/>
        </w:rPr>
        <w:t>Money Laundering</w:t>
      </w:r>
      <w:r>
        <w:rPr>
          <w:rFonts w:ascii="Times New Roman;Times;serif" w:hAnsi="Times New Roman;Times;serif"/>
          <w:sz w:val="20"/>
        </w:rPr>
        <w:t>. Within the past five (5) years,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(nn)</w:t>
      </w:r>
      <w:r>
        <w:rPr>
          <w:rFonts w:ascii="Times New Roman;Times;serif" w:hAnsi="Times New Roman;Times;serif"/>
          <w:sz w:val="20"/>
          <w:u w:val="single"/>
        </w:rPr>
        <w:t>Management</w:t>
      </w:r>
      <w:r>
        <w:rPr>
          <w:rFonts w:ascii="Times New Roman;Times;serif" w:hAnsi="Times New Roman;Times;serif"/>
          <w:sz w:val="20"/>
        </w:rPr>
        <w:t>. During the past ten year period, no current or former officer or director or, to the knowledge of the Company, no current ten percent (10%) or greater shareholder of the Company or any of its Subsidiaries has been the subject 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 conviction in a criminal proceeding or a named subject of a pending criminal proceeding (excluding traffic violations that do not relate to driving while intoxicated or driving under the influence);</w:t>
      </w:r>
    </w:p>
    <w:p>
      <w:pPr>
        <w:pStyle w:val="TextBody"/>
        <w:bidi w:val="0"/>
        <w:spacing w:before="0" w:after="120"/>
        <w:ind w:left="72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any order, judgment or decree, not subsequently reversed, suspended or vacated, of any court of competent jurisdiction, permanently or temporarily enjoining any such person from, or otherwise limiting, the following activities:</w:t>
      </w:r>
    </w:p>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(1)Acting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tbl>
      <w:tblPr>
        <w:tblW w:w="4773" w:type="dxa"/>
        <w:jc w:val="left"/>
        <w:tblInd w:w="0" w:type="dxa"/>
        <w:tblLayout w:type="fixed"/>
        <w:tblCellMar>
          <w:top w:w="0" w:type="dxa"/>
          <w:left w:w="0" w:type="dxa"/>
          <w:bottom w:w="0" w:type="dxa"/>
          <w:right w:w="0" w:type="dxa"/>
        </w:tblCellMar>
      </w:tblPr>
      <w:tblGrid>
        <w:gridCol w:w="23"/>
        <w:gridCol w:w="245"/>
        <w:gridCol w:w="45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45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Engaging in any particular type of business practice; or</w:t>
            </w:r>
          </w:p>
        </w:tc>
      </w:tr>
    </w:tbl>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(3)Engaging in any activity in connection with the purchase or sale of any security or commodity or in connection with any violation of securities laws or commodities laws;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a finding by a court of competent jurisdiction in a civil action or by the Commodity Futures Trading Commission to have violated any federal commodities law, and the judgment in such civil action or finding has not been subsequently reversed, suspended or vacated.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(oo)</w:t>
      </w:r>
      <w:r>
        <w:rPr>
          <w:rFonts w:ascii="Times New Roman;Times;serif" w:hAnsi="Times New Roman;Times;serif"/>
          <w:sz w:val="20"/>
          <w:u w:val="single"/>
        </w:rPr>
        <w:t>Share Option Plans</w:t>
      </w:r>
      <w:r>
        <w:rPr>
          <w:rFonts w:ascii="Times New Roman;Times;serif" w:hAnsi="Times New Roman;Times;serif"/>
          <w:sz w:val="20"/>
        </w:rPr>
        <w:t>. Each share option granted by the Company was granted in accordance with the terms of the applicable share option plan of the Company. No share option granted under the Company’s share option plan has been backdated. The Company has not knowingly granted, and there is no and has been no policy or practice of the Company to knowingly grant, share options prior to, or otherwise knowingly coordinate the grant of share options with, the release or other public announcement of material information regarding the Company or its Subsidiaries or their financial results or prospects.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(pp)</w:t>
      </w:r>
      <w:r>
        <w:rPr>
          <w:rFonts w:ascii="Times New Roman;Times;serif" w:hAnsi="Times New Roman;Times;serif"/>
          <w:sz w:val="20"/>
          <w:u w:val="single"/>
        </w:rPr>
        <w:t>No Disagreements with Accountants and Lawyers</w:t>
      </w:r>
      <w:r>
        <w:rPr>
          <w:rFonts w:ascii="Times New Roman;Times;serif" w:hAnsi="Times New Roman;Times;serif"/>
          <w:sz w:val="20"/>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(qq)</w:t>
      </w:r>
      <w:r>
        <w:rPr>
          <w:rFonts w:ascii="Times New Roman;Times;serif" w:hAnsi="Times New Roman;Times;serif"/>
          <w:sz w:val="20"/>
          <w:u w:val="single"/>
        </w:rPr>
        <w:t>No Additional Agreements</w:t>
      </w:r>
      <w:r>
        <w:rPr>
          <w:rFonts w:ascii="Times New Roman;Times;serif" w:hAnsi="Times New Roman;Times;serif"/>
          <w:sz w:val="20"/>
        </w:rPr>
        <w:t>. The Company does not have any agreement or understanding with any Buyer with respect to the transactions contemplated by the Transaction Documents other than as specified in the Transaction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(rr)</w:t>
      </w:r>
      <w:r>
        <w:rPr>
          <w:rFonts w:ascii="Times New Roman;Times;serif" w:hAnsi="Times New Roman;Times;serif"/>
          <w:sz w:val="20"/>
          <w:u w:val="single"/>
        </w:rPr>
        <w:t>Public Utility Holding Act</w:t>
      </w:r>
      <w:r>
        <w:rPr>
          <w:rFonts w:ascii="Times New Roman;Times;serif" w:hAnsi="Times New Roman;Times;serif"/>
          <w:sz w:val="20"/>
        </w:rPr>
        <w:t>. None of the Company nor any of its Subsidiaries is a “holding company,” or an “affiliate” of a “holding company,” as such terms are defined in the Public Utility Holding Act of 2005.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(ss)</w:t>
      </w:r>
      <w:r>
        <w:rPr>
          <w:rFonts w:ascii="Times New Roman;Times;serif" w:hAnsi="Times New Roman;Times;serif"/>
          <w:sz w:val="20"/>
          <w:u w:val="single"/>
        </w:rPr>
        <w:t>Federal Power Act</w:t>
      </w:r>
      <w:r>
        <w:rPr>
          <w:rFonts w:ascii="Times New Roman;Times;serif" w:hAnsi="Times New Roman;Times;serif"/>
          <w:sz w:val="20"/>
        </w:rPr>
        <w:t>. None of the Company nor any of its Subsidiaries is subject to regulation as a “public utility” under the Federal Power Act, as amended.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(tt)</w:t>
      </w:r>
      <w:r>
        <w:rPr>
          <w:rFonts w:ascii="Times New Roman;Times;serif" w:hAnsi="Times New Roman;Times;serif"/>
          <w:sz w:val="20"/>
          <w:u w:val="single"/>
        </w:rPr>
        <w:t>Communist Chinese Military Companies</w:t>
      </w:r>
      <w:r>
        <w:rPr>
          <w:rFonts w:ascii="Times New Roman;Times;serif" w:hAnsi="Times New Roman;Times;serif"/>
          <w:sz w:val="20"/>
        </w:rPr>
        <w:t>. The Company does not constitute a “Communist Chinese Military Company” under Executive Order 13959, issued by former President Trump on November 12, 2020 under the authority of Section 1237 of the National Defense Authorization Act for Fiscal Year 1999.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w:t>
      </w:r>
      <w:r>
        <w:rPr>
          <w:rFonts w:ascii="Times New Roman;Times;serif" w:hAnsi="Times New Roman;Times;serif"/>
          <w:sz w:val="20"/>
          <w:u w:val="single"/>
        </w:rPr>
        <w:t>Compliance with PRC Overseas Investment and Listing Regulations</w:t>
      </w:r>
      <w:r>
        <w:rPr>
          <w:rFonts w:ascii="Times New Roman;Times;serif" w:hAnsi="Times New Roman;Times;serif"/>
          <w:sz w:val="20"/>
        </w:rPr>
        <w:t>. Each of the Company and its Subsidiaries and Affiliated Entities has complied, and has taken all reasonable steps to ensure compliance by each of its shareholders, directors and officers that is, or is directly or indirectly owned or controlled by, a PRC resident or citizen with any applicable rules and regulations of the relevant PRC government agencies (including but not limited to the Ministry of Commerce, the National Development and Reform Commission, the CSRC and the State Administration of Foreign Exchange (the “</w:t>
      </w:r>
      <w:r>
        <w:rPr>
          <w:rFonts w:ascii="Times New Roman;Times;serif" w:hAnsi="Times New Roman;Times;serif"/>
          <w:b/>
          <w:sz w:val="20"/>
        </w:rPr>
        <w:t>SAFE</w:t>
      </w:r>
      <w:r>
        <w:rPr>
          <w:rFonts w:ascii="Times New Roman;Times;serif" w:hAnsi="Times New Roman;Times;serif"/>
          <w:sz w:val="20"/>
        </w:rPr>
        <w:t>”)) relating to overseas investment by PRC residents and citizens (the “</w:t>
      </w:r>
      <w:r>
        <w:rPr>
          <w:rFonts w:ascii="Times New Roman;Times;serif" w:hAnsi="Times New Roman;Times;serif"/>
          <w:b/>
          <w:sz w:val="20"/>
        </w:rPr>
        <w:t>PRC Overseas Investment and Listing Regulations</w:t>
      </w:r>
      <w:r>
        <w:rPr>
          <w:rFonts w:ascii="Times New Roman;Times;serif" w:hAnsi="Times New Roman;Times;serif"/>
          <w:sz w:val="20"/>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(xx)</w:t>
      </w:r>
      <w:r>
        <w:rPr>
          <w:rFonts w:ascii="Times New Roman;Times;serif" w:hAnsi="Times New Roman;Times;serif"/>
          <w:sz w:val="20"/>
          <w:u w:val="single"/>
        </w:rPr>
        <w:t>M&amp;A Rules</w:t>
      </w:r>
      <w:r>
        <w:rPr>
          <w:rFonts w:ascii="Times New Roman;Times;serif" w:hAnsi="Times New Roman;Times;serif"/>
          <w:sz w:val="20"/>
        </w:rPr>
        <w:t>. 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Times New Roman;Times;serif" w:hAnsi="Times New Roman;Times;serif"/>
          <w:b/>
          <w:sz w:val="20"/>
        </w:rPr>
        <w:t>PRC Mergers and Acquisitions Rules</w:t>
      </w:r>
      <w:r>
        <w:rPr>
          <w:rFonts w:ascii="Times New Roman;Times;serif" w:hAnsi="Times New Roman;Times;serif"/>
          <w:sz w:val="20"/>
        </w:rPr>
        <w:t>”) jointly promulgated by the Ministry of Commerce, the State Assets Supervision and Administration Commission, the State Tax Administration, the State Administration of Industry and Commerce, the CSRC and the State Administration of Foreign Exchange on August 8, 2006 and amended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Securities, the listing and trading of the Underlying Securities (as defined below) on the Principal Market and the consummation of the transactions contemplated by this Agreement (i) are not and will not be, as of the date hereof or at such Closing Date, adversely affected by the PRC Mergers and Acquisitions Rules and (ii) do not require the prior approval of the CSRC.</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(uu)</w:t>
      </w:r>
      <w:r>
        <w:rPr>
          <w:rFonts w:ascii="Times New Roman;Times;serif" w:hAnsi="Times New Roman;Times;serif"/>
          <w:sz w:val="20"/>
        </w:rPr>
        <w:t>[Intentionally Omitted.]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(vv)</w:t>
      </w:r>
      <w:r>
        <w:rPr>
          <w:rFonts w:ascii="Times New Roman;Times;serif" w:hAnsi="Times New Roman;Times;serif"/>
          <w:sz w:val="20"/>
          <w:u w:val="single"/>
        </w:rPr>
        <w:t>Cybersecurity</w:t>
      </w:r>
      <w:r>
        <w:rPr>
          <w:rFonts w:ascii="Times New Roman;Times;serif" w:hAnsi="Times New Roman;Times;serif"/>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sz w:val="20"/>
        </w:rPr>
        <w:t>IT Systems</w:t>
      </w:r>
      <w:r>
        <w:rPr>
          <w:rFonts w:ascii="Times New Roman;Times;serif" w:hAnsi="Times New Roman;Times;serif"/>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on the Company’s business.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Times;serif" w:hAnsi="Times New Roman;Times;serif"/>
          <w:b/>
          <w:sz w:val="20"/>
        </w:rPr>
        <w:t>Personal Data</w:t>
      </w:r>
      <w:r>
        <w:rPr>
          <w:rFonts w:ascii="Times New Roman;Times;serif" w:hAnsi="Times New Roman;Times;serif"/>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Times;serif" w:hAnsi="Times New Roman;Times;serif"/>
          <w:b/>
          <w:sz w:val="20"/>
        </w:rPr>
        <w:t>GDPR</w:t>
      </w:r>
      <w:r>
        <w:rPr>
          <w:rFonts w:ascii="Times New Roman;Times;serif" w:hAnsi="Times New Roman;Times;serif"/>
          <w:sz w:val="20"/>
        </w:rPr>
        <w:t>”) (EU 2016/679);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sz w:val="20"/>
        </w:rPr>
        <w:t>HIPAA</w:t>
      </w:r>
      <w:r>
        <w:rPr>
          <w:rFonts w:ascii="Times New Roman;Times;serif" w:hAnsi="Times New Roman;Times;serif"/>
          <w:sz w:val="20"/>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or such, nor any incidents under internal review or investigations relating to the same except in each case, where such would not, either individually or in the aggregate, reasonably be expected to result in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where such would not, either individually or in the aggregate, reasonably be expected to result in a Material Adverse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w:t>
      </w:r>
      <w:r>
        <w:rPr>
          <w:rFonts w:ascii="Times New Roman;Times;serif" w:hAnsi="Times New Roman;Times;serif"/>
          <w:sz w:val="20"/>
          <w:u w:val="single"/>
        </w:rPr>
        <w:t>Compliance with Data Privacy Laws</w:t>
      </w:r>
      <w:r>
        <w:rPr>
          <w:rFonts w:ascii="Times New Roman;Times;serif" w:hAnsi="Times New Roman;Times;serif"/>
          <w:sz w:val="20"/>
        </w:rPr>
        <w:t>. The Company and its Subsidiaries are, and at all prior times were,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(EU 2016/679) (collectively, the “</w:t>
      </w:r>
      <w:r>
        <w:rPr>
          <w:rFonts w:ascii="Times New Roman;Times;serif" w:hAnsi="Times New Roman;Times;serif"/>
          <w:b/>
          <w:sz w:val="20"/>
        </w:rPr>
        <w:t>Privacy Laws</w:t>
      </w:r>
      <w:r>
        <w:rPr>
          <w:rFonts w:ascii="Times New Roman;Times;serif" w:hAnsi="Times New Roman;Times;serif"/>
          <w:sz w:val="20"/>
        </w:rPr>
        <w:t>”) except in each case, where such would not, either individually or in the aggregate, reasonably be expected to result in a Material Adverse Effect.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Times;serif" w:hAnsi="Times New Roman;Times;serif"/>
          <w:b/>
          <w:sz w:val="20"/>
        </w:rPr>
        <w:t>Policies</w:t>
      </w:r>
      <w:r>
        <w:rPr>
          <w:rFonts w:ascii="Times New Roman;Times;serif" w:hAnsi="Times New Roman;Times;serif"/>
          <w:sz w:val="20"/>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(xx)</w:t>
      </w:r>
      <w:r>
        <w:rPr>
          <w:rFonts w:ascii="Times New Roman;Times;serif" w:hAnsi="Times New Roman;Times;serif"/>
          <w:sz w:val="20"/>
          <w:u w:val="single"/>
        </w:rPr>
        <w:t>No Defenses</w:t>
      </w:r>
      <w:r>
        <w:rPr>
          <w:rFonts w:ascii="Times New Roman;Times;serif" w:hAnsi="Times New Roman;Times;serif"/>
          <w:sz w:val="20"/>
        </w:rPr>
        <w:t>. The Company has no defenses, affirmative or otherwise, rights of setoff, rights of recoupment, claims, counterclaims, actions or causes of action of any kind or nature whatsoever against a Buyer, directly or indirectly, arising out of, based upon, or in any manner connected with, the transactions contemplated hereby, whether known or unknown, which occurred, existed, was taken, permitted, or begun prior to the execution of this Agreement and occurred, existed, was taken, permitted or begun in accordance with, pursuant to, or by virtue of any of the terms or conditions of the Transaction Documents. To the extent any such defenses, affirmative or otherwise, rights of setoff, rights of recoupment, claims, counterclaims, actions or causes of action exist or existed, such defenses, rights, claims, counterclaims, actions and causes of action are hereby waived, discharged and released. The Company hereby acknowledges and agrees that the execution of this Agreement by a Buyer shall not constitute an acknowledgment of or admission by a Buyer of the existence of any claims or of liability for any matter or precedent upon which any claim or liability may be asserted.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(yy)</w:t>
      </w:r>
      <w:r>
        <w:rPr>
          <w:rFonts w:ascii="Times New Roman;Times;serif" w:hAnsi="Times New Roman;Times;serif"/>
          <w:sz w:val="20"/>
          <w:u w:val="single"/>
        </w:rPr>
        <w:t>Registration Rights</w:t>
      </w:r>
      <w:r>
        <w:rPr>
          <w:rFonts w:ascii="Times New Roman;Times;serif" w:hAnsi="Times New Roman;Times;serif"/>
          <w:sz w:val="20"/>
        </w:rPr>
        <w:t>. No holder of securities of the Company has rights to the registration of any securities of the Company because of the filing of the Registration Statement or the issuance of the Securities hereunder that could expose the Company to material liability or any Buyer to any liability or that could impair the Company’s ability to consummate the issuance and sale of the Securities in the manner, and at the times, contemplated hereby, which rights have not been waived by the holder thereof as of the date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(zz)</w:t>
      </w:r>
      <w:r>
        <w:rPr>
          <w:rFonts w:ascii="Times New Roman;Times;serif" w:hAnsi="Times New Roman;Times;serif"/>
          <w:sz w:val="20"/>
          <w:u w:val="single"/>
        </w:rPr>
        <w:t>Subsidiaries</w:t>
      </w:r>
      <w:r>
        <w:rPr>
          <w:rFonts w:ascii="Times New Roman;Times;serif" w:hAnsi="Times New Roman;Times;serif"/>
          <w:sz w:val="20"/>
        </w:rPr>
        <w:t>. The Company hereby represents and warrants that no direct or indirect Subsidiary of the Company, that is not a Significant Subsidiary (as defined in the Notes) of the Company, has any material assets or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(aaa)</w:t>
      </w:r>
      <w:r>
        <w:rPr>
          <w:rFonts w:ascii="Times New Roman;Times;serif" w:hAnsi="Times New Roman;Times;serif"/>
          <w:sz w:val="20"/>
          <w:u w:val="single"/>
        </w:rPr>
        <w:t>Qualification Under Trust Indenture Act</w:t>
      </w:r>
      <w:r>
        <w:rPr>
          <w:rFonts w:ascii="Times New Roman;Times;serif" w:hAnsi="Times New Roman;Times;serif"/>
          <w:sz w:val="20"/>
        </w:rPr>
        <w:t>. Prior to any issuance of Notes hereunder, the Company shall qualify or cause or arrange for the Trustee to qualify the Indenture under the Trust Indenture Act of 1939, as amended (the “</w:t>
      </w:r>
      <w:r>
        <w:rPr>
          <w:rFonts w:ascii="Times New Roman;Times;serif" w:hAnsi="Times New Roman;Times;serif"/>
          <w:b/>
          <w:sz w:val="20"/>
        </w:rPr>
        <w:t>TIA</w:t>
      </w:r>
      <w:r>
        <w:rPr>
          <w:rFonts w:ascii="Times New Roman;Times;serif" w:hAnsi="Times New Roman;Times;serif"/>
          <w:sz w:val="20"/>
        </w:rPr>
        <w:t>”) and enter into any necessary supplemental indentures in connection therewith and, so long as the Notes remain outstanding, the Indenture shall be maintained in compliance with the TIA.</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(bbb)</w:t>
      </w:r>
      <w:r>
        <w:rPr>
          <w:rFonts w:ascii="Times New Roman;Times;serif" w:hAnsi="Times New Roman;Times;serif"/>
          <w:sz w:val="20"/>
          <w:u w:val="single"/>
        </w:rPr>
        <w:t>Disclosure</w:t>
      </w:r>
      <w:r>
        <w:rPr>
          <w:rFonts w:ascii="Times New Roman;Times;serif" w:hAnsi="Times New Roman;Times;serif"/>
          <w:sz w:val="20"/>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or any of its Subsidiaries and made available to each Buyer have been prepared in good faith based upon reasonable assumptions and represented, at the time each such financial projection or forecast was delivered to such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12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Best Efforts</w:t>
      </w:r>
      <w:r>
        <w:rPr>
          <w:rFonts w:ascii="Times New Roman;Times;serif" w:hAnsi="Times New Roman;Times;serif"/>
          <w:sz w:val="20"/>
        </w:rPr>
        <w:t>. Each Buyer shall use its best efforts to timely satisfy each of the covenants hereunder and conditions to be satisfied by it as provided in Section 6 of this Agreement. The Company shall use its best efforts to timely satisfy each of the covenants hereunder and conditions to be satisfied by it as provided in Section 7 of this Agreement.</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Amendments to the Registration Statement; Prospectus Supplements; Free Writing Prospectuses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Amendments to the Registration Statement; Prospectus Supplements; Free Writing Prospectuses</w:t>
      </w:r>
      <w:r>
        <w:rPr>
          <w:rFonts w:ascii="Times New Roman;Times;serif" w:hAnsi="Times New Roman;Times;serif"/>
          <w:sz w:val="20"/>
        </w:rPr>
        <w:t>. Except as provided in this Agreement and other than periodic reports required to be filed pursuant to the 1934 Act, the Company shall not file with the SEC any amendment to the Registration Statement that relates to the Buyer, this Agreement or any other Transaction Document or the transactions contemplated hereby or thereby or file with the SEC any Prospectus Supplement that relates to the Buyer, this Agreement or any other Transaction Document or the transactions contemplated hereby or thereby with respect to which (a) the Buyer shall not previously have been advised, (b) the Company shall not have given due consideration to any comments thereon received from the Buyer or its counsel, or (c) the Buyer shall reasonably object after being so advised, unless the Company reasonably has determined that it is necessary to amend the Registration Statement or make any supplement to the Prospectus to comply with the 1933 Act or any other applicable law or regulation, in which case the Company shall promptly (but in no event later than 24 hours) so inform the Buyer, the Buyer shall be provided with a reasonable opportunity to review and comment upon any disclosure relating to the Buyer and the Company shall expeditiously furnish to the Buyer an electronic copy thereof. In addition, for so long as, in the reasonable opinion of counsel for the Buyer, the Prospectus (or in lieu thereof, the notice referred to in Rule 173(a) under the 1933 Act) is required to be delivered in connection with any acquisition or sale of Securities by the Buyer, the Company shall not file any Prospectus Supplement with respect to the Securities without delivering or making available a copy of such Prospectus Supplement, together with the Prospectus, to the Buyer promptly.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Company has not made, and agrees that unless it obtains the prior written consent of the Buyer it will not make, an offer relating to the Securities that would constitute an “issuer free writing prospectus” as defined in Rule 433 promulgated under the 1933 Act (an “</w:t>
      </w:r>
      <w:r>
        <w:rPr>
          <w:rFonts w:ascii="Times New Roman;Times;serif" w:hAnsi="Times New Roman;Times;serif"/>
          <w:b/>
          <w:sz w:val="20"/>
        </w:rPr>
        <w:t>Issuer Free Writing Prospectus</w:t>
      </w:r>
      <w:r>
        <w:rPr>
          <w:rFonts w:ascii="Times New Roman;Times;serif" w:hAnsi="Times New Roman;Times;serif"/>
          <w:sz w:val="20"/>
        </w:rPr>
        <w:t>”) or that would otherwise constitute a “free writing prospectus” as defined in Rule 405 promulgated under the 1933 Act (a “</w:t>
      </w:r>
      <w:r>
        <w:rPr>
          <w:rFonts w:ascii="Times New Roman;Times;serif" w:hAnsi="Times New Roman;Times;serif"/>
          <w:b/>
          <w:sz w:val="20"/>
        </w:rPr>
        <w:t>Free Writing Prospectus</w:t>
      </w:r>
      <w:r>
        <w:rPr>
          <w:rFonts w:ascii="Times New Roman;Times;serif" w:hAnsi="Times New Roman;Times;serif"/>
          <w:sz w:val="20"/>
        </w:rPr>
        <w:t>”) required to be filed by the Company or the Buyer with the SEC or retained by the Company or the Buyer under Rule 433 under the 1933 Act. The Buyer has not made, and agrees that unless it obtains the prior written consent of the Company it will not make, an offer relating to the Securities that would constitute a Free Writing Prospectus required to be filed by the Company with the SEC or retained by the Company under Rule 433 under the 1933 Act. Any such Issuer Free Writing Prospectus or other Free Writing Prospectus consented to by the Buyer or the Company is referred to in this Agreement as a “</w:t>
      </w:r>
      <w:r>
        <w:rPr>
          <w:rFonts w:ascii="Times New Roman;Times;serif" w:hAnsi="Times New Roman;Times;serif"/>
          <w:b/>
          <w:sz w:val="20"/>
        </w:rPr>
        <w:t>Permitted Free Writing Prospectus</w:t>
      </w:r>
      <w:r>
        <w:rPr>
          <w:rFonts w:ascii="Times New Roman;Times;serif" w:hAnsi="Times New Roman;Times;serif"/>
          <w:sz w:val="20"/>
        </w:rPr>
        <w:t>.” The Company agrees that (x) it has treated and will treat, as the case may be, each Permitted Free Writing Prospectus as an Issuer Free Writing Prospectus and (y) it has complied and will comply, as the case may be, with the requirements of Rules 164 and 433 under the 1933 Act applicable to any Permitted Free Writing Prospectus, including in respect of timely filing with the SEC, legending and record keeping.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Prospectus Delivery</w:t>
      </w:r>
      <w:r>
        <w:rPr>
          <w:rFonts w:ascii="Times New Roman;Times;serif" w:hAnsi="Times New Roman;Times;serif"/>
          <w:sz w:val="20"/>
        </w:rPr>
        <w:t>. Immediately prior to execution of this Agreement, the Company shall have delivered to the Buyer, and as soon as practicable after execution of this Agreement the Company shall file, Prospectus Supplements with respect to the Securities to be issued on the applicable Closing Date, as required under, and in conformity with, the 1933 Act, including Rule 424(b) thereunder. The Company shall provide the Buyer a reasonable opportunity to comment on a draft of each Prospectus Supplement and any Issuer Free Writing Prospectus, shall give due consideration to all such comments and, subject to the provisions of Section 4(b) hereof, shall deliver or make available to the Buyer, without charge, an electronic copy of each form of Prospectus Supplement, together with the Prospectus, and any Permitted Free Writing Prospectus on such Closing Date. The Company consents to the use of the Prospectus (and of any Prospectus Supplements thereto) in accordance with the provisions of the 1933 Act and with the securities or “blue sky” laws of the jurisdictions in which the Securities may be sold by the Buyer, in connection with the offering and sale of the Securities and for such period of time thereafter as the Prospectus (or in lieu thereof, the notice referred to in Rule 173(a) under the 1933 Act) is required by the 1933 Act to be delivered in connection with sales of the Securities. If during such period of time any event shall occur that in the judgment of the Company and its counsel is required to be set forth in the Registration Statement or the Prospectus or any Permitted Free Writing Prospectus or should be set forth therein in order to make the statements made therein (in the case of the Prospectus, in light of the circumstances under which they were made) not misleading, or if it is necessary to amend the Registration Statement or supplement or amend the Prospectus or any Permitted Free Writing Prospectus to comply with the 1933 Act or any other applicable law or regulation, the Company shall forthwith prepare and, subject to Section 4(b) above, file with the SEC an appropriate amendment to the Registration Statement or Prospectus Supplement to the Prospectus (or supplement to the Permitted Free Writing Prospectus) and shall expeditiously furnish or make available to the Buyer an electronic copy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Stop Orders</w:t>
      </w:r>
      <w:r>
        <w:rPr>
          <w:rFonts w:ascii="Times New Roman;Times;serif" w:hAnsi="Times New Roman;Times;serif"/>
          <w:sz w:val="20"/>
        </w:rPr>
        <w:t>. The Company shall advise the Buyer promptly (but in no event later than 24 hours) and shall confirm such advice in writing: (i) of the Company’s receipt of notice of any request by the SEC for amendment of or a supplement to the Registration Statement, the Prospectus, any Permitted Free Writing Prospectus or for any additional information; (ii) of the Company’s receipt of notice of the issuance by the SEC of any stop order suspending the effectiveness of the Registration Statement or prohibiting or suspending the use of the Prospectus or any Prospectus Supplement, or of the suspension of qualification of the Securities for offering or sale in any jurisdiction, or the initiation or contemplated initiation of any proceeding for such purpose; (iii) of the Company becoming aware of the happening of any event, which makes any statement of a material fact made in the Registration Statement, the Prospectus or any Permitted Free Writing Prospectus untrue or which requires the making of any additions to or changes to the statements then made in the Registration Statement, the Prospectus or any Permitted Free Writing Prospectus in order to state a material fact required by the 1933 Act to be stated therein or necessary in order to make the statements then made therein (in the case of the Prospectus, in light of the circumstances under which they were made) not misleading, or of the necessity to amend the Registration Statement or supplement the Prospectus or any Permitted Free Writing Prospectus to comply with the 1933 Act or any other law or (iv) if at any time following the date hereof the Registration Statement is not effective or is not otherwise available for the issuance of the Securities or any Prospectus contained therein is not available for use for any other reason. Thereafter, the Company shall promptly notify such holders when the Registration Statement, the Prospectus, any Permitted Free Writing Prospectus and/or any amendment or supplement thereto, as applicable, is effective and available for the issuance of the Securities. If at any time the SEC shall issue any stop order suspending the effectiveness of the Registration Statement or prohibiting or suspending the use of the Prospectus or any Prospectus Supplement, the Company shall use best efforts to obtain the withdrawal of such order at the earliest possible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Blue Sky</w:t>
      </w:r>
      <w:r>
        <w:rPr>
          <w:rFonts w:ascii="Times New Roman;Times;serif" w:hAnsi="Times New Roman;Times;serif"/>
          <w:sz w:val="20"/>
        </w:rPr>
        <w:t>. The Company shall, on or before each Closing Date, take such action as the Company shall reasonably determine is necessary in order to obtain an exemption for, or to, qualify the Securities for sale to the Buyers at such Closing pursuant to this Agreement under applicable securities or “Blue Sky” laws of the states of the United States (or to obtain an exemption from such qualification), and shall provide evidence of any such action so taken to the Buyers on or prior to such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Reporting Status</w:t>
      </w:r>
      <w:r>
        <w:rPr>
          <w:rFonts w:ascii="Times New Roman;Times;serif" w:hAnsi="Times New Roman;Times;serif"/>
          <w:sz w:val="20"/>
        </w:rPr>
        <w:t>. Until the date on which the Buyers shall have sold all of the Underlying Securities (the “</w:t>
      </w:r>
      <w:r>
        <w:rPr>
          <w:rFonts w:ascii="Times New Roman;Times;serif" w:hAnsi="Times New Roman;Times;serif"/>
          <w:b/>
          <w:sz w:val="20"/>
        </w:rPr>
        <w:t>Reporting Period</w:t>
      </w:r>
      <w:r>
        <w:rPr>
          <w:rFonts w:ascii="Times New Roman;Times;serif" w:hAnsi="Times New Roman;Times;serif"/>
          <w:sz w:val="20"/>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Use of Proceeds</w:t>
      </w:r>
      <w:r>
        <w:rPr>
          <w:rFonts w:ascii="Times New Roman;Times;serif" w:hAnsi="Times New Roman;Times;serif"/>
          <w:sz w:val="20"/>
        </w:rPr>
        <w:t>. The Company will use the proceeds from the sale of the Securities with respect to any applicable Closing as described in the Prospectus Supplement for such applicable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Financial Information</w:t>
      </w:r>
      <w:r>
        <w:rPr>
          <w:rFonts w:ascii="Times New Roman;Times;serif" w:hAnsi="Times New Roman;Times;serif"/>
          <w:sz w:val="20"/>
        </w:rPr>
        <w:t>. The Company agrees to send the following to each holder of Notes (each, an “</w:t>
      </w:r>
      <w:r>
        <w:rPr>
          <w:rFonts w:ascii="Times New Roman;Times;serif" w:hAnsi="Times New Roman;Times;serif"/>
          <w:b/>
          <w:sz w:val="20"/>
        </w:rPr>
        <w:t>Investor</w:t>
      </w:r>
      <w:r>
        <w:rPr>
          <w:rFonts w:ascii="Times New Roman;Times;serif" w:hAnsi="Times New Roman;Times;serif"/>
          <w:sz w:val="20"/>
        </w:rPr>
        <w:t>”) during the Reporting Period (i) unless the following are filed with the SEC through EDGAR and are available to the public through the EDGAR system, within one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Trading Day after the filing thereof with the SEC, a copy of its Annual Report on Form 20-F, Report of Foreign Issuer on Form 6-K, any other interim reports or any consolidated balance sheets, income statements, shareholders’ equity statements and/or cash flow statements for any period other than annual, any Report of Foreign Issuer on Form 6-K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shareholders of the Company generally, contemporaneously with the making available or giving thereof to the shareholders.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Listing</w:t>
      </w:r>
      <w:r>
        <w:rPr>
          <w:rFonts w:ascii="Times New Roman;Times;serif" w:hAnsi="Times New Roman;Times;serif"/>
          <w:sz w:val="20"/>
        </w:rPr>
        <w:t>. The Company shall promptly secure the listing or designation for quotation (as the case may be) of all of the Underlying Securities upon each national securities exchange and automated quotation system, if any, upon which the Ordinary Shares and/or ADSs, as applicable, is then listed or designated for quotation (as the case may be) (subject to official notice of issuance) and shall maintain such listing or designation for quotation (as the case may be) of all Underlying Securities from time to time issuable under the terms of the Transaction Documents on such national securities exchange or automated quotation system. The Company shall maintain the ADS’s listing or authorization for quotation (as the case may be) on The New York Stock Exchange, the NYSE American, the Nasdaq Capital Market, the Nasdaq Global Select Market, or the Nasdaq Global Market (each, an “</w:t>
      </w:r>
      <w:r>
        <w:rPr>
          <w:rFonts w:ascii="Times New Roman;Times;serif" w:hAnsi="Times New Roman;Times;serif"/>
          <w:b/>
          <w:sz w:val="20"/>
        </w:rPr>
        <w:t>Eligible Market</w:t>
      </w:r>
      <w:r>
        <w:rPr>
          <w:rFonts w:ascii="Times New Roman;Times;serif" w:hAnsi="Times New Roman;Times;serif"/>
          <w:sz w:val="20"/>
        </w:rPr>
        <w:t>”). Neither the Company nor any of its Subsidiaries shall take any action which could be reasonably expected to result in the delisting or suspension of the Ordinary Shares and/or ADSs, as applicable, on an Eligible Market. The Company shall pay all fees and expenses in connection with satisfying its obligations under this Section 4(i). “</w:t>
      </w:r>
      <w:r>
        <w:rPr>
          <w:rFonts w:ascii="Times New Roman;Times;serif" w:hAnsi="Times New Roman;Times;serif"/>
          <w:b/>
          <w:sz w:val="20"/>
        </w:rPr>
        <w:t>Underlying Securities</w:t>
      </w:r>
      <w:r>
        <w:rPr>
          <w:rFonts w:ascii="Times New Roman;Times;serif" w:hAnsi="Times New Roman;Times;serif"/>
          <w:sz w:val="20"/>
        </w:rPr>
        <w:t>” means (i) the Conversion Shares (and the Conversion ADSs), and (ii) any share capital of the Company issued or issuable with respect to the Conversion Shares (and the Conversion ADSs) or the Notes, respectively, including, without limitation, (1) as a result of any share subdivision, share split, share combination, share dividend, recapitalization, exchange or similar event or otherwise and (2) any share capital of the Company into which ADSs and/or the Ordinary Shares (as applicable) are converted or exchanged and any share capital of a Successor Entity (as defined in the Notes) into which the ADSs and/or the Ordinary Shares (as applicable) are converted or exchanged, in each case, without regard to any limitations on conversion of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Fees</w:t>
      </w:r>
      <w:r>
        <w:rPr>
          <w:rFonts w:ascii="Times New Roman;Times;serif" w:hAnsi="Times New Roman;Times;serif"/>
          <w:sz w:val="20"/>
        </w:rPr>
        <w:t>. The Company shall reimburse the lead Buyer (i) at the Initial Closing, a non-accountable amount of $175,000 for the fees and expenses of Kelley Drye &amp; Warren LLP, and (ii) at each Additional Closing, a non-accountable amount of $35,000 for the fees and expenses of Kelley Drye &amp; Warren LLP, in each case, for all costs and expenses incurred by it or its affiliates in connection with the structuring, documentation, negotiation and closing of the transactions contemplated by the Transaction Documents (including, without limitation, as applicable, all legal fees of outside counsel and disbursements of Kelley Drye &amp; Warren LLP, counsel to the lead Buyer, any other reasonable fees and expenses in connection with the structuring, documentation, negotiation and closing of the transactions contemplated by the Transaction Documents and due diligence and regulatory filings in connection therewith) (the “</w:t>
      </w:r>
      <w:r>
        <w:rPr>
          <w:rFonts w:ascii="Times New Roman;Times;serif" w:hAnsi="Times New Roman;Times;serif"/>
          <w:b/>
          <w:sz w:val="20"/>
        </w:rPr>
        <w:t>Transaction Expenses</w:t>
      </w:r>
      <w:r>
        <w:rPr>
          <w:rFonts w:ascii="Times New Roman;Times;serif" w:hAnsi="Times New Roman;Times;serif"/>
          <w:sz w:val="20"/>
        </w:rPr>
        <w:t>”) and shall be withheld by the lead Buyer from its Purchase Price at each Closing, and with respect to the Initial Closing, less $65,000 previously paid by the Company to the lead investor; provided, that the Company shall promptly reimburse Kelley Drye &amp; Warren LLP on demand for all Transaction Expenses not so reimbursed through such withholding at such applicable Closing. The Company shall be responsible for the payment of any placement agent’s fees, financial advisory fees, any fees and expenses of the Trustee (including, without limitation, the fees and expenses of any legal counsel to the Trustee), registrar service provider fees, depositary fees, ADS issuance fees, DTC fees or broker’s commissions (other than for Persons engaged by any Buyer) relating to or arising out of the transactions contemplated hereby.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Pledge of Securities</w:t>
      </w:r>
      <w:r>
        <w:rPr>
          <w:rFonts w:ascii="Times New Roman;Times;serif" w:hAnsi="Times New Roman;Times;serif"/>
          <w:sz w:val="20"/>
        </w:rPr>
        <w:t>. Notwithstanding anything to the contrary contained in this Agreement, the Company acknowledges and agrees that the Securities may be pledged by an Investor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a Buyer.</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tbl>
      <w:tblPr>
        <w:tblW w:w="5013" w:type="dxa"/>
        <w:jc w:val="left"/>
        <w:tblInd w:w="0" w:type="dxa"/>
        <w:tblLayout w:type="fixed"/>
        <w:tblCellMar>
          <w:top w:w="0" w:type="dxa"/>
          <w:left w:w="0" w:type="dxa"/>
          <w:bottom w:w="0" w:type="dxa"/>
          <w:right w:w="0" w:type="dxa"/>
        </w:tblCellMar>
      </w:tblPr>
      <w:tblGrid>
        <w:gridCol w:w="23"/>
        <w:gridCol w:w="200"/>
        <w:gridCol w:w="47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w:t>
            </w:r>
          </w:p>
        </w:tc>
        <w:tc>
          <w:tcPr>
            <w:tcW w:w="47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Disclosure of Transactions and Other Material Information</w:t>
            </w:r>
            <w:r>
              <w:rPr>
                <w:rFonts w:ascii="Times New Roman;Times;serif" w:hAnsi="Times New Roman;Times;serif"/>
                <w:sz w:val="20"/>
              </w:rPr>
              <w:t>.</w:t>
            </w:r>
          </w:p>
        </w:tc>
      </w:tr>
    </w:tbl>
    <w:tbl>
      <w:tblPr>
        <w:tblW w:w="2358" w:type="dxa"/>
        <w:jc w:val="left"/>
        <w:tblInd w:w="0" w:type="dxa"/>
        <w:tblLayout w:type="fixed"/>
        <w:tblCellMar>
          <w:top w:w="0" w:type="dxa"/>
          <w:left w:w="0" w:type="dxa"/>
          <w:bottom w:w="0" w:type="dxa"/>
          <w:right w:w="0" w:type="dxa"/>
        </w:tblCellMar>
      </w:tblPr>
      <w:tblGrid>
        <w:gridCol w:w="23"/>
        <w:gridCol w:w="200"/>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2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Disclosure of Transaction</w:t>
            </w:r>
            <w:r>
              <w:rPr>
                <w:rFonts w:ascii="Times New Roman;Times;serif" w:hAnsi="Times New Roman;Times;serif"/>
                <w:sz w:val="20"/>
              </w:rPr>
              <w:t>.</w:t>
            </w:r>
          </w:p>
        </w:tc>
      </w:tr>
    </w:tbl>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20"/>
          <w:u w:val="single"/>
        </w:rPr>
        <w:t>Initial Closing</w:t>
      </w:r>
      <w:r>
        <w:rPr>
          <w:rFonts w:ascii="Times New Roman;Times;serif" w:hAnsi="Times New Roman;Times;serif"/>
          <w:sz w:val="20"/>
        </w:rPr>
        <w:t>. On or before 9:00 a.m., New York time, on the fourth (4</w:t>
      </w:r>
      <w:r>
        <w:rPr>
          <w:rFonts w:ascii="Times New Roman;Times;serif" w:hAnsi="Times New Roman;Times;serif"/>
          <w:sz w:val="15"/>
        </w:rPr>
        <w:t>th</w:t>
      </w:r>
      <w:r>
        <w:rPr>
          <w:rFonts w:ascii="Times New Roman;Times;serif" w:hAnsi="Times New Roman;Times;serif"/>
          <w:sz w:val="20"/>
        </w:rPr>
        <w:t>) Trading Day after the date of this Agreement, the Company shall file a Report of Foreign Issuer on Form 6-K describing all the material terms of the transactions contemplated by the Transaction Documents in the form required by the 1934 Act and attaching all the material Transaction Documents (including, without limitation, this Agreement (and all schedules to this Agreement), the form of Notes, the form of Indenture, the form of Supplemental Indentures, the form of Custodian Agreement and the form of Leak-Out Agreements) (including all attachments, the “</w:t>
      </w:r>
      <w:r>
        <w:rPr>
          <w:rFonts w:ascii="Times New Roman;Times;serif" w:hAnsi="Times New Roman;Times;serif"/>
          <w:b/>
          <w:sz w:val="20"/>
        </w:rPr>
        <w:t>Initial 6-K Filing</w:t>
      </w:r>
      <w:r>
        <w:rPr>
          <w:rFonts w:ascii="Times New Roman;Times;serif" w:hAnsi="Times New Roman;Times;serif"/>
          <w:sz w:val="20"/>
        </w:rPr>
        <w:t>”). From and after the filing of the Initial 6-K Filing,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Initial 6-K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z w:val="20"/>
          <w:u w:val="single"/>
        </w:rPr>
        <w:t>Additional Closings</w:t>
      </w:r>
      <w:r>
        <w:rPr>
          <w:rFonts w:ascii="Times New Roman;Times;serif" w:hAnsi="Times New Roman;Times;serif"/>
          <w:sz w:val="20"/>
        </w:rPr>
        <w:t>. The Company shall, on or before 9:00 a.m., New York time, on the first (1st) Trading Day after the Company receives (or delivers to any Buyer) an Additional Optional Closing Notice or after both the Company and a Buyer have duly executed and delivered an Additional Mutual Closing Notice to each other, as applicable, either issue a press release (each, an “</w:t>
      </w:r>
      <w:r>
        <w:rPr>
          <w:rFonts w:ascii="Times New Roman;Times;serif" w:hAnsi="Times New Roman;Times;serif"/>
          <w:b/>
          <w:sz w:val="20"/>
        </w:rPr>
        <w:t>Additional Press Release</w:t>
      </w:r>
      <w:r>
        <w:rPr>
          <w:rFonts w:ascii="Times New Roman;Times;serif" w:hAnsi="Times New Roman;Times;serif"/>
          <w:sz w:val="20"/>
        </w:rPr>
        <w:t>”) or file a Report of Foreign Issuer on Form 6-K (each, an “</w:t>
      </w:r>
      <w:r>
        <w:rPr>
          <w:rFonts w:ascii="Times New Roman;Times;serif" w:hAnsi="Times New Roman;Times;serif"/>
          <w:b/>
          <w:sz w:val="20"/>
        </w:rPr>
        <w:t>Additional 6-K Filing</w:t>
      </w:r>
      <w:r>
        <w:rPr>
          <w:rFonts w:ascii="Times New Roman;Times;serif" w:hAnsi="Times New Roman;Times;serif"/>
          <w:sz w:val="20"/>
        </w:rPr>
        <w:t>”, and together with the Initial 6-K Filing, the “</w:t>
      </w:r>
      <w:r>
        <w:rPr>
          <w:rFonts w:ascii="Times New Roman;Times;serif" w:hAnsi="Times New Roman;Times;serif"/>
          <w:b/>
          <w:sz w:val="20"/>
        </w:rPr>
        <w:t>6-K Filings</w:t>
      </w:r>
      <w:r>
        <w:rPr>
          <w:rFonts w:ascii="Times New Roman;Times;serif" w:hAnsi="Times New Roman;Times;serif"/>
          <w:sz w:val="20"/>
        </w:rPr>
        <w:t>”), in each case reasonably acceptable to such Buyer participating in such Additional Closing, disclosing that “an institutional investor” has elected to deliver an Additional Closing Notice to the Company or the Company has elected to effect an Additional Closing, as applicable. From and after the filing of the Additional Press Release or Additional 6-K Filing, solely to the extent such Additional Closing Notice constitutes material non-public information (as specified by the Company in such applicable Additional Company Optional Closing Notice or Additional Mutual Closing Notice or in its acknowledgement (or acceptance, as applicable) to such applicable Additional Buyer Optional Closing Notice or Additional Mutual Closing Notice, as applicable),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Additional 6-K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Limitations on Disclosure</w:t>
      </w:r>
      <w:r>
        <w:rPr>
          <w:rFonts w:ascii="Times New Roman;Times;serif" w:hAnsi="Times New Roman;Times;serif"/>
          <w:sz w:val="20"/>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including, without limitation, Section 4(r) of this Agreement,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such Buyer may deliver a written notice to the Company to request that the Company promptly publicly release such information. Except where the Company determines in good faith that such information is immaterial, the Company shall publicly release such information promptly after the written notice by such Buyer, failing which,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shareholders or agents, for any such disclosure. To the extent that the Company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the Press Release and any press release or other public disclosure with respect to such transactions (i) in substantial conformity with the 6-K Filings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except as required by applicable law or regulations; provided, however, that with respect to any filing or submission required by applicable law or regulations, (i) such filing or submission shall contain only such information as is necessary to comply with applicable law or regulations, and (ii) unless specifically prohibited by applicable law or court order, the Company shall promptly notify the Buyers of the requirement to make such submission or filing and provide the Buyers with a copy thereof.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Additional Issuance of Securities</w:t>
      </w:r>
      <w:r>
        <w:rPr>
          <w:rFonts w:ascii="Times New Roman;Times;serif" w:hAnsi="Times New Roman;Times;serif"/>
          <w:sz w:val="20"/>
        </w:rPr>
        <w:t>. During the period commencing on the date hereof and ending on the date no Notes remain outstanding, the Company will not, without the prior written consent of the Required Holders, issue any Notes (other than to the Buyers as contemplated pursuant to the terms of this Agreement or the Notes), and the Company shall not issue any other securities that would cause a breach or default under the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Reservation of Shares</w:t>
      </w:r>
      <w:r>
        <w:rPr>
          <w:rFonts w:ascii="Times New Roman;Times;serif" w:hAnsi="Times New Roman;Times;serif"/>
          <w:sz w:val="20"/>
        </w:rPr>
        <w:t>. So long as any of the Notes remain outstanding, the Company shall take all action necessary to at all times have authorized, and reserved for the purpose of issuance, no less than 100% of the maximum number of Ordinary Shares issuable upon conversion of all the Notes then outstanding (assuming for purposes hereof that (w) all Additional Notes issuable hereunder have been issued as of such date of determination, (x) the Notes are convertible at the Floor Price then in effect (as defined in the Notes) as of such applicable date of determination, (y) interest on the Notes shall accrue through the second anniversary of the Initial Closing Date and will be converted in Ordinary Shares at a conversion price equal to the Floor Price as of such applicable date of determination and (z) any such conversion shall not take into account any limitations on the conversion of the Notes set forth in the Notes) (collectively, the “</w:t>
      </w:r>
      <w:r>
        <w:rPr>
          <w:rFonts w:ascii="Times New Roman;Times;serif" w:hAnsi="Times New Roman;Times;serif"/>
          <w:b/>
          <w:sz w:val="20"/>
        </w:rPr>
        <w:t>Required Reserve Amount</w:t>
      </w:r>
      <w:r>
        <w:rPr>
          <w:rFonts w:ascii="Times New Roman;Times;serif" w:hAnsi="Times New Roman;Times;serif"/>
          <w:sz w:val="20"/>
        </w:rPr>
        <w:t>”) (and/or have available ADSs under one or more effective registration statements on Form F-6, which may be the ADS Registration Statements, as applicable, to cover 100% of the Conversion ADSs issuable upon conversion of the Notes outstanding); provided that at no time shall the number of Ordinary Shares reserved pursuant to this Section 4(o) be reduced other than proportionally in connection with any conversion and/or redemption, as applicable of Notes. If at any time the number of Ordinary Shares authorized and reserved for issuance is not sufficient to meet the Required Reserve Amount, the Company will promptly take all corporate action necessary to authorize and reserve a sufficient number of shares, including, without limitation, and/or calling a special meeting of shareholders to authorize additional Ordinary Shares to meet the Company’s obligations pursuant to the Transaction Documents, and in the case of an insufficient number of authorized Ordinary Shares, obtaining shareholder approval of an increase in such authorized number of shares, and voting the management shares of the Company in favor of an increase in the authorized Ordinary Shares of the Company, to ensure that the number of authorized Ordinary Shares is sufficient to meet the Required Reserve Amount. Further, when and as required pursuant to the terms and conditions hereof, the Company shall take all action necessary to establish and maintain as applicable, the Treasury Reserve, in the from of treasury Ordinary Shares and/or ADSs, as available and reserved solely for the timely satisfaction of the Company’s delivery obligations under the Notes and this Agreement during the Treasury Period (as defined below). If at any time the effective registration statements on Form F-6 filed by the Company, including the ADS Registration Statements, do not have sufficient ADSs available to effect the issuance in full of the Required Reserve Amount of ADSs, the Company shall promptly either file an amendment thereto or a new Registration Statement on Form F-6, as necessary, to cure such failure.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u w:val="single"/>
        </w:rPr>
        <w:t>Conduct of Business</w:t>
      </w:r>
      <w:r>
        <w:rPr>
          <w:rFonts w:ascii="Times New Roman;Times;serif" w:hAnsi="Times New Roman;Times;serif"/>
          <w:sz w:val="20"/>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u w:val="single"/>
        </w:rPr>
        <w:t>Other Notes; Variable Securities</w:t>
      </w:r>
      <w:r>
        <w:rPr>
          <w:rFonts w:ascii="Times New Roman;Times;serif" w:hAnsi="Times New Roman;Times;serif"/>
          <w:sz w:val="20"/>
        </w:rPr>
        <w:t>. So long as any Notes remain outstanding (except with the written consent of the Required Holders), the Company and each Subsidiary shall be prohibited from effecting or entering into an agreement to effect any Subsequent Placement involving a Variable Rate Transaction (other than (i) the Westwood Equity Line (as defined in the Notes), the Permitted Equity Line (as defined in the Notes), (ii) Variable Rate Transactions which are Affiliate Transactions (as defined in the Notes) and/or Strategic Investments (as defined in the Notes) whereby the Company issues or sells or may issue or sell any Ordinary Share Equivalents at a frequency of no more than once every 180-calendar days (collectively, the “</w:t>
      </w:r>
      <w:r>
        <w:rPr>
          <w:rFonts w:ascii="Times New Roman;Times;serif" w:hAnsi="Times New Roman;Times;serif"/>
          <w:b/>
          <w:sz w:val="20"/>
        </w:rPr>
        <w:t>Permitted Affiliate-Strategic VRTs</w:t>
      </w:r>
      <w:r>
        <w:rPr>
          <w:rFonts w:ascii="Times New Roman;Times;serif" w:hAnsi="Times New Roman;Times;serif"/>
          <w:sz w:val="20"/>
        </w:rPr>
        <w:t>”), and (iii) any other Variable Rate Transactions that convert only at a fixed maturity date at a price determined at such fixed maturity date of such Ordinary Share Equivalents with respect thereto. “</w:t>
      </w:r>
      <w:r>
        <w:rPr>
          <w:rFonts w:ascii="Times New Roman;Times;serif" w:hAnsi="Times New Roman;Times;serif"/>
          <w:b/>
          <w:sz w:val="20"/>
        </w:rPr>
        <w:t>Subsequent Placement</w:t>
      </w:r>
      <w:r>
        <w:rPr>
          <w:rFonts w:ascii="Times New Roman;Times;serif" w:hAnsi="Times New Roman;Times;serif"/>
          <w:sz w:val="20"/>
        </w:rPr>
        <w:t>” means any direct or indirect issuance, offer, sale, grant of any option or right to purchase or other disposition (or announcement of any option or right to purchase or any disposition of) any “equity security” (as that term is defined under Rule 405 promulgated under the 1933 Act), any Ordinary Share Equivalents (as defined below), any debt, any preferred shares or any purchase rights of the Company. “</w:t>
      </w:r>
      <w:r>
        <w:rPr>
          <w:rFonts w:ascii="Times New Roman;Times;serif" w:hAnsi="Times New Roman;Times;serif"/>
          <w:b/>
          <w:sz w:val="20"/>
        </w:rPr>
        <w:t>Variable Rate Transaction</w:t>
      </w:r>
      <w:r>
        <w:rPr>
          <w:rFonts w:ascii="Times New Roman;Times;serif" w:hAnsi="Times New Roman;Times;serif"/>
          <w:sz w:val="20"/>
        </w:rPr>
        <w:t>” means a transaction in which the Company or any Subsidiary (i) issues or sells any Ordinary Share Equivalents either (A) at a conversion, exercise or exchange rate or other price that is based upon and/or varies with the trading prices of or quotations for the ADSs at any time after the initial issuance of such Ordinary Share Equivalents, or (B) with a conversion, exercise or exchange price that is subject to being reset at some future date after the initial issuance of such Ordinary Share Equivalents or upon the occurrence of specified or contingent events directly or indirectly related to the business of the Company or the market for the ADSs, other than pursuant to a customary “weighted average”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u w:val="single"/>
        </w:rPr>
        <w:t>Participation Right</w:t>
      </w:r>
      <w:r>
        <w:rPr>
          <w:rFonts w:ascii="Times New Roman;Times;serif" w:hAnsi="Times New Roman;Times;serif"/>
          <w:sz w:val="20"/>
        </w:rPr>
        <w:t>. For a period of six (6) months commencing on the Initial Closing Date, the Company shall not, directly or indirectly, effect any Subsequent Placement unless the Company shall have first complied with this Section 4(r). The Company acknowledges and agrees that the right set forth in this Section 4(r) is a right granted by the Company, separately, to each Buyer.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At least five (5) Trading Days prior to any proposed or intended Subsequent Placement, the Company shall deliver to each Buyer a written notice (each such notice, a “</w:t>
      </w:r>
      <w:r>
        <w:rPr>
          <w:rFonts w:ascii="Times New Roman;Times;serif" w:hAnsi="Times New Roman;Times;serif"/>
          <w:b/>
          <w:sz w:val="20"/>
        </w:rPr>
        <w:t>Pre-Notice</w:t>
      </w:r>
      <w:r>
        <w:rPr>
          <w:rFonts w:ascii="Times New Roman;Times;serif" w:hAnsi="Times New Roman;Times;serif"/>
          <w:sz w:val="20"/>
        </w:rPr>
        <w:t>”), which Pre-Notice shall not contain any information (including, without limitation, material, non-public information) other than: (A) if the proposed Offer Notice (as defined below) constitutes or contains material, non-public information, a statement asking whether the Investor is willing to accept material non-public information or (B) if the proposed Offer Notice does not constitute or contain material, non-public information, (x) a statement that the Company proposes or intends to effect a Subsequent Placement, (y) a statement that the statement in clause (x) above does not constitute material, non-public information and (z) a statement informing such Buyer that it is entitled to receive an Offer Notice (as defined below) with respect to such Subsequent Placement upon its written request. Upon the written request of a Buyer within two (2) Trading Days after the Company’s delivery to such Buyer of such Pre-Notice, and only upon a written request by such Buyer, the Company shall promptly, but no later than one (1) Trading Day after such request, deliver to such Buyer an irrevocable written notice (the “</w:t>
      </w:r>
      <w:r>
        <w:rPr>
          <w:rFonts w:ascii="Times New Roman;Times;serif" w:hAnsi="Times New Roman;Times;serif"/>
          <w:b/>
          <w:sz w:val="20"/>
        </w:rPr>
        <w:t>Offer Notice</w:t>
      </w:r>
      <w:r>
        <w:rPr>
          <w:rFonts w:ascii="Times New Roman;Times;serif" w:hAnsi="Times New Roman;Times;serif"/>
          <w:sz w:val="20"/>
        </w:rPr>
        <w:t>”) of any proposed or intended issuance or sale or exchange (the “</w:t>
      </w:r>
      <w:r>
        <w:rPr>
          <w:rFonts w:ascii="Times New Roman;Times;serif" w:hAnsi="Times New Roman;Times;serif"/>
          <w:b/>
          <w:sz w:val="20"/>
        </w:rPr>
        <w:t>Offer</w:t>
      </w:r>
      <w:r>
        <w:rPr>
          <w:rFonts w:ascii="Times New Roman;Times;serif" w:hAnsi="Times New Roman;Times;serif"/>
          <w:sz w:val="20"/>
        </w:rPr>
        <w:t>”) of the securities being offered (the “</w:t>
      </w:r>
      <w:r>
        <w:rPr>
          <w:rFonts w:ascii="Times New Roman;Times;serif" w:hAnsi="Times New Roman;Times;serif"/>
          <w:b/>
          <w:sz w:val="20"/>
        </w:rPr>
        <w:t>Offered Securities</w:t>
      </w:r>
      <w:r>
        <w:rPr>
          <w:rFonts w:ascii="Times New Roman;Times;serif" w:hAnsi="Times New Roman;Times;serif"/>
          <w:sz w:val="20"/>
        </w:rPr>
        <w:t>”) in a Subsequent Placement,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to or exchange with such Buyer in accordance with the terms of the Offer such Buyer’s pro rata portion of 15% of the Offered Securities, provided that the number of Offered Securities which such Buyer shall have the right to subscribe for under this Section 4(r) shall be (x) based on such Buyer’s pro rata portion of the aggregate original principal amount of the Notes purchased hereunder by all Buyers (the “</w:t>
      </w:r>
      <w:r>
        <w:rPr>
          <w:rFonts w:ascii="Times New Roman;Times;serif" w:hAnsi="Times New Roman;Times;serif"/>
          <w:b/>
          <w:sz w:val="20"/>
        </w:rPr>
        <w:t>Basic Amount</w:t>
      </w:r>
      <w:r>
        <w:rPr>
          <w:rFonts w:ascii="Times New Roman;Times;serif" w:hAnsi="Times New Roman;Times;serif"/>
          <w:sz w:val="20"/>
        </w:rPr>
        <w:t>”), and (y) with respect to each Buyer that elects to purchase its Basic Amount, any additional portion of the Offered Securities attributable to the Basic Amounts of other Buyers as such Buyer shall indicate it will purchase or acquire should the other Buyers subscribe for less than their Basic Amounts (the “</w:t>
      </w:r>
      <w:r>
        <w:rPr>
          <w:rFonts w:ascii="Times New Roman;Times;serif" w:hAnsi="Times New Roman;Times;serif"/>
          <w:b/>
          <w:sz w:val="20"/>
        </w:rPr>
        <w:t>Undersubscription Amount</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To accept an Offer, in whole or in part, such Buyer must deliver a written notice to the Company prior to the end of the second (2nd) Trading Day after such Buyer’s receipt of the Offer Notice (the “</w:t>
      </w:r>
      <w:r>
        <w:rPr>
          <w:rFonts w:ascii="Times New Roman;Times;serif" w:hAnsi="Times New Roman;Times;serif"/>
          <w:b/>
          <w:sz w:val="20"/>
        </w:rPr>
        <w:t>Offer Period</w:t>
      </w:r>
      <w:r>
        <w:rPr>
          <w:rFonts w:ascii="Times New Roman;Times;serif" w:hAnsi="Times New Roman;Times;serif"/>
          <w:sz w:val="20"/>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Times New Roman;Times;serif" w:hAnsi="Times New Roman;Times;serif"/>
          <w:b/>
          <w:sz w:val="20"/>
        </w:rPr>
        <w:t>Notice of Acceptance</w:t>
      </w:r>
      <w:r>
        <w:rPr>
          <w:rFonts w:ascii="Times New Roman;Times;serif" w:hAnsi="Times New Roman;Times;serif"/>
          <w:sz w:val="20"/>
        </w:rPr>
        <w:t>”). If the Basic Amounts subscribed for by all Buyers are less than the total of all of the Basic Amounts, then each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Times New Roman;Times;serif" w:hAnsi="Times New Roman;Times;serif"/>
          <w:b/>
          <w:sz w:val="20"/>
        </w:rPr>
        <w:t>Available Undersubscription Amount</w:t>
      </w:r>
      <w:r>
        <w:rPr>
          <w:rFonts w:ascii="Times New Roman;Times;serif" w:hAnsi="Times New Roman;Times;serif"/>
          <w:sz w:val="20"/>
        </w:rPr>
        <w:t>”), each Buyer who has subscribed for any Undersubscription Amount shall be entitled to purchase only that portion of the Available Undersubscription Amount as the Basic Amount of such Buyer bears to the total Basic Amounts of all Buyers that have subscribed for Undersubscription Amounts, subject to rounding by the Company to the extent it deems reasonably necessary. Notwithstanding the foregoing, if the Company desires to modify or amend the terms and conditions of the Offer prior to the expiration of the Offer Period, the Company may deliver to each Buyer a new Offer Notice and the Offer Period shall expire on the fifth (5</w:t>
      </w:r>
      <w:r>
        <w:rPr>
          <w:rFonts w:ascii="Times New Roman;Times;serif" w:hAnsi="Times New Roman;Times;serif"/>
          <w:sz w:val="15"/>
        </w:rPr>
        <w:t>th</w:t>
      </w:r>
      <w:r>
        <w:rPr>
          <w:rFonts w:ascii="Times New Roman;Times;serif" w:hAnsi="Times New Roman;Times;serif"/>
          <w:sz w:val="20"/>
        </w:rPr>
        <w:t>) Business Day after such Buyer’s receipt of such new Offer Notice.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Company shall have three (3) Trading Days from the expiration of the Offer Period above (A) to offer, issue, sell or exchange all or any part of such Offered Securities as to which a Notice of Acceptance has not been given by a Buyer (the “</w:t>
      </w:r>
      <w:r>
        <w:rPr>
          <w:rFonts w:ascii="Times New Roman;Times;serif" w:hAnsi="Times New Roman;Times;serif"/>
          <w:b/>
          <w:sz w:val="20"/>
        </w:rPr>
        <w:t>Refused Securities</w:t>
      </w:r>
      <w:r>
        <w:rPr>
          <w:rFonts w:ascii="Times New Roman;Times;serif" w:hAnsi="Times New Roman;Times;serif"/>
          <w:sz w:val="20"/>
        </w:rPr>
        <w:t>”) pursuant to a definitive agreement(s) (the “</w:t>
      </w:r>
      <w:r>
        <w:rPr>
          <w:rFonts w:ascii="Times New Roman;Times;serif" w:hAnsi="Times New Roman;Times;serif"/>
          <w:b/>
          <w:sz w:val="20"/>
        </w:rPr>
        <w:t>Subsequent Placement Agreement</w:t>
      </w:r>
      <w:r>
        <w:rPr>
          <w:rFonts w:ascii="Times New Roman;Times;serif" w:hAnsi="Times New Roman;Times;serif"/>
          <w:sz w:val="20"/>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Subsequent Placement Agreement, and (y) either (I) the consummation of the transactions contemplated by such Subsequent Placement Agreement or (II) the termination of such Subsequent Placement Agreement, which shall be filed with the SEC on a Report of Foreign Issuer on Form 6-K with such Subsequent Placement Agreement and any documents contemplated therein filed as exhibits thereto unless the Company determines it in good faith to be immaterial and represents in writing (which may be an email) to the Buyer that such Buyer no longer possesses any material nonpublic information with respect to such Subsequent Placement.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In the event the Company shall propose to sell less than all the Refused Securities (any such sale to be in the manner and on the terms specified in Section 4(r)(iii) above), then each Buyer may, at its sole option and in its sole discretion, withdraw its Notice of Acceptance or reduce the number or amount of the Offered Securities specified in its Notice of Acceptance to an amount that shall be not less than the number or amount of the Offered Securities that such Buyer elected to purchase pursuant to Section 4(r)(ii) above multiplied by a fraction, (i) the numerator of which shall be the number or amount of Offered Securities the Company actually proposes to issue, sell or exchange (including Offered Securities to be issued or sold to Buyers pursuant to this Section 4(r)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4(r)(i) above.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Upon the closing of the issuance, sale or exchange of all or less than all of the Refused Securities, such Buyer shall acquire from the Company, and the Company shall issue to such Buyer, the number or amount of Offered Securities specified in its Notice of Acceptance, as reduced pursuant to Section 4(r)(iv) above if such Buyer has so elected, upon the terms and conditions specified in the Offer.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Any Offered Securities not acquired by a Buyer or other Persons in accordance with this Section 4(r) may not be issued, sold or exchanged until they are again offered to such Buyer under the procedures specified in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Company and each Buyer agree that if any Buyer elects to participate in the Offer, (x) neither the Subsequent Placement Agreement with respect to such Offer nor any other transaction documents related thereto (collectively, the “</w:t>
      </w:r>
      <w:r>
        <w:rPr>
          <w:rFonts w:ascii="Times New Roman;Times;serif" w:hAnsi="Times New Roman;Times;serif"/>
          <w:b/>
          <w:sz w:val="20"/>
        </w:rPr>
        <w:t>Subsequent Placement Documents</w:t>
      </w:r>
      <w:r>
        <w:rPr>
          <w:rFonts w:ascii="Times New Roman;Times;serif" w:hAnsi="Times New Roman;Times;serif"/>
          <w:sz w:val="20"/>
        </w:rPr>
        <w:t>”) shall include any term or provision whereby such Buyer shall be required to agree to any restrictions on trading as to any securities of the Company or be required to consent to any amendment to or termination of, or grant any waiver, release or the like under or in connection with, any agreement previously entered into with the Company or any instrument received from the Company, and (y) representation and warranties of an Investor in the Subsequent Placement Documents shall not be more restrictive than those of the Buyers in this Agreement (other than such changes as necessary to comply with applicable law, rules and regulations, the manner of sale of such security in such Subsequent Placement and/or the type of such security to be sold in such Subsequent Placement).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Notwithstanding anything to the contrary in this Section 4(r) and unless otherwise agreed to by such Buyer or if the Company determines it in good faith to be immaterial and represents in writing (which may be an email) to the Buyer that such Buyer no longer possesses any material nonpublic information with respect to such Subsequent Placement,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 non-public information, by the fifth (5</w:t>
      </w:r>
      <w:r>
        <w:rPr>
          <w:rFonts w:ascii="Times New Roman;Times;serif" w:hAnsi="Times New Roman;Times;serif"/>
          <w:sz w:val="15"/>
        </w:rPr>
        <w:t>th</w:t>
      </w:r>
      <w:r>
        <w:rPr>
          <w:rFonts w:ascii="Times New Roman;Times;serif" w:hAnsi="Times New Roman;Times;serif"/>
          <w:sz w:val="20"/>
        </w:rPr>
        <w:t>) Business Day following delivery of the Offer Notice. If by such fifth (5</w:t>
      </w:r>
      <w:r>
        <w:rPr>
          <w:rFonts w:ascii="Times New Roman;Times;serif" w:hAnsi="Times New Roman;Times;serif"/>
          <w:sz w:val="15"/>
        </w:rPr>
        <w:t>th</w:t>
      </w:r>
      <w:r>
        <w:rPr>
          <w:rFonts w:ascii="Times New Roman;Times;serif" w:hAnsi="Times New Roman;Times;serif"/>
          <w:sz w:val="20"/>
        </w:rPr>
        <w:t>)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in possession of any material, non-public information with respect to the Company or any of its Subsidiaries. Should the Company decide to pursue such transaction with respect to the Offered Securities, the Company shall provide such Buyer with another Offer Notice and such Buyer will again have the right of participation set forth in this Section 4(r). The Company shall not be permitted to deliver more than one such Offer Notice to such Buyer in any sixty (60) day period, except as expressly contemplated by the last sentence of Section 4(r)(ii).</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The restrictions contained in this Section 4(r) shall not apply in connection with the issuance of any Excluded Securities (as defined in the Note). The Company shall not circumvent the provisions of this Section 4(r) by providing terms or conditions to one Buyer that are not provided to 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u w:val="single"/>
        </w:rPr>
        <w:t>Dilutive Issuances.</w:t>
      </w:r>
      <w:r>
        <w:rPr>
          <w:rFonts w:ascii="Times New Roman;Times;serif" w:hAnsi="Times New Roman;Times;serif"/>
          <w:sz w:val="20"/>
        </w:rPr>
        <w:t xml:space="preserve"> For so long as any Notes remain outstanding, the Company shall not, in any manner, enter into or affect any Dilutive Issuance (as defined in the Notes) if the effect of such Dilutive Issuance is to cause the Company to be required to issue upon conversion of any Notes any ADSs in excess of that number of ADSs which the Company may issue upon conversion of the Notes without breaching the Company’s obligations under the rules or regulations of the Principal Market. The Company shall not consummate any Subsequent Placement at a New Issuance Price (as defined in the Notes) less than 120% of the Floor Price.</w:t>
      </w:r>
      <w:r>
        <w:rPr>
          <w:rFonts w:ascii="Times New Roman;Times;serif" w:hAnsi="Times New Roman;Times;serif"/>
          <w:sz w:val="20"/>
          <w:u w:val="single"/>
        </w:rPr>
        <w:t>Passive Foreign Investment Company</w:t>
      </w:r>
      <w:r>
        <w:rPr>
          <w:rFonts w:ascii="Times New Roman;Times;serif" w:hAnsi="Times New Roman;Times;serif"/>
          <w:sz w:val="20"/>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sz w:val="20"/>
          <w:u w:val="single"/>
        </w:rPr>
        <w:t>Restriction on Cash Dividends</w:t>
      </w:r>
      <w:r>
        <w:rPr>
          <w:rFonts w:ascii="Times New Roman;Times;serif" w:hAnsi="Times New Roman;Times;serif"/>
          <w:sz w:val="20"/>
        </w:rPr>
        <w:t>. So long as any Notes are outstanding, the Company shall not, directly or indirectly declare or pay any cash dividend or distribution on, any securities of the Company without the prior express written consent of the Buyers.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u w:val="single"/>
        </w:rPr>
        <w:t>Corporate Existence</w:t>
      </w:r>
      <w:r>
        <w:rPr>
          <w:rFonts w:ascii="Times New Roman;Times;serif" w:hAnsi="Times New Roman;Times;serif"/>
          <w:sz w:val="20"/>
        </w:rPr>
        <w:t>. So long as any Buyer beneficially owns any Notes, the Company shall not be party to any Fundamental Transaction (as defined in the Notes) unless the Company is in compliance with the applicable provisions governing Fundamental Transactions set forth in the Notes.</w:t>
      </w:r>
    </w:p>
    <w:tbl>
      <w:tblPr>
        <w:tblW w:w="2253" w:type="dxa"/>
        <w:jc w:val="left"/>
        <w:tblInd w:w="0" w:type="dxa"/>
        <w:tblLayout w:type="fixed"/>
        <w:tblCellMar>
          <w:top w:w="0" w:type="dxa"/>
          <w:left w:w="0" w:type="dxa"/>
          <w:bottom w:w="0" w:type="dxa"/>
          <w:right w:w="0" w:type="dxa"/>
        </w:tblCellMar>
      </w:tblPr>
      <w:tblGrid>
        <w:gridCol w:w="23"/>
        <w:gridCol w:w="275"/>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w:t>
            </w:r>
          </w:p>
        </w:tc>
        <w:tc>
          <w:tcPr>
            <w:tcW w:w="1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[Intentionally Omitted].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u w:val="single"/>
        </w:rPr>
        <w:t>Conversion Procedures</w:t>
      </w:r>
      <w:r>
        <w:rPr>
          <w:rFonts w:ascii="Times New Roman;Times;serif" w:hAnsi="Times New Roman;Times;serif"/>
          <w:sz w:val="20"/>
        </w:rPr>
        <w:t>. The form of Conversion Notice (as defined in the Notes) included in the Notes set forth the totality of the procedures required of the Buyers in order to convert the Notes. No legal opinion, other information or instructions shall be required of the Buyers to convert their Notes. The Company shall honor conversions of the Notes and shall deliver the Conversion Shares in accordance with the terms, conditions and time periods set forth in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w:t>
      </w:r>
      <w:r>
        <w:rPr>
          <w:rFonts w:ascii="Times New Roman;Times;serif" w:hAnsi="Times New Roman;Times;serif"/>
          <w:sz w:val="20"/>
          <w:u w:val="single"/>
        </w:rPr>
        <w:t>Regulation M</w:t>
      </w:r>
      <w:r>
        <w:rPr>
          <w:rFonts w:ascii="Times New Roman;Times;serif" w:hAnsi="Times New Roman;Times;serif"/>
          <w:sz w:val="20"/>
        </w:rPr>
        <w:t>. The Company will not take any action prohibited by Regulation M under the 1934 Act, in connection with the distribution of the Securities contemplated hereby.</w:t>
      </w:r>
    </w:p>
    <w:tbl>
      <w:tblPr>
        <w:tblW w:w="2208" w:type="dxa"/>
        <w:jc w:val="left"/>
        <w:tblInd w:w="0" w:type="dxa"/>
        <w:tblLayout w:type="fixed"/>
        <w:tblCellMar>
          <w:top w:w="0" w:type="dxa"/>
          <w:left w:w="0" w:type="dxa"/>
          <w:bottom w:w="0" w:type="dxa"/>
          <w:right w:w="0" w:type="dxa"/>
        </w:tblCellMar>
      </w:tblPr>
      <w:tblGrid>
        <w:gridCol w:w="23"/>
        <w:gridCol w:w="23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(z)</w:t>
            </w:r>
          </w:p>
        </w:tc>
        <w:tc>
          <w:tcPr>
            <w:tcW w:w="1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[Intentionally Omitted].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(aa)</w:t>
      </w:r>
      <w:r>
        <w:rPr>
          <w:rFonts w:ascii="Times New Roman;Times;serif" w:hAnsi="Times New Roman;Times;serif"/>
          <w:sz w:val="20"/>
          <w:u w:val="single"/>
        </w:rPr>
        <w:t>No Net Short Position</w:t>
      </w:r>
      <w:r>
        <w:rPr>
          <w:rFonts w:ascii="Times New Roman;Times;serif" w:hAnsi="Times New Roman;Times;serif"/>
          <w:sz w:val="20"/>
        </w:rPr>
        <w:t>. Each Buyer hereby agrees solely with the Company, severally and not jointly, and not with any other Buyer, for so long as such Buyer owns any Notes, such Buyer shall not maintain a Net Short Position (as defined below). For purposes hereof, a “</w:t>
      </w:r>
      <w:r>
        <w:rPr>
          <w:rFonts w:ascii="Times New Roman;Times;serif" w:hAnsi="Times New Roman;Times;serif"/>
          <w:b/>
          <w:sz w:val="20"/>
        </w:rPr>
        <w:t>Net Short Position</w:t>
      </w:r>
      <w:r>
        <w:rPr>
          <w:rFonts w:ascii="Times New Roman;Times;serif" w:hAnsi="Times New Roman;Times;serif"/>
          <w:sz w:val="20"/>
        </w:rPr>
        <w:t>” by a person means a position whereby such person has executed one or more sales of Ordinary Shares that is marked as a short sale (but not including any sale marked “short exempt”) and that is executed at a time when such Buyer has no equivalent offsetting long position in the Ordinary Shares (or is deemed to have a long position hereunder or otherwise in accordance with Regulation SHO of the 1934 Act); provided, that, for purposes of such calculations, any short sales either (x) consummated at a price greater than or equal to the Conversion Price (as defined in the Notes), (y) that is a result of a bona-fide trading error on behalf of such Buyer (or its affiliates) or (z) that would otherwise be marked as a “long” sale, but for the occurrence of a Conversion Failure (as defined in the Notes), an Equity Conditions Failure (as defined in the Notes) or any other breach by the Company (or its affiliates or agents, including, without limitation, the Registrar or Depositary) of any Transaction Document, in each case, shall be excluded from such calculations. For purposes of determining whether a Buyer has an equivalent offsetting “long” position in the Ordinary Shares, (A) all Ordinary Shares that are owned by such Buyer shall be deemed held “long” by such Buyer, (B) at any time a Conversion Notice is delivered by such Buyer to the Company, any Ordinary Shares issued or issuable to such Buyer (or its designee, if applicable) in connection therewith shall be deemed held “long” by such Buyer from and after the date of such Conversion Notice until such time as such Buyer shall no longer beneficially own such Ordinary Shares, and (C) at any other time the Company is required (or has elected (or is deemed to have elected)) to issue Ordinary Shares to such Buyer pursuant to the terms of the Notes, any Ordinary Shares issued or issuable to such Buyer (or its designee, if applicable) in connection therewith shall be deemed held “long” by such Buyer from and after the deadline the Company is required to deliver such applicable Ordinary Shares pursuant to such Conversion Notice, until such time as such Buyer shall no longer beneficially own such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(bb)</w:t>
      </w:r>
      <w:r>
        <w:rPr>
          <w:rFonts w:ascii="Times New Roman;Times;serif" w:hAnsi="Times New Roman;Times;serif"/>
          <w:sz w:val="20"/>
          <w:u w:val="single"/>
        </w:rPr>
        <w:t>Closing Documents</w:t>
      </w:r>
      <w:r>
        <w:rPr>
          <w:rFonts w:ascii="Times New Roman;Times;serif" w:hAnsi="Times New Roman;Times;serif"/>
          <w:sz w:val="20"/>
        </w:rPr>
        <w:t>. On or prior to fourteen (14) calendar days after each Closing Date, the Company agrees to deliver, or cause to be delivered, to each Buyer and Kelley Drye &amp; Warren LLP a complete closing set of the executed Transaction Documents, Securities and any other document required to be delivered to any party pursuant to Section 7 hereof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tbl>
      <w:tblPr>
        <w:tblW w:w="3730" w:type="dxa"/>
        <w:jc w:val="left"/>
        <w:tblInd w:w="0" w:type="dxa"/>
        <w:tblLayout w:type="fixed"/>
        <w:tblCellMar>
          <w:top w:w="0" w:type="dxa"/>
          <w:left w:w="0" w:type="dxa"/>
          <w:bottom w:w="0" w:type="dxa"/>
          <w:right w:w="0" w:type="dxa"/>
        </w:tblCellMar>
      </w:tblPr>
      <w:tblGrid>
        <w:gridCol w:w="170"/>
        <w:gridCol w:w="356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5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REGISTER; INSTRUCTIONS; LEGEND.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Register</w:t>
      </w:r>
      <w:r>
        <w:rPr>
          <w:rFonts w:ascii="Times New Roman;Times;serif" w:hAnsi="Times New Roman;Times;serif"/>
          <w:sz w:val="20"/>
        </w:rPr>
        <w:t>. The Company shall maintain at its principal executive offices (or such other office or agency of the Company as it may designate by notice to each holder of Securities), a register for the Notes in which the Company shall record the name and address of the Person in whose name the Notes have been issued (including the name and address of each transferee), the principal amount of the Notes held by such Person and the number of Conversion Shares (and the Conversion ADSs) issuable pursuant to the terms of the Notes held by such Person. The Company shall keep the register open and available at all times during business hours for inspection of any Buyer or its legal representatives.</w:t>
      </w:r>
    </w:p>
    <w:tbl>
      <w:tblPr>
        <w:tblW w:w="1293" w:type="dxa"/>
        <w:jc w:val="left"/>
        <w:tblInd w:w="0" w:type="dxa"/>
        <w:tblLayout w:type="fixed"/>
        <w:tblCellMar>
          <w:top w:w="0" w:type="dxa"/>
          <w:left w:w="0" w:type="dxa"/>
          <w:bottom w:w="0" w:type="dxa"/>
          <w:right w:w="0" w:type="dxa"/>
        </w:tblCellMar>
      </w:tblPr>
      <w:tblGrid>
        <w:gridCol w:w="23"/>
        <w:gridCol w:w="245"/>
        <w:gridCol w:w="10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Instructions</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Registrar Service Provider Instructions</w:t>
      </w:r>
      <w:r>
        <w:rPr>
          <w:rFonts w:ascii="Times New Roman;Times;serif" w:hAnsi="Times New Roman;Times;serif"/>
          <w:sz w:val="20"/>
        </w:rPr>
        <w:t>. Upon receipt of each Conversion Notice (as defined in the Notes), and only to the extent the Conversion ADSs to be delivered do not originate from the treasury ADSs, the Company shall issue instructions (the “</w:t>
      </w:r>
      <w:r>
        <w:rPr>
          <w:rFonts w:ascii="Times New Roman;Times;serif" w:hAnsi="Times New Roman;Times;serif"/>
          <w:b/>
          <w:sz w:val="20"/>
        </w:rPr>
        <w:t>Registrar Service Provider Instructions</w:t>
      </w:r>
      <w:r>
        <w:rPr>
          <w:rFonts w:ascii="Times New Roman;Times;serif" w:hAnsi="Times New Roman;Times;serif"/>
          <w:sz w:val="20"/>
        </w:rPr>
        <w:t>”) to the Company’s registrar service provider (the “</w:t>
      </w:r>
      <w:r>
        <w:rPr>
          <w:rFonts w:ascii="Times New Roman;Times;serif" w:hAnsi="Times New Roman;Times;serif"/>
          <w:b/>
          <w:sz w:val="20"/>
        </w:rPr>
        <w:t>Registrar Service Provider</w:t>
      </w:r>
      <w:r>
        <w:rPr>
          <w:rFonts w:ascii="Times New Roman;Times;serif" w:hAnsi="Times New Roman;Times;serif"/>
          <w:sz w:val="20"/>
        </w:rPr>
        <w:t>”) to register the Conversion Shares in the name of the Depositary and deposit such Conversion Shares with Deutsche Bank AG, Hong Kong Branch, having its principal office at 57/F International Commerce Centre, 1 Austin Road West, Kowloon, Hong Kong S.A.R., People’s Republic of China, the custodian for the Depositary (or any successor custodian thereto, the “</w:t>
      </w:r>
      <w:r>
        <w:rPr>
          <w:rFonts w:ascii="Times New Roman;Times;serif" w:hAnsi="Times New Roman;Times;serif"/>
          <w:b/>
          <w:sz w:val="20"/>
        </w:rPr>
        <w:t>Custodian</w:t>
      </w:r>
      <w:r>
        <w:rPr>
          <w:rFonts w:ascii="Times New Roman;Times;serif" w:hAnsi="Times New Roman;Times;serif"/>
          <w:sz w:val="20"/>
        </w:rPr>
        <w:t>”), as applicable, underlying the Conversion ADSs to be issued in such amounts as specified from time to time by each Buyer to the Company in connection with the conversion of the Notes. The Company represents and warrants that no instruction other than the applicable Registrar Service Provider Instructions referred to in this Section 5(b)(i) will be given by the Company to the Registrar Service Provider with respect to such Conversion Shares, and that such Conversion Shares shall otherwise be freely transferable on the books and records of the Company. The Company acknowledges that a breach by it of its obligations hereunder will cause irreparable harm to each Buyer. Accordingly, the Company acknowledges that the remedy at law for a breach of its obligations under this Section 5(b)(i) will be inadequate and agrees, in the event of a breach or threatened breach by the Company of the provisions of this Section 5(b)(i), that each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to the extent permitted by applicable law, use reasonably best effort to cause its counsel to issue the legal opinion referred to in the Registrar Service Provider Instructions to the Registrar Service Provider to the extent reasonably required or requested by the Registrar Service Provider in connection with the issuance of Conversion Shares. Any fees (with respect to the Registrar Service Provider, counsel to the Company or otherwise) associated with such deposit or the issuance of such opinion shall be borne by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Depositary Instructions</w:t>
      </w:r>
      <w:r>
        <w:rPr>
          <w:rFonts w:ascii="Times New Roman;Times;serif" w:hAnsi="Times New Roman;Times;serif"/>
          <w:sz w:val="20"/>
        </w:rPr>
        <w:t>. Upon any conversion of the Notes in accordance with the applicable Conversion Notice (as defined in the Notes), and only to the extent the Conversion ADSs to be delivered do not originate from the treasury ADSs the Company shall issue instructions to the Depositary in the form previously provided by the Depositary to the Company (the “</w:t>
      </w:r>
      <w:r>
        <w:rPr>
          <w:rFonts w:ascii="Times New Roman;Times;serif" w:hAnsi="Times New Roman;Times;serif"/>
          <w:b/>
          <w:sz w:val="20"/>
        </w:rPr>
        <w:t>Depositary Instructions</w:t>
      </w:r>
      <w:r>
        <w:rPr>
          <w:rFonts w:ascii="Times New Roman;Times;serif" w:hAnsi="Times New Roman;Times;serif"/>
          <w:sz w:val="20"/>
        </w:rPr>
        <w:t>”) to issue to such Investor (or its designee) one or more ADR certificates or credit ADSs to the applicable balance accounts at DTC in such name and in such amounts as specified by such Investor (or its designee) shall request. The Depositary shall issue such Conversion ADSs to such Investor (or designee) without any restrictive legend. The Company acknowledges that a breach by it of its obligations hereunder will cause irreparable harm to each Buyer. Accordingly, the Company acknowledges that the remedy at law for a breach of its obligations under this Section 5(b)(ii) will be inadequate and agrees, in the event of a breach or threatened breach by the Company of the provisions of this Section 5(b)(ii) that each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opinions referred to in the Procedures Letter from the Company to Depositary (or its successor) on each Closing Date. Any fees (with respect to the Registrar Service Provider, the Depositary, counsel to the Company or otherwise) associated with the issuance of such opinion or the removal of any legends on any of the Securities shall be borne by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 Legends</w:t>
      </w:r>
      <w:r>
        <w:rPr>
          <w:rFonts w:ascii="Times New Roman;Times;serif" w:hAnsi="Times New Roman;Times;serif"/>
          <w:sz w:val="20"/>
        </w:rPr>
        <w:t>. Certificates and any other instruments evidencing the Securities shall not bear any restrictive or other legend.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Treasury Reserve</w:t>
      </w:r>
      <w:r>
        <w:rPr>
          <w:rFonts w:ascii="Times New Roman;Times;serif" w:hAnsi="Times New Roman;Times;serif"/>
          <w:sz w:val="20"/>
        </w:rPr>
        <w:t>. Solely if three (3) or more (or such larger number as may be determined by the Required Holders) Conversion Failures (as defined in the Notes) have occurred (a “</w:t>
      </w:r>
      <w:r>
        <w:rPr>
          <w:rFonts w:ascii="Times New Roman;Times;serif" w:hAnsi="Times New Roman;Times;serif"/>
          <w:b/>
          <w:sz w:val="20"/>
        </w:rPr>
        <w:t>Conversion Failure Event</w:t>
      </w:r>
      <w:r>
        <w:rPr>
          <w:rFonts w:ascii="Times New Roman;Times;serif" w:hAnsi="Times New Roman;Times;serif"/>
          <w:sz w:val="20"/>
        </w:rPr>
        <w:t>”), from the date of such Conversion Failure Event until such time as no Notes remain outstanding)(the “</w:t>
      </w:r>
      <w:r>
        <w:rPr>
          <w:rFonts w:ascii="Times New Roman;Times;serif" w:hAnsi="Times New Roman;Times;serif"/>
          <w:b/>
          <w:sz w:val="20"/>
        </w:rPr>
        <w:t>Treasury Period</w:t>
      </w:r>
      <w:r>
        <w:rPr>
          <w:rFonts w:ascii="Times New Roman;Times;serif" w:hAnsi="Times New Roman;Times;serif"/>
          <w:sz w:val="20"/>
        </w:rPr>
        <w:t>”), the Company shall keep at least 5,000,000 ADSs as treasury ADSs (the “</w:t>
      </w:r>
      <w:r>
        <w:rPr>
          <w:rFonts w:ascii="Times New Roman;Times;serif" w:hAnsi="Times New Roman;Times;serif"/>
          <w:b/>
          <w:sz w:val="20"/>
        </w:rPr>
        <w:t>Treasury Reserve</w:t>
      </w:r>
      <w:r>
        <w:rPr>
          <w:rFonts w:ascii="Times New Roman;Times;serif" w:hAnsi="Times New Roman;Times;serif"/>
          <w:sz w:val="20"/>
        </w:rPr>
        <w:t>”). If the Company fails at any time during the Treasury Period to timely deliver (or cause the delivery of) Ordinary Shares to the Investor as necessary to effect the issuance of ADSs upon any conversion of the Notes, the Company shall transfer such ADSs from the Treasury Reserve to such Investor, as applicable, to satisfy such Conversion ADSs delivery obligations pursuant to such Conversion Notice (each, an “</w:t>
      </w:r>
      <w:r>
        <w:rPr>
          <w:rFonts w:ascii="Times New Roman;Times;serif" w:hAnsi="Times New Roman;Times;serif"/>
          <w:b/>
          <w:sz w:val="20"/>
        </w:rPr>
        <w:t>Treasury Reserve Withdrawal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FAST Compliance</w:t>
      </w:r>
      <w:r>
        <w:rPr>
          <w:rFonts w:ascii="Times New Roman;Times;serif" w:hAnsi="Times New Roman;Times;serif"/>
          <w:sz w:val="20"/>
        </w:rPr>
        <w:t>. While any Notes remain outstanding, the Company shall maintain a Depositary that participates in the DTC Fast Automated Securities Transfer Program.</w:t>
      </w:r>
    </w:p>
    <w:tbl>
      <w:tblPr>
        <w:tblW w:w="5665" w:type="dxa"/>
        <w:jc w:val="left"/>
        <w:tblInd w:w="0" w:type="dxa"/>
        <w:tblLayout w:type="fixed"/>
        <w:tblCellMar>
          <w:top w:w="0" w:type="dxa"/>
          <w:left w:w="0" w:type="dxa"/>
          <w:bottom w:w="0" w:type="dxa"/>
          <w:right w:w="0" w:type="dxa"/>
        </w:tblCellMar>
      </w:tblPr>
      <w:tblGrid>
        <w:gridCol w:w="170"/>
        <w:gridCol w:w="549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54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CONDITIONS TO THE COMPANY’S OBLIGATION TO SELL.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obligation of the Company hereunder to issue and sell the Initial Notes to each Buyer at the Initial Closing is subject to the satisfaction, at or before the Initial Closing Date, of each of the following conditions, provided that these conditions are for the Company’s sole benefit and may be waived by the Company at any time in its sole discretion by providing each Buyer with prior written notice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Such Buyer shall have executed each of the other Transaction Documents to which it is a party and delivered the same to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Such Buyer and each other Buyer shall have delivered to the Company the Initial Purchase Price (less, in the case of any Buyer, the amounts withheld pursuant to Section 4(j)) for the Initial Note being purchased by such Buyer at the Initial Closing by wire transfer of immediately available funds in accordance with the Initial Flow of Funds Letter (as defined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representations and warranties of such Buyer shall be true and correct in all material respects as of the date when made and as of the Initial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Initial Closing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 xml:space="preserve">Each Buyer shall have duly executed and delivered to the Company the leak-out agreement in the form attached hereto as </w:t>
      </w:r>
      <w:r>
        <w:rPr>
          <w:rFonts w:ascii="Times New Roman;Times;serif" w:hAnsi="Times New Roman;Times;serif"/>
          <w:b/>
          <w:sz w:val="20"/>
        </w:rPr>
        <w:t>Exhibit B</w:t>
      </w:r>
      <w:r>
        <w:rPr>
          <w:rFonts w:ascii="Times New Roman;Times;serif" w:hAnsi="Times New Roman;Times;serif"/>
          <w:sz w:val="20"/>
        </w:rPr>
        <w:t xml:space="preserve"> (the “</w:t>
      </w:r>
      <w:r>
        <w:rPr>
          <w:rFonts w:ascii="Times New Roman;Times;serif" w:hAnsi="Times New Roman;Times;serif"/>
          <w:b/>
          <w:sz w:val="20"/>
        </w:rPr>
        <w:t>Leak-Out Agreement</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obligation of the Company hereunder to issue and sell such applicable Additional Notes to each Buyer at such Additional Closing is subject to the satisfaction, at or before such applicable Additional Closing Date, of each of the following conditions, provided that these conditions are for the Company’s sole benefit and may be waived by the Company at any time in its sole discretion by providing each Buyer with prior written notice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Such Buyer shall have executed each of the other Transaction Documents to which it is a party and delivered the same to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Such Buyer and each other Buyer shall have delivered to the Company the Additional Purchase Price (less, in the case of any Buyer, the amounts withheld pursuant to Section 4(j)) for the Additional Note being purchased by such Buyer at such Additional Closing by wire transfer of immediately available funds in accordance with such applicable Additional Flow of Funds Letter (as defined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representations and warranties of such Buyer shall be true and correct in all material respects as of the date when made and as of such Additional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such Additional Closing Date.</w:t>
      </w:r>
    </w:p>
    <w:tbl>
      <w:tblPr>
        <w:tblW w:w="6025" w:type="dxa"/>
        <w:jc w:val="left"/>
        <w:tblInd w:w="0" w:type="dxa"/>
        <w:tblLayout w:type="fixed"/>
        <w:tblCellMar>
          <w:top w:w="0" w:type="dxa"/>
          <w:left w:w="0" w:type="dxa"/>
          <w:bottom w:w="0" w:type="dxa"/>
          <w:right w:w="0" w:type="dxa"/>
        </w:tblCellMar>
      </w:tblPr>
      <w:tblGrid>
        <w:gridCol w:w="170"/>
        <w:gridCol w:w="585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58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CONDITIONS TO EACH BUYER’S OBLIGATION TO PURCHASE.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obligation of each Buyer hereunder to purchase its Initial Note at the Initial Closing is subject to the satisfaction, at or before the Initial Closing Date, of each of the following conditions, provided that these conditions are for each Buyer’s sole benefit and may be waived by such Buyer at any time in its sole discretion by providing the Company with prior written notice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duly executed and delivered to such Buyer each of the Transaction Documents to which it is a party and the Company shall have duly executed and delivered to such Buyer an Initial Note in such original principal amount as is set forth across from such Buyer’s name in column (3) of the Schedule of Buyers as being purchased by such Buyer at the Initial Closing pursuant to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Such Buyer shall have received the legal opinion (or a reliance letter, as applicable) with respect to matters of Cayman Islands law from the Company’s Cayman Islands legal counsel, the legal opinion with respect to matters of U.S. law from the Company’s United States counsel, and the legal opinion with respect to matters of PRC law from the Company’s PRC counsel, each dated as of the Initial Closing Date, in the form acceptable to such Buyer, the Depositary and the Trustee.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Company shall have delivered to such Buyer a certificate evidencing the formation and good standing of the Company in such entity’s jurisdiction of formation issued by the Secretary of State (or comparable office) of such jurisdiction of formation as of a date within ten (10) days of the Initial Closing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Company shall have delivered to such Buyer a certified copy of the Memorandum and Articles of Association as registered with the Registrar of Companies of the Cayman Islands.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Company shall have delivered to such Buyer a certificate, in the form reasonably acceptable to such Buyer, executed by the Secretary or the Chief Financial Officer of the Company and dated as of the Initial Closing Date, as to (i) the resolutions consistent with Section 3(b) as adopted by the Company’s board of directors in a form reasonably acceptable to such Buyer, (ii) the Articles of Association of the Company, (iii) the Memorandum of Association of the Company, and (iv) the Deposit Agreement, in each case, as in effect at the Initial Closing.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Each and every representation and warranty of the Company shall be true and correct as of the date when made and as of the Initial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Initial Closing Date. Such Buyer shall have received a certificate, duly executed by the Chief Executive Officer of the Company, dated as of the Initial Closing Date, to the foregoing effect. Such certificate should also set forth the number of ADSs outstanding on the Initial Closing Date immediately prior to the Initial Closing.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Company shall have delivered to such Buyer a copy of the register of members of the Company as certified by the Registrar Service Provider formation as of a date immediately prior to the Initial Closing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The ADSs (A) shall be designated for quotation or listed (as applicable) on the Principal Market and (B) shall not have been suspended, as of the Initial Closing Date, by the SEC or the Principal Market from trading on the Principal Market nor shall suspension by the SEC or the Principal Market have been threatened, as of the Initial Closing Date, either (I) in writing by the SEC or the Principal Market or (II) by falling below the minimum maintenance requirements of the Principal Market.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The Company shall have obtained all governmental, regulatory or third party consents and approvals, if any, necessary for the sale of the Securities, including without limitation, those required by the Principal Market, if 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w:t>
      </w:r>
      <w:r>
        <w:rPr>
          <w:rFonts w:ascii="Times New Roman;Times;serif" w:hAnsi="Times New Roman;Times;serif"/>
          <w:sz w:val="20"/>
        </w:rPr>
        <w:t>Since the date of execution of this Agreement, no event or series of events shall have occurred that reasonably would have or result in a Material Adverse Effect.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w:t>
      </w:r>
      <w:r>
        <w:rPr>
          <w:rFonts w:ascii="Times New Roman;Times;serif" w:hAnsi="Times New Roman;Times;serif"/>
          <w:sz w:val="20"/>
        </w:rPr>
        <w:t>The Company shall have obtained approval of the Principal Market to list or designate for quotation (as the case may be) the applicable Conversion ADSs to the extent required.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(xiii)</w:t>
      </w:r>
      <w:r>
        <w:rPr>
          <w:rFonts w:ascii="Times New Roman;Times;serif" w:hAnsi="Times New Roman;Times;serif"/>
          <w:sz w:val="20"/>
        </w:rPr>
        <w:t xml:space="preserve">The Trustee shall have duly executed and delivered to the Company and such Buyer the Indenture, the Supplemental Indenture for such Initial Notes to be issued in the Initial Closing and the custodian agreements in the form attached hereto as </w:t>
      </w:r>
      <w:r>
        <w:rPr>
          <w:rFonts w:ascii="Times New Roman;Times;serif" w:hAnsi="Times New Roman;Times;serif"/>
          <w:b/>
          <w:sz w:val="20"/>
        </w:rPr>
        <w:t>Exhibit B</w:t>
      </w:r>
      <w:r>
        <w:rPr>
          <w:rFonts w:ascii="Times New Roman;Times;serif" w:hAnsi="Times New Roman;Times;serif"/>
          <w:sz w:val="20"/>
        </w:rPr>
        <w:t xml:space="preserve"> (each, a “</w:t>
      </w:r>
      <w:r>
        <w:rPr>
          <w:rFonts w:ascii="Times New Roman;Times;serif" w:hAnsi="Times New Roman;Times;serif"/>
          <w:b/>
          <w:sz w:val="20"/>
        </w:rPr>
        <w:t>Custodian Agreement</w:t>
      </w:r>
      <w:r>
        <w:rPr>
          <w:rFonts w:ascii="Times New Roman;Times;serif" w:hAnsi="Times New Roman;Times;serif"/>
          <w:sz w:val="20"/>
        </w:rPr>
        <w:t>”). The Indenture and the Supplemental Indenture for such Initial Notes shall be qualified under the TIA.</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(xiv)</w:t>
      </w:r>
      <w:r>
        <w:rPr>
          <w:rFonts w:ascii="Times New Roman;Times;serif" w:hAnsi="Times New Roman;Times;serif"/>
          <w:sz w:val="20"/>
        </w:rPr>
        <w:t>No bona fide dispute shall exist, by and between (or among) any of the Buyers, the Trustee and/or the Company, which dispute is reasonably related to this Agreement, any of the Securities and/or the transactions contemplated hereby or thereby, as applicable.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w:t>
      </w:r>
      <w:r>
        <w:rPr>
          <w:rFonts w:ascii="Times New Roman;Times;serif" w:hAnsi="Times New Roman;Times;serif"/>
          <w:sz w:val="20"/>
        </w:rPr>
        <w:t>From the date hereof to the Initial Closing Date, (i) trading in the ADSs shall not have been suspended by the SEC or the Principal Market (except for any suspension of trading of limited duration agreed to by the Company, which suspension shall be terminated prior to the Initial Closing), and, (ii) at any time prior to the Initial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Initial Closing.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w:t>
      </w:r>
      <w:r>
        <w:rPr>
          <w:rFonts w:ascii="Times New Roman;Times;serif" w:hAnsi="Times New Roman;Times;serif"/>
          <w:sz w:val="20"/>
        </w:rPr>
        <w:t>The Registration Statement and the ADS Registration Statements, as applicable, shall be effective and available for the issuance and sale of the Initial Notes to be issued in the Initial Closing and the Conversion Shares and Conversion ADSs issuable upon conversion thereof pursuant to the terms hereof and the Company shall have delivered to such Buyer the Prospectus and the Prospectus Supplement with respect thereto as required hereunder and thereunder.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(xvii)</w:t>
      </w:r>
      <w:r>
        <w:rPr>
          <w:rFonts w:ascii="Times New Roman;Times;serif" w:hAnsi="Times New Roman;Times;serif"/>
          <w:sz w:val="20"/>
        </w:rPr>
        <w:t>The Company shall have filed a Form T-1, in form and substance satisfactory to the Trustee, available for use with the transaction contemplated hereby in accordance with TIA 305(b)(2).</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(xviii)</w:t>
      </w:r>
      <w:r>
        <w:rPr>
          <w:rFonts w:ascii="Times New Roman;Times;serif" w:hAnsi="Times New Roman;Times;serif"/>
          <w:sz w:val="20"/>
        </w:rPr>
        <w:t>Each Buyer shall have duly executed and delivered to the Company a Leak-Out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(xix)</w:t>
      </w:r>
      <w:r>
        <w:rPr>
          <w:rFonts w:ascii="Times New Roman;Times;serif" w:hAnsi="Times New Roman;Times;serif"/>
          <w:sz w:val="20"/>
        </w:rPr>
        <w:t xml:space="preserve">The Company shall have duly executed and delivered the administrative fee letter, with ATW Partners Opportunities Management, LLC, in the form attached hereto as </w:t>
      </w:r>
      <w:r>
        <w:rPr>
          <w:rFonts w:ascii="Times New Roman;Times;serif" w:hAnsi="Times New Roman;Times;serif"/>
          <w:b/>
          <w:sz w:val="20"/>
        </w:rPr>
        <w:t>Exhibit C</w:t>
      </w:r>
      <w:r>
        <w:rPr>
          <w:rFonts w:ascii="Times New Roman;Times;serif" w:hAnsi="Times New Roman;Times;serif"/>
          <w:sz w:val="20"/>
        </w:rPr>
        <w:t xml:space="preserve"> (the “</w:t>
      </w:r>
      <w:r>
        <w:rPr>
          <w:rFonts w:ascii="Times New Roman;Times;serif" w:hAnsi="Times New Roman;Times;serif"/>
          <w:b/>
          <w:sz w:val="20"/>
        </w:rPr>
        <w:t>Administrative Fee Letter</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(xx)</w:t>
      </w:r>
      <w:r>
        <w:rPr>
          <w:rFonts w:ascii="Times New Roman;Times;serif" w:hAnsi="Times New Roman;Times;serif"/>
          <w:sz w:val="20"/>
        </w:rPr>
        <w:t>Such Buyer shall have received a letter on the letterhead of the Company (the “</w:t>
      </w:r>
      <w:r>
        <w:rPr>
          <w:rFonts w:ascii="Times New Roman;Times;serif" w:hAnsi="Times New Roman;Times;serif"/>
          <w:b/>
          <w:sz w:val="20"/>
        </w:rPr>
        <w:t>Initial Flow of Funds Letter</w:t>
      </w:r>
      <w:r>
        <w:rPr>
          <w:rFonts w:ascii="Times New Roman;Times;serif" w:hAnsi="Times New Roman;Times;serif"/>
          <w:sz w:val="20"/>
        </w:rPr>
        <w:t>”) duly executed by the Chief Executive Officer of the Company, setting forth the wire amounts of each Buyer and the wire transfer instructions of the Company with respect to the Initial Closing.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(xxi)</w:t>
      </w:r>
      <w:r>
        <w:rPr>
          <w:rFonts w:ascii="Times New Roman;Times;serif" w:hAnsi="Times New Roman;Times;serif"/>
          <w:sz w:val="20"/>
        </w:rPr>
        <w:t>The Company and its Subsidiaries shall have delivered to such Buyer such other documents, instruments or certificates relating to the transactions contemplated by this Agreement as such Buyer or its counsel may reasonably request and which are commonly required for similar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obligation of each Buyer hereunder to purchase its Additional Note at such Additional Closing is subject to the satisfaction, at or before such applicable Additional Closing Date, of each of the following conditions, provided that these conditions are for each Buyer’s sole benefit and may be waived by such Buyer at any time in its sole discretion by providing the Company with prior written notice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duly executed and delivered to such Buyer each of the Transaction Documents to which it is a party and the Company shall have duly executed and delivered to such Buyer an Additional Note in such original principal amount as being purchased by such Buyer at such Additional Closing pursuant to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Such Buyer shall have received the legal opinion (or reliance letter, as applicable) with respect to matters of Cayman Islands law from the Company’s Cayman Islands legal counsel, the legal opinion with respect to matters of U.S. law from the Company’s United States counsel, and the legal opinion with respect to matters of PRC law from the Company’s PRC counsel, each dated as of such Additional Closing Date, in the form acceptable to such Buyer, the Depositary and the Trustee.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Company shall have delivered to such Buyer a certificate evidencing the formation and good standing of the Company in such entity’s jurisdiction of formation issued by the Secretary of State (or comparable office) of such jurisdiction of formation as of a date within ten (10) days of such Additional Closing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Company shall have delivered to such Buyer a certified copy of the Memorandum and Articles of Association as registered with the Registrar of Companies of the Cayman Islands.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Company shall have delivered to such Buyer a certificate, in the form reasonably acceptable to such Buyer, executed by the Secretary or the Chief Financial Officer of the Company and dated as of such Additional Closing Date, as to (i) the resolutions consistent with Section 3(b) as adopted by the Company’s board of directors in a form reasonably acceptable to such Buyer, (ii) the Articles of Association of the Company (iii) the Memorandum of Association of the Company, and (iv) the Deposit Agreement, in each case, as in effect at such Additional Closing.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Each and every representation and warranty of the Company shall be true and correct as of the date when made and as of such Additional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such Additional Closing Date. Such Buyer shall have received a certificate, duly executed by the Chief Executive Officer of the Company, dated as of such Additional Closing Date, to the foregoing effect. Such certificate should also set forth the number of ADSs outstanding on the Additional Closing Date immediately prior to such Additional Closing.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The Company shall have delivered to such Buyer a copy of the register of members of the Company as certified by the Registrar Service Provider formation as of a date immediately prior to the Additional Closing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The ADSs (A) shall be designated for quotation or listed (as applicable) on the Principal Market and (B) shall not have been suspended, as of such Additional Closing Date, by the SEC or the Principal Market from trading on the Principal Market nor shall suspension by the SEC or the Principal Market have been threatened, as of such Additional Closing Date, either (I) in writing by the SEC or the Principal Market or (II) by falling below the minimum maintenance requirements of the Principal Market.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The Company shall have obtained all governmental, regulatory or third party consents and approvals, if any, necessary for the sale of the Securities, including without limitation, those required by the Principal Market, if 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w:t>
      </w:r>
      <w:r>
        <w:rPr>
          <w:rFonts w:ascii="Times New Roman;Times;serif" w:hAnsi="Times New Roman;Times;serif"/>
          <w:sz w:val="20"/>
        </w:rPr>
        <w:t>Since the date of execution of this Agreement, no event or series of events shall have occurred that reasonably would have or result in a Material Adverse Effect.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w:t>
      </w:r>
      <w:r>
        <w:rPr>
          <w:rFonts w:ascii="Times New Roman;Times;serif" w:hAnsi="Times New Roman;Times;serif"/>
          <w:sz w:val="20"/>
        </w:rPr>
        <w:t>The Company shall have obtained approval of the Principal Market to list or designate for quotation (as the case may be) the Conversion ADSs to the extent required.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(xiii)</w:t>
      </w:r>
      <w:r>
        <w:rPr>
          <w:rFonts w:ascii="Times New Roman;Times;serif" w:hAnsi="Times New Roman;Times;serif"/>
          <w:sz w:val="20"/>
        </w:rPr>
        <w:t>The Trustee shall have duly executed and delivered to the Company and such Buyer the Indenture, the Supplemental Indenture for such Additional Notes to be issued in such Additional Closing and the Custodian Agreements. The Indenture and the Supplemental Indenture for such Additional Notes shall be qualified under the TIA.</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(xiv)</w:t>
      </w:r>
      <w:r>
        <w:rPr>
          <w:rFonts w:ascii="Times New Roman;Times;serif" w:hAnsi="Times New Roman;Times;serif"/>
          <w:sz w:val="20"/>
        </w:rPr>
        <w:t>From the date hereof to such Additional Closing Date, (i) trading in the ADSs shall not have been suspended by the SEC or the Principal Market (except for any suspension of trading of limited duration agreed to by the Company, which suspension shall be terminated prior to such Additional Closing), and, (ii) at any time prior to such Additional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such Additional Closing.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w:t>
      </w:r>
      <w:r>
        <w:rPr>
          <w:rFonts w:ascii="Times New Roman;Times;serif" w:hAnsi="Times New Roman;Times;serif"/>
          <w:sz w:val="20"/>
        </w:rPr>
        <w:t>The Registration Statement and the ADS Registration Statements, as applicable, shall be effective and available for the issuance and sale of the Additional Notes to be issued in such Additional Closing and the Conversion Shares and Conversion ADSs issuable upon conversion thereof pursuant to the terms hereof and the Company shall have delivered to such Buyer the Prospectus and the Prospectus Supplement with respect thereto as required hereunder and thereunder.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w:t>
      </w:r>
      <w:r>
        <w:rPr>
          <w:rFonts w:ascii="Times New Roman;Times;serif" w:hAnsi="Times New Roman;Times;serif"/>
          <w:sz w:val="20"/>
        </w:rPr>
        <w:t>No bona fide dispute shall exist, by and between (or among) any of the Buyers, any holder of Notes, the Trustee and/or the Company, which dispute is reasonably related to this Agreement, any of the Securities and/or the transactions contemplated hereby or thereby, as applicable.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(xvii)</w:t>
      </w:r>
      <w:r>
        <w:rPr>
          <w:rFonts w:ascii="Times New Roman;Times;serif" w:hAnsi="Times New Roman;Times;serif"/>
          <w:sz w:val="20"/>
        </w:rPr>
        <w:t>Such Buyer shall have received a letter on the letterhead of the Company (each, a “</w:t>
      </w:r>
      <w:r>
        <w:rPr>
          <w:rFonts w:ascii="Times New Roman;Times;serif" w:hAnsi="Times New Roman;Times;serif"/>
          <w:b/>
          <w:sz w:val="20"/>
        </w:rPr>
        <w:t>Additional Flow of Funds Letter</w:t>
      </w:r>
      <w:r>
        <w:rPr>
          <w:rFonts w:ascii="Times New Roman;Times;serif" w:hAnsi="Times New Roman;Times;serif"/>
          <w:sz w:val="20"/>
        </w:rPr>
        <w:t>”) duly executed by the Chief Executive Officer of the Company, setting forth the wire amounts of each Buyer and the wire transfer instructions of the Company with respect to such Additional Closing.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(xviii)</w:t>
      </w:r>
      <w:r>
        <w:rPr>
          <w:rFonts w:ascii="Times New Roman;Times;serif" w:hAnsi="Times New Roman;Times;serif"/>
          <w:sz w:val="20"/>
        </w:rPr>
        <w:t>The Company and its Subsidiaries shall have delivered to such Buyer such other documents, instruments or certificates relating to the transactions contemplated by this Agreement as such Buyer or its counsel may reasonably request and which are commonly required for similar transactions.</w:t>
      </w:r>
    </w:p>
    <w:tbl>
      <w:tblPr>
        <w:tblW w:w="1660" w:type="dxa"/>
        <w:jc w:val="left"/>
        <w:tblInd w:w="0" w:type="dxa"/>
        <w:tblLayout w:type="fixed"/>
        <w:tblCellMar>
          <w:top w:w="0" w:type="dxa"/>
          <w:left w:w="0" w:type="dxa"/>
          <w:bottom w:w="0" w:type="dxa"/>
          <w:right w:w="0" w:type="dxa"/>
        </w:tblCellMar>
      </w:tblPr>
      <w:tblGrid>
        <w:gridCol w:w="170"/>
        <w:gridCol w:w="149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14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the Initial Closing shall not have occurred with respect to a Buyer within five (5) days of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Notes shall be applicable only to such Buyer providing such written notice, provided further that no such termination shall affect any obligation of the Company under this Agreement to reimburse such Buyer for the expenses described in Section 4(j)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tbl>
      <w:tblPr>
        <w:tblW w:w="1930" w:type="dxa"/>
        <w:jc w:val="left"/>
        <w:tblInd w:w="0" w:type="dxa"/>
        <w:tblLayout w:type="fixed"/>
        <w:tblCellMar>
          <w:top w:w="0" w:type="dxa"/>
          <w:left w:w="0" w:type="dxa"/>
          <w:bottom w:w="0" w:type="dxa"/>
          <w:right w:w="0" w:type="dxa"/>
        </w:tblCellMar>
      </w:tblPr>
      <w:tblGrid>
        <w:gridCol w:w="170"/>
        <w:gridCol w:w="176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7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Governing Law; Jurisdiction; Jury Trial</w:t>
      </w:r>
      <w:r>
        <w:rPr>
          <w:rFonts w:ascii="Times New Roman;Times;serif" w:hAnsi="Times New Roman;Times;serif"/>
          <w:sz w:val="20"/>
        </w:rPr>
        <w:t>.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Cogency Global Inc., as its agent for service of process in New York.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EACH 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 </w:t>
      </w:r>
      <w:r>
        <w:rPr>
          <w:rFonts w:ascii="Times New Roman;Times;serif" w:hAnsi="Times New Roman;Times;serif"/>
          <w:sz w:val="20"/>
        </w:rPr>
        <w:t>The choice of the laws of the State of New York as the governing law of this Agreement is a valid choice of law and would be recognized and given effect to in any action brought before a court of competent jurisdiction in the Cayman Islands, except for those laws (i) which such court considers to be procedural in nature, (ii) which are revenue or penal laws or (iii) the application of which would be inconsistent with public policy, as such term is interpreted under the laws of the Cayman Islands. The choice of laws of the State of New York as the governing law of this Agreement will be honored by competent courts in the PRC, subject to compliance with relevant PRC civil procedural requirements. The Company or any of their respective properties, assets or revenues does not have any right of immunity under Cayman Islands, the PRC or New York law, from any legal action, suit or proceeding, from the giving of any relief in any such legal action, suit or proceeding, from set-off or counterclaim, from the jurisdiction of any Cayman Islands and the PRC, New York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Agreement and the other Transaction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Counterparts</w:t>
      </w:r>
      <w:r>
        <w:rPr>
          <w:rFonts w:ascii="Times New Roman;Times;serif" w:hAnsi="Times New Roman;Times;serif"/>
          <w:sz w:val="20"/>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Headings; Gender</w:t>
      </w:r>
      <w:r>
        <w:rPr>
          <w:rFonts w:ascii="Times New Roman;Times;serif" w:hAnsi="Times New Roman;Times;serif"/>
          <w:sz w:val="20"/>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Severability; Maximum Payment Amounts</w:t>
      </w:r>
      <w:r>
        <w:rPr>
          <w:rFonts w:ascii="Times New Roman;Times;serif" w:hAnsi="Times New Roman;Times;serif"/>
          <w:sz w:val="20"/>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Entire Agreement; Amendments</w:t>
      </w:r>
      <w:r>
        <w:rPr>
          <w:rFonts w:ascii="Times New Roman;Times;serif" w:hAnsi="Times New Roman;Times;serif"/>
          <w:sz w:val="20"/>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Ordinary Shares, the ADSs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(as defined below),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Notwithstanding anything in any Transaction Document to the contrary, no waiver shall be effective unless it is in writing and signed by an authorized representative of the waiving party, provided that the Required Holders may waive any provision of this Agreement or any other Transaction Document, and any waiver of any provision of this Agreement or any other Transaction Document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all holders of the Notes. From the date hereof and while any Notes are outstanding, the Company shall not be permitted to receive any consideration from a Buyer or a holder of Notes that is not otherwise contemplated by the Transaction Documents in order to, directly or indirectly, induce the Company or any Subsidiary (i) to treat such Buyer or holder of Notes in a manner that is more favorable than to other similarly situated Buyers or holders of Notes, or (ii) to treat any Buyer(s) or holder(s) of Notes in a manner that is less favorable than the Buyer or holder of Notes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qualified by the phrase “except as disclosed in the SEC Documents” (which for the avoidance of doubt, includes the representations and warranties in Section 3 hereof other than such representations and warranties set forth in Section 3(a) through Section 3(e)),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Times New Roman;Times;serif" w:hAnsi="Times New Roman;Times;serif"/>
          <w:b/>
          <w:sz w:val="20"/>
        </w:rPr>
        <w:t>Required Holders</w:t>
      </w:r>
      <w:r>
        <w:rPr>
          <w:rFonts w:ascii="Times New Roman;Times;serif" w:hAnsi="Times New Roman;Times;serif"/>
          <w:sz w:val="20"/>
        </w:rPr>
        <w:t>” means either (i) JAK Opportunities XXV LLC (“</w:t>
      </w:r>
      <w:r>
        <w:rPr>
          <w:rFonts w:ascii="Times New Roman;Times;serif" w:hAnsi="Times New Roman;Times;serif"/>
          <w:b/>
          <w:sz w:val="20"/>
        </w:rPr>
        <w:t>JAK Opportunities</w:t>
      </w:r>
      <w:r>
        <w:rPr>
          <w:rFonts w:ascii="Times New Roman;Times;serif" w:hAnsi="Times New Roman;Times;serif"/>
          <w:sz w:val="20"/>
        </w:rPr>
        <w:t>”) or (ii) after the Additional Closing Expiration Date (or, if earlier, the date all Additional Notes issuable hereunder have been issued to the Buyers), if JAK Opportunities does not hold any Securities of the Company, holders of a majority of the Underlying Securities as of such time (excluding any Underlying Securities held by the Company or any of its Subsidiaries as of such time) issued or issuable hereunder or pursuant to the Notes (or the Buyers, with respect to any waiver or amendment of Section 4(r)).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Notices</w:t>
      </w:r>
      <w:r>
        <w:rPr>
          <w:rFonts w:ascii="Times New Roman;Times;serif" w:hAnsi="Times New Roman;Times;serif"/>
          <w:sz w:val="20"/>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five (5) Business Day after deposit with an international courier service (or one (1) Business Day after deposit with an overnight courier service with next day delivery specified), in each case, properly addressed to the party to receive the same. The mailing addresses and e-mail addresses for such communications shall be:</w:t>
      </w:r>
    </w:p>
    <w:p>
      <w:pPr>
        <w:pStyle w:val="TextBody"/>
        <w:bidi w:val="0"/>
        <w:spacing w:before="0" w:after="120"/>
        <w:ind w:left="2160" w:right="0" w:hanging="0"/>
        <w:jc w:val="left"/>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Lotus Technology Inc.</w:t>
      </w:r>
    </w:p>
    <w:p>
      <w:pPr>
        <w:pStyle w:val="TextBody"/>
        <w:bidi w:val="0"/>
        <w:spacing w:before="0" w:after="1"/>
        <w:ind w:left="2880" w:right="0" w:hanging="0"/>
        <w:jc w:val="left"/>
        <w:rPr>
          <w:rFonts w:ascii="Times New Roman;Times;serif" w:hAnsi="Times New Roman;Times;serif"/>
          <w:sz w:val="20"/>
        </w:rPr>
      </w:pPr>
      <w:r>
        <w:rPr>
          <w:rFonts w:ascii="Times New Roman;Times;serif" w:hAnsi="Times New Roman;Times;serif"/>
          <w:sz w:val="20"/>
        </w:rPr>
        <w:t xml:space="preserve">No. 800 Century Avenue, Pudong District, </w:t>
      </w:r>
    </w:p>
    <w:p>
      <w:pPr>
        <w:pStyle w:val="TextBody"/>
        <w:bidi w:val="0"/>
        <w:spacing w:before="0" w:after="1"/>
        <w:ind w:left="2880" w:right="0" w:hanging="0"/>
        <w:jc w:val="left"/>
        <w:rPr>
          <w:rFonts w:ascii="Times New Roman;Times;serif" w:hAnsi="Times New Roman;Times;serif"/>
          <w:sz w:val="20"/>
        </w:rPr>
      </w:pPr>
      <w:r>
        <w:rPr>
          <w:rFonts w:ascii="Times New Roman;Times;serif" w:hAnsi="Times New Roman;Times;serif"/>
          <w:sz w:val="20"/>
        </w:rPr>
        <w:t xml:space="preserve">Shanghai, People’s Republic of China 200120 </w:t>
      </w:r>
    </w:p>
    <w:p>
      <w:pPr>
        <w:pStyle w:val="TextBody"/>
        <w:bidi w:val="0"/>
        <w:spacing w:before="0" w:after="1"/>
        <w:ind w:left="2880" w:right="0" w:hanging="0"/>
        <w:jc w:val="left"/>
        <w:rPr>
          <w:rFonts w:ascii="Times New Roman;Times;serif" w:hAnsi="Times New Roman;Times;serif"/>
          <w:sz w:val="20"/>
        </w:rPr>
      </w:pPr>
      <w:r>
        <w:rPr>
          <w:rFonts w:ascii="Times New Roman;Times;serif" w:hAnsi="Times New Roman;Times;serif"/>
          <w:sz w:val="20"/>
        </w:rPr>
        <w:t>Telephone: (86) 21-5466-6258</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Attention: Daxue Wang, CFO</w:t>
      </w:r>
    </w:p>
    <w:p>
      <w:pPr>
        <w:pStyle w:val="TextBody"/>
        <w:bidi w:val="0"/>
        <w:spacing w:before="0" w:after="0"/>
        <w:ind w:left="2160" w:right="0" w:firstLine="720"/>
        <w:jc w:val="left"/>
        <w:rPr>
          <w:rFonts w:ascii="Times New Roman;Times;serif" w:hAnsi="Times New Roman;Times;serif"/>
          <w:sz w:val="20"/>
        </w:rPr>
      </w:pPr>
      <w:r>
        <w:rPr>
          <w:rFonts w:ascii="Times New Roman;Times;serif" w:hAnsi="Times New Roman;Times;serif"/>
          <w:sz w:val="20"/>
        </w:rPr>
        <w:t>E-Mail: ******</w:t>
      </w:r>
    </w:p>
    <w:p>
      <w:pPr>
        <w:pStyle w:val="TextBody"/>
        <w:bidi w:val="0"/>
        <w:spacing w:before="0" w:after="0"/>
        <w:ind w:left="2160" w:right="0" w:firstLine="720"/>
        <w:jc w:val="left"/>
        <w:rPr/>
      </w:pPr>
      <w:r>
        <w:rPr/>
        <w:t>​</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With a copy (for informational purposes only) to:</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 xml:space="preserve">Skadden, Arps, Slate, Meagher &amp; Flom </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 xml:space="preserve">42/F, Edinburgh Tower, The Landmark </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 xml:space="preserve">15 Queen’s Road Central, Hong Kong </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 xml:space="preserve">Telephone: (852) 3740-4700 </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Attention: Shu Du</w:t>
      </w:r>
    </w:p>
    <w:p>
      <w:pPr>
        <w:pStyle w:val="TextBody"/>
        <w:bidi w:val="0"/>
        <w:spacing w:before="0" w:after="120"/>
        <w:ind w:left="2880" w:right="0" w:hanging="0"/>
        <w:jc w:val="left"/>
        <w:rPr>
          <w:rFonts w:ascii="Times New Roman;Times;serif" w:hAnsi="Times New Roman;Times;serif"/>
          <w:sz w:val="20"/>
        </w:rPr>
      </w:pPr>
      <w:r>
        <w:rPr>
          <w:rFonts w:ascii="Times New Roman;Times;serif" w:hAnsi="Times New Roman;Times;serif"/>
          <w:sz w:val="20"/>
        </w:rPr>
        <w:t>E-Mail: Shu.Du@skadden.com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to a Buyer, to its mailing address and e-mail address set forth on the Schedule of Buyers, with copies to such Buyer’s representatives as set forth on the Schedule of Buyers,</w:t>
      </w:r>
    </w:p>
    <w:p>
      <w:pPr>
        <w:pStyle w:val="TextBody"/>
        <w:pBdr/>
        <w:bidi w:val="0"/>
        <w:spacing w:before="0" w:after="240"/>
        <w:ind w:left="2160" w:right="0" w:hanging="720"/>
        <w:jc w:val="both"/>
        <w:rPr>
          <w:rFonts w:ascii="Times New Roman;Times;serif" w:hAnsi="Times New Roman;Times;serif"/>
          <w:sz w:val="20"/>
        </w:rPr>
      </w:pPr>
      <w:r>
        <w:rPr>
          <w:rFonts w:ascii="Times New Roman;Times;serif" w:hAnsi="Times New Roman;Times;serif"/>
          <w:sz w:val="20"/>
        </w:rPr>
        <w:t>with a copy (for informational purposes only) to:</w:t>
      </w:r>
    </w:p>
    <w:p>
      <w:pPr>
        <w:pStyle w:val="TextBody"/>
        <w:pBdr/>
        <w:bidi w:val="0"/>
        <w:spacing w:before="0" w:after="0"/>
        <w:ind w:left="2880" w:right="0" w:hanging="720"/>
        <w:jc w:val="both"/>
        <w:rPr>
          <w:rFonts w:ascii="Times New Roman;Times;serif" w:hAnsi="Times New Roman;Times;serif"/>
          <w:sz w:val="20"/>
        </w:rPr>
      </w:pPr>
      <w:r>
        <w:rPr>
          <w:rFonts w:ascii="Times New Roman;Times;serif" w:hAnsi="Times New Roman;Times;serif"/>
          <w:sz w:val="20"/>
        </w:rPr>
        <w:t>Kelley Drye &amp; Warren LLP</w:t>
      </w:r>
    </w:p>
    <w:p>
      <w:pPr>
        <w:pStyle w:val="TextBody"/>
        <w:bidi w:val="0"/>
        <w:spacing w:before="0" w:after="0"/>
        <w:ind w:left="2880" w:right="0" w:hanging="0"/>
        <w:jc w:val="both"/>
        <w:rPr>
          <w:rFonts w:ascii="Times New Roman;Times;serif" w:hAnsi="Times New Roman;Times;serif"/>
          <w:sz w:val="20"/>
        </w:rPr>
      </w:pPr>
      <w:r>
        <w:rPr>
          <w:rFonts w:ascii="Times New Roman;Times;serif" w:hAnsi="Times New Roman;Times;serif"/>
          <w:sz w:val="20"/>
        </w:rPr>
        <w:t>3 World Trade Center</w:t>
      </w:r>
    </w:p>
    <w:p>
      <w:pPr>
        <w:pStyle w:val="TextBody"/>
        <w:bidi w:val="0"/>
        <w:spacing w:before="0" w:after="0"/>
        <w:ind w:left="2880" w:right="0" w:hanging="0"/>
        <w:jc w:val="both"/>
        <w:rPr>
          <w:rFonts w:ascii="Times New Roman;Times;serif" w:hAnsi="Times New Roman;Times;serif"/>
          <w:sz w:val="20"/>
        </w:rPr>
      </w:pPr>
      <w:r>
        <w:rPr>
          <w:rFonts w:ascii="Times New Roman;Times;serif" w:hAnsi="Times New Roman;Times;serif"/>
          <w:sz w:val="20"/>
        </w:rPr>
        <w:t xml:space="preserve">175 Greenwich Street </w:t>
      </w:r>
    </w:p>
    <w:p>
      <w:pPr>
        <w:pStyle w:val="TextBody"/>
        <w:bidi w:val="0"/>
        <w:spacing w:before="0" w:after="0"/>
        <w:ind w:left="2880" w:right="0" w:hanging="0"/>
        <w:jc w:val="both"/>
        <w:rPr>
          <w:rFonts w:ascii="Times New Roman;Times;serif" w:hAnsi="Times New Roman;Times;serif"/>
          <w:sz w:val="20"/>
        </w:rPr>
      </w:pPr>
      <w:r>
        <w:rPr>
          <w:rFonts w:ascii="Times New Roman;Times;serif" w:hAnsi="Times New Roman;Times;serif"/>
          <w:sz w:val="20"/>
        </w:rPr>
        <w:t>New York, NY 10007</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 xml:space="preserve">Telephone: (212) 808-7540 </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Attention: Michael A. Adelstein, Esq.</w:t>
      </w:r>
    </w:p>
    <w:p>
      <w:pPr>
        <w:pStyle w:val="TextBody"/>
        <w:bidi w:val="0"/>
        <w:spacing w:before="0" w:after="0"/>
        <w:ind w:left="2880" w:right="0" w:hanging="0"/>
        <w:jc w:val="left"/>
        <w:rPr>
          <w:rFonts w:ascii="Times New Roman;Times;serif" w:hAnsi="Times New Roman;Times;serif"/>
          <w:sz w:val="20"/>
        </w:rPr>
      </w:pPr>
      <w:r>
        <w:rPr>
          <w:rFonts w:ascii="Times New Roman;Times;serif" w:hAnsi="Times New Roman;Times;serif"/>
          <w:sz w:val="20"/>
        </w:rPr>
        <w:t>E-mail: madelstein@kelleydrye.com</w:t>
      </w:r>
    </w:p>
    <w:p>
      <w:pPr>
        <w:pStyle w:val="TextBody"/>
        <w:bidi w:val="0"/>
        <w:spacing w:before="0" w:after="120"/>
        <w:ind w:left="288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to such other mailing address and/or e-mail address and/or to the attention of such other Person as the recipient party has specified by written notice given to each other party five (5) days prior to the effectiveness of such change, provided that Kelley Drye &amp; Warren LLP shall only be provided copies of notices sent to the lead Buyer.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Successors and Assigns</w:t>
      </w:r>
      <w:r>
        <w:rPr>
          <w:rFonts w:ascii="Times New Roman;Times;serif" w:hAnsi="Times New Roman;Times;serif"/>
          <w:sz w:val="20"/>
        </w:rPr>
        <w:t>. This Agreement shall be binding upon and inure to the benefit of the parties and their respective successors and assigns, including any purchasers of any of the Notes (but excluding any purchasers of Underlying Securities, unless pursuant to a written assignment by such Buyer). The Company shall not assign this Agreement or any rights or obligations hereunder without the prior written consent of the Required Holders, including, without limitation, by way of a Fundamental Transaction (as defined in the Notes) (unless the Company is in compliance with the applicable provisions governing Fundamental Transactions set forth in the Notes). A Buyer may assign some or all of its rights hereunder in connection with any transfer of any of its Securities without the consent of the Company to any Affiliates, partners, limited partners or members of such Buyer, in which event such assignee shall be deemed to be a Buyer hereunder with respect to such assigned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No Third Party Beneficiaries</w:t>
      </w:r>
      <w:r>
        <w:rPr>
          <w:rFonts w:ascii="Times New Roman;Times;serif" w:hAnsi="Times New Roman;Times;serif"/>
          <w:sz w:val="20"/>
        </w:rPr>
        <w:t>. This Agreement is intended for the benefit of the parties hereto and their respective permitted successors and assigns, and is not for the benefit of, nor may any provision hereof be enforced by, any other Person, other than the Indemnitees referred to in Section 9(k).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Survival</w:t>
      </w:r>
      <w:r>
        <w:rPr>
          <w:rFonts w:ascii="Times New Roman;Times;serif" w:hAnsi="Times New Roman;Times;serif"/>
          <w:sz w:val="20"/>
        </w:rPr>
        <w:t>. The representations, warranties, agreements and covenants shall survive each Closing. Each Buyer shall be responsible only for its own representations, warranties, agreements and covenants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Further Assurances</w:t>
      </w:r>
      <w:r>
        <w:rPr>
          <w:rFonts w:ascii="Times New Roman;Times;serif" w:hAnsi="Times New Roman;Times;serif"/>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tbl>
      <w:tblPr>
        <w:tblW w:w="1638" w:type="dxa"/>
        <w:jc w:val="left"/>
        <w:tblInd w:w="0" w:type="dxa"/>
        <w:tblLayout w:type="fixed"/>
        <w:tblCellMar>
          <w:top w:w="0" w:type="dxa"/>
          <w:left w:w="0" w:type="dxa"/>
          <w:bottom w:w="0" w:type="dxa"/>
          <w:right w:w="0" w:type="dxa"/>
        </w:tblCellMar>
      </w:tblPr>
      <w:tblGrid>
        <w:gridCol w:w="23"/>
        <w:gridCol w:w="245"/>
        <w:gridCol w:w="13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(k)</w:t>
            </w:r>
          </w:p>
        </w:tc>
        <w:tc>
          <w:tcPr>
            <w:tcW w:w="13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Indemnification</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shareholders,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Buyer pursuant to Section 4(l),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(ii)Promptly after receipt by an Indemnitee under this Section 9(k) of notice of the commencement of any action or proceeding (including any governmental action or proceeding) involving an Indemnified Liability, such Indemnitee shall, if a claim in respect thereof is to be made against the Company under this Section 9(k),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9(k), except to the extent that the Company is materially and adversely prejudiced in its ability to defend such action.</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(iii)The indemnification required by this Section 9(k) shall be made by periodic payments of the amount thereof during the course of the investigation or defense, within ten (10) days after bills are received or Indemnified Liabilities are incurred.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(iv)The indemnity agreement contained herein shall be in addition to (A) any cause of action or similar right of the Indemnitee against the Company or others, and (B) any liabilities the Company may be subject to pursuant to the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Construction</w:t>
      </w:r>
      <w:r>
        <w:rPr>
          <w:rFonts w:ascii="Times New Roman;Times;serif" w:hAnsi="Times New Roman;Times;serif"/>
          <w:sz w:val="20"/>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Ordinary Shares, ADSs and any other numbers in this Agreement that relate to the Ordinary Shares and/or ADSs shall be automatically adjusted for any share subdivision, share dividends, share combinations or consolidation, recapitalizations or other similar transactions that occur with respect to the Ordinary Shares or the ADSs, as applicable, after the date of this Agreement. Notwithstanding anything in this Agreement to the contrary but subject to Section 4(aa),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Remedies</w:t>
      </w:r>
      <w:r>
        <w:rPr>
          <w:rFonts w:ascii="Times New Roman;Times;serif" w:hAnsi="Times New Roman;Times;serif"/>
          <w:sz w:val="20"/>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be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Withdrawal Right</w:t>
      </w:r>
      <w:r>
        <w:rPr>
          <w:rFonts w:ascii="Times New Roman;Times;serif" w:hAnsi="Times New Roman;Times;serif"/>
          <w:sz w:val="20"/>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Payment Set Aside; Currency</w:t>
      </w:r>
      <w:r>
        <w:rPr>
          <w:rFonts w:ascii="Times New Roman;Times;serif" w:hAnsi="Times New Roman;Times;serif"/>
          <w:sz w:val="20"/>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Times;serif" w:hAnsi="Times New Roman;Times;serif"/>
          <w:b/>
          <w:sz w:val="20"/>
        </w:rPr>
        <w:t>U.S. Dollars</w:t>
      </w:r>
      <w:r>
        <w:rPr>
          <w:rFonts w:ascii="Times New Roman;Times;serif" w:hAnsi="Times New Roman;Times;serif"/>
          <w:sz w:val="20"/>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sz w:val="20"/>
        </w:rPr>
        <w:t>Exchange Rate</w:t>
      </w:r>
      <w:r>
        <w:rPr>
          <w:rFonts w:ascii="Times New Roman;Times;serif" w:hAnsi="Times New Roman;Times;serif"/>
          <w:sz w:val="20"/>
        </w:rPr>
        <w:t>” means, in relation to any amount of currency to be converted into U.S. Dollars pursuant to this Agreement, the U.S. Dollar exchange rate as published in the Wall Street Journal on the relevant date of calculation.</w:t>
      </w:r>
    </w:p>
    <w:tbl>
      <w:tblPr>
        <w:tblW w:w="1923" w:type="dxa"/>
        <w:jc w:val="left"/>
        <w:tblInd w:w="0" w:type="dxa"/>
        <w:tblLayout w:type="fixed"/>
        <w:tblCellMar>
          <w:top w:w="0" w:type="dxa"/>
          <w:left w:w="0" w:type="dxa"/>
          <w:bottom w:w="0" w:type="dxa"/>
          <w:right w:w="0" w:type="dxa"/>
        </w:tblCellMar>
      </w:tblPr>
      <w:tblGrid>
        <w:gridCol w:w="23"/>
        <w:gridCol w:w="245"/>
        <w:gridCol w:w="16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w:t>
            </w:r>
          </w:p>
        </w:tc>
        <w:tc>
          <w:tcPr>
            <w:tcW w:w="16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Judgment Currency</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Times New Roman;Times;serif" w:hAnsi="Times New Roman;Times;serif"/>
          <w:b/>
          <w:sz w:val="20"/>
        </w:rPr>
        <w:t>Judgment Currency</w:t>
      </w:r>
      <w:r>
        <w:rPr>
          <w:rFonts w:ascii="Times New Roman;Times;serif" w:hAnsi="Times New Roman;Times;serif"/>
          <w:sz w:val="20"/>
        </w:rPr>
        <w:t>”) an amount due in US Dollars under this Agreement, the conversion shall be made at the Exchange Rate prevailing on the Trading Day immediately preceding:</w:t>
      </w:r>
    </w:p>
    <w:p>
      <w:pPr>
        <w:pStyle w:val="TextBody"/>
        <w:bidi w:val="0"/>
        <w:spacing w:before="0" w:after="120"/>
        <w:ind w:left="72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(1)the date actual payment of the amount due, in the case of any proceeding in the courts of New York or in the courts of any other jurisdiction that will give effect to such conversion being made on such date: or</w:t>
      </w:r>
    </w:p>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(2)the date on which the foreign court determines, in the case of any proceeding in the courts of any other jurisdiction (the date as of which such conversion is made pursuant to this Section 9(p)(i)(2) being hereinafter referred to as the “</w:t>
      </w:r>
      <w:r>
        <w:rPr>
          <w:rFonts w:ascii="Times New Roman;Times;serif" w:hAnsi="Times New Roman;Times;serif"/>
          <w:b/>
          <w:sz w:val="20"/>
        </w:rPr>
        <w:t>Judgment Conversion Date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in the case of any proceeding in the court of any jurisdiction referred to in Section 9(p)(i)(2)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Any amount due from the Company under this provision shall be due as a separate debt and shall not be affected by judgment being obtained for any other amounts due under or in respect of this Agreement or any other Transaction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u w:val="single"/>
        </w:rPr>
        <w:t>Independent Nature of Buyers’ Obligations and Rights</w:t>
      </w:r>
      <w:r>
        <w:rPr>
          <w:rFonts w:ascii="Times New Roman;Times;serif" w:hAnsi="Times New Roman;Times;serif"/>
          <w:sz w:val="20"/>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pages follow</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left"/>
        <w:rPr>
          <w:color w:val="262626"/>
        </w:rPr>
      </w:pPr>
      <w:r>
        <w:rPr>
          <w:color w:val="262626"/>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74"/>
        <w:ind w:left="0" w:right="0" w:hanging="0"/>
        <w:jc w:val="left"/>
        <w:rPr/>
      </w:pPr>
      <w:r>
        <w:rPr/>
        <w:t>​</w:t>
      </w:r>
    </w:p>
    <w:p>
      <w:pPr>
        <w:pStyle w:val="TextBody"/>
        <w:bidi w:val="0"/>
        <w:spacing w:before="0" w:after="12"/>
        <w:ind w:left="24" w:right="0" w:firstLine="1"/>
        <w:jc w:val="left"/>
        <w:rPr>
          <w:rFonts w:ascii="Times New Roman;Times;serif" w:hAnsi="Times New Roman;Times;serif"/>
          <w:sz w:val="20"/>
        </w:rPr>
      </w:pPr>
      <w:r>
        <w:rPr>
          <w:rFonts w:ascii="Times New Roman;Times;serif" w:hAnsi="Times New Roman;Times;serif"/>
          <w:b/>
          <w:color w:val="262626"/>
          <w:sz w:val="20"/>
        </w:rPr>
        <w:t xml:space="preserve">IN WITNESS WHEREOF, </w:t>
      </w:r>
      <w:r>
        <w:rPr>
          <w:rFonts w:ascii="Times New Roman;Times;serif" w:hAnsi="Times New Roman;Times;serif"/>
          <w:color w:val="262626"/>
          <w:sz w:val="20"/>
        </w:rPr>
        <w:t>each Buyer and the Company have caused their respective signature page to this Agreement to be duly executed as of the date first written above.</w:t>
      </w:r>
    </w:p>
    <w:p>
      <w:pPr>
        <w:pStyle w:val="TextBody"/>
        <w:bidi w:val="0"/>
        <w:spacing w:before="0" w:after="0"/>
        <w:ind w:left="0" w:right="0" w:hanging="0"/>
        <w:jc w:val="left"/>
        <w:rPr/>
      </w:pPr>
      <w:r>
        <w:rPr/>
        <w:t>​</w:t>
      </w:r>
    </w:p>
    <w:tbl>
      <w:tblPr>
        <w:tblW w:w="2826" w:type="dxa"/>
        <w:jc w:val="left"/>
        <w:tblInd w:w="0" w:type="dxa"/>
        <w:tblLayout w:type="fixed"/>
        <w:tblCellMar>
          <w:top w:w="0" w:type="dxa"/>
          <w:left w:w="0" w:type="dxa"/>
          <w:bottom w:w="0" w:type="dxa"/>
          <w:right w:w="0" w:type="dxa"/>
        </w:tblCellMar>
      </w:tblPr>
      <w:tblGrid>
        <w:gridCol w:w="124"/>
        <w:gridCol w:w="631"/>
        <w:gridCol w:w="2071"/>
      </w:tblGrid>
      <w:tr>
        <w:trPr/>
        <w:tc>
          <w:tcPr>
            <w:tcW w:w="124"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r>
      <w:tr>
        <w:trPr/>
        <w:tc>
          <w:tcPr>
            <w:tcW w:w="124"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b/>
                <w:color w:val="444242"/>
                <w:sz w:val="20"/>
              </w:rPr>
            </w:pPr>
            <w:r>
              <w:rPr>
                <w:rFonts w:ascii="Times New Roman;Times;serif" w:hAnsi="Times New Roman;Times;serif"/>
                <w:b/>
                <w:color w:val="444242"/>
                <w:sz w:val="20"/>
              </w:rPr>
              <w:t>LOTUS TECHNOLOGY INC.</w:t>
            </w:r>
          </w:p>
        </w:tc>
      </w:tr>
      <w:tr>
        <w:trPr/>
        <w:tc>
          <w:tcPr>
            <w:tcW w:w="124"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Qingfeng Feng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Qingfeng Feng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4452" w:right="0" w:hanging="0"/>
        <w:jc w:val="left"/>
        <w:rPr/>
      </w:pPr>
      <w:r>
        <w:rPr/>
        <w:t>​</w:t>
      </w:r>
    </w:p>
    <w:p>
      <w:pPr>
        <w:pStyle w:val="TextBody"/>
        <w:bidi w:val="0"/>
        <w:spacing w:before="0" w:after="0"/>
        <w:ind w:left="0" w:right="0" w:hanging="0"/>
        <w:jc w:val="center"/>
        <w:rPr>
          <w:rFonts w:ascii="Times New Roman;Times;serif" w:hAnsi="Times New Roman;Times;serif"/>
          <w:i/>
          <w:color w:val="262626"/>
          <w:sz w:val="20"/>
        </w:rPr>
      </w:pPr>
      <w:r>
        <w:rPr>
          <w:rFonts w:ascii="Times New Roman;Times;serif" w:hAnsi="Times New Roman;Times;serif"/>
          <w:i/>
          <w:color w:val="262626"/>
          <w:sz w:val="20"/>
        </w:rPr>
        <w:t>{Signature Page to Securities Purchase Agreement]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each Buyer and the Company have caused their respective signature page to this Agreement to be duly executed as of the date first written above.</w:t>
      </w:r>
    </w:p>
    <w:p>
      <w:pPr>
        <w:pStyle w:val="TextBody"/>
        <w:bidi w:val="0"/>
        <w:spacing w:before="0" w:after="0"/>
        <w:ind w:left="0" w:right="0" w:firstLine="720"/>
        <w:jc w:val="left"/>
        <w:rPr/>
      </w:pPr>
      <w:r>
        <w:rPr/>
        <w:t>​</w:t>
      </w:r>
    </w:p>
    <w:tbl>
      <w:tblPr>
        <w:tblW w:w="3213" w:type="dxa"/>
        <w:jc w:val="left"/>
        <w:tblInd w:w="0" w:type="dxa"/>
        <w:tblLayout w:type="fixed"/>
        <w:tblCellMar>
          <w:top w:w="0" w:type="dxa"/>
          <w:left w:w="0" w:type="dxa"/>
          <w:bottom w:w="0" w:type="dxa"/>
          <w:right w:w="0" w:type="dxa"/>
        </w:tblCellMar>
      </w:tblPr>
      <w:tblGrid>
        <w:gridCol w:w="124"/>
        <w:gridCol w:w="407"/>
        <w:gridCol w:w="633"/>
        <w:gridCol w:w="204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78740" cy="175260"/>
                      <wp:effectExtent l="0" t="0" r="0" b="0"/>
                      <wp:wrapNone/>
                      <wp:docPr id="648" name="Frame64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58445" cy="175260"/>
                      <wp:effectExtent l="0" t="0" r="0" b="0"/>
                      <wp:wrapNone/>
                      <wp:docPr id="649" name="Frame644"/>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703070" cy="175260"/>
                      <wp:effectExtent l="0" t="0" r="0" b="0"/>
                      <wp:wrapNone/>
                      <wp:docPr id="650" name="Frame645"/>
                      <a:graphic xmlns:a="http://schemas.openxmlformats.org/drawingml/2006/main">
                        <a:graphicData uri="http://schemas.microsoft.com/office/word/2010/wordprocessingShape">
                          <wps:wsp>
                            <wps:cNvSpPr txBox="1"/>
                            <wps:spPr>
                              <a:xfrm>
                                <a:off x="0" y="0"/>
                                <a:ext cx="170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08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BUYER:</w:t>
            </w:r>
          </w:p>
        </w:tc>
      </w:tr>
      <w:tr>
        <w:trPr/>
        <w:tc>
          <w:tcPr>
            <w:tcW w:w="124" w:type="dxa"/>
            <w:tcBorders/>
            <w:vAlign w:val="center"/>
          </w:tcPr>
          <w:p>
            <w:pPr>
              <w:pStyle w:val="TableContents"/>
              <w:bidi w:val="0"/>
              <w:spacing w:before="0" w:after="0"/>
              <w:ind w:left="0" w:right="0" w:hanging="0"/>
              <w:jc w:val="left"/>
              <w:rPr/>
            </w:pPr>
            <w:r>
              <w:rPr/>
              <w:t>​</w:t>
            </w:r>
          </w:p>
        </w:tc>
        <w:tc>
          <w:tcPr>
            <w:tcW w:w="30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8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JAK OPPORTUNITIES XXV LLC</w:t>
            </w:r>
          </w:p>
        </w:tc>
      </w:tr>
      <w:tr>
        <w:trPr/>
        <w:tc>
          <w:tcPr>
            <w:tcW w:w="124" w:type="dxa"/>
            <w:tcBorders/>
            <w:vAlign w:val="center"/>
          </w:tcPr>
          <w:p>
            <w:pPr>
              <w:pStyle w:val="TableContents"/>
              <w:bidi w:val="0"/>
              <w:spacing w:before="0" w:after="0"/>
              <w:ind w:left="0" w:right="0" w:hanging="0"/>
              <w:jc w:val="left"/>
              <w:rPr/>
            </w:pPr>
            <w:r>
              <w:rPr/>
              <w:t>​</w:t>
            </w:r>
          </w:p>
        </w:tc>
        <w:tc>
          <w:tcPr>
            <w:tcW w:w="30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Antonio Ruiz-Gimenez</w:t>
            </w:r>
          </w:p>
        </w:tc>
      </w:tr>
      <w:tr>
        <w:trPr/>
        <w:tc>
          <w:tcPr>
            <w:tcW w:w="124"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6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4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Antonio Ruiz-Gimenez</w:t>
            </w:r>
          </w:p>
        </w:tc>
      </w:tr>
      <w:tr>
        <w:trPr/>
        <w:tc>
          <w:tcPr>
            <w:tcW w:w="124"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Member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79"/>
        <w:ind w:left="0" w:right="0" w:hanging="0"/>
        <w:jc w:val="left"/>
        <w:rPr/>
      </w:pPr>
      <w:r>
        <w:rPr/>
        <w:t>​</w:t>
      </w:r>
    </w:p>
    <w:p>
      <w:pPr>
        <w:pStyle w:val="TextBody"/>
        <w:bidi w:val="0"/>
        <w:spacing w:before="0" w:after="11"/>
        <w:ind w:left="0" w:right="0" w:hanging="0"/>
        <w:jc w:val="center"/>
        <w:rPr>
          <w:rFonts w:ascii="Times New Roman;Times;serif" w:hAnsi="Times New Roman;Times;serif"/>
          <w:b/>
          <w:sz w:val="20"/>
        </w:rPr>
      </w:pPr>
      <w:r>
        <w:rPr>
          <w:rFonts w:ascii="Times New Roman;Times;serif" w:hAnsi="Times New Roman;Times;serif"/>
          <w:b/>
          <w:sz w:val="20"/>
        </w:rPr>
        <w:t>SCHEDULE OF BUYERS</w:t>
      </w:r>
    </w:p>
    <w:p>
      <w:pPr>
        <w:pStyle w:val="TextBody"/>
        <w:bidi w:val="0"/>
        <w:spacing w:before="0" w:after="11"/>
        <w:ind w:left="0" w:right="0" w:hanging="0"/>
        <w:jc w:val="center"/>
        <w:rPr/>
      </w:pPr>
      <w:r>
        <w:rPr/>
        <w:t>​</w:t>
      </w:r>
    </w:p>
    <w:p>
      <w:pPr>
        <w:pStyle w:val="TextBody"/>
        <w:bidi w:val="0"/>
        <w:spacing w:before="0" w:after="11"/>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450" w:name="lot-20251231xex4d51.htm"/>
      <w:bookmarkStart w:id="3451" w:name="kslot20251231xex4d51"/>
      <w:bookmarkEnd w:id="3450"/>
      <w:bookmarkEnd w:id="345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4.51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Confidential treatment has been requested for redacted portions of this exhibit.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This copy omits the information subject to the confidentiality request. Omissions are designated as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THE PRINCIPAL AMOUNT REPRESENTED BY THIS NOTE AND, ACCORDINGLY, THE SECURITIES ISSUABLE UPON CONVERSION HEREOF MAY BE LESS THAN THE AMOUNTS SET FORTH ON THE FACE HEREOF PURSUANT TO SECTION 3(c)(iii)</w:t>
      </w:r>
      <w:r>
        <w:rPr>
          <w:rFonts w:ascii="Times New Roman;Times;serif" w:hAnsi="Times New Roman;Times;serif"/>
          <w:sz w:val="20"/>
        </w:rPr>
        <w:t xml:space="preserve"> </w:t>
      </w:r>
      <w:r>
        <w:rPr>
          <w:rFonts w:ascii="Times New Roman;Times;serif" w:hAnsi="Times New Roman;Times;serif"/>
          <w:b/>
          <w:sz w:val="20"/>
        </w:rPr>
        <w:t>OF THIS NOTE.</w:t>
      </w:r>
    </w:p>
    <w:p>
      <w:pPr>
        <w:pStyle w:val="TextBody"/>
        <w:bidi w:val="0"/>
        <w:spacing w:before="0" w:after="240"/>
        <w:ind w:left="0" w:right="0" w:hanging="0"/>
        <w:jc w:val="center"/>
        <w:rPr>
          <w:rFonts w:ascii="Times New Roman;Times;serif" w:hAnsi="Times New Roman;Times;serif"/>
          <w:b/>
          <w:smallCaps/>
          <w:sz w:val="20"/>
        </w:rPr>
      </w:pPr>
      <w:r>
        <w:rPr>
          <w:rFonts w:ascii="Times New Roman;Times;serif" w:hAnsi="Times New Roman;Times;serif"/>
          <w:b/>
          <w:smallCaps/>
          <w:sz w:val="20"/>
        </w:rPr>
        <w:t>LOTUS TECHNOLOGY INC.</w:t>
      </w:r>
    </w:p>
    <w:p>
      <w:pPr>
        <w:pStyle w:val="TextBody"/>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CONVERTIBLE NOTE</w:t>
      </w:r>
    </w:p>
    <w:p>
      <w:pPr>
        <w:pStyle w:val="TextBody"/>
        <w:bidi w:val="0"/>
        <w:spacing w:before="0" w:after="0"/>
        <w:ind w:left="0" w:right="0" w:hanging="0"/>
        <w:jc w:val="center"/>
        <w:rPr/>
      </w:pPr>
      <w:r>
        <w:rPr/>
        <w:t>​</w:t>
      </w:r>
    </w:p>
    <w:tbl>
      <w:tblPr>
        <w:tblW w:w="5432" w:type="dxa"/>
        <w:jc w:val="center"/>
        <w:tblInd w:w="0" w:type="dxa"/>
        <w:tblLayout w:type="fixed"/>
        <w:tblCellMar>
          <w:top w:w="0" w:type="dxa"/>
          <w:left w:w="0" w:type="dxa"/>
          <w:bottom w:w="0" w:type="dxa"/>
          <w:right w:w="0" w:type="dxa"/>
        </w:tblCellMar>
      </w:tblPr>
      <w:tblGrid>
        <w:gridCol w:w="2686"/>
        <w:gridCol w:w="2746"/>
      </w:tblGrid>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Date: August 19, 2025</w:t>
            </w:r>
          </w:p>
        </w:tc>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Original Principal Amount: U.S.</w:t>
            </w:r>
          </w:p>
        </w:tc>
      </w:tr>
      <w:tr>
        <w:trPr/>
        <w:tc>
          <w:tcPr>
            <w:tcW w:w="2686"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$10,000,000</w:t>
            </w:r>
          </w:p>
        </w:tc>
      </w:tr>
    </w:tbl>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FOR VALUE RECEIVED, </w:t>
      </w:r>
      <w:r>
        <w:rPr>
          <w:rFonts w:ascii="Times New Roman;Times;serif" w:hAnsi="Times New Roman;Times;serif"/>
          <w:sz w:val="20"/>
        </w:rPr>
        <w:t>Lotus Technology Inc., an exempted company incorporated under the laws of the Cayman Islands (the “</w:t>
      </w:r>
      <w:r>
        <w:rPr>
          <w:rFonts w:ascii="Times New Roman;Times;serif" w:hAnsi="Times New Roman;Times;serif"/>
          <w:b/>
          <w:sz w:val="20"/>
        </w:rPr>
        <w:t>Company</w:t>
      </w:r>
      <w:r>
        <w:rPr>
          <w:rFonts w:ascii="Times New Roman;Times;serif" w:hAnsi="Times New Roman;Times;serif"/>
          <w:sz w:val="20"/>
        </w:rPr>
        <w:t>”), hereby promises to pay to the order of JAK Opportunities XXV LLC or its registered assigns (“</w:t>
      </w:r>
      <w:r>
        <w:rPr>
          <w:rFonts w:ascii="Times New Roman;Times;serif" w:hAnsi="Times New Roman;Times;serif"/>
          <w:b/>
          <w:sz w:val="20"/>
        </w:rPr>
        <w:t>Holder</w:t>
      </w:r>
      <w:r>
        <w:rPr>
          <w:rFonts w:ascii="Times New Roman;Times;serif" w:hAnsi="Times New Roman;Times;serif"/>
          <w:sz w:val="20"/>
        </w:rPr>
        <w:t>”) the amount set forth above as the Original Principal Amount (as reduced pursuant to the terms hereof pursuant to redemption, conversion or otherwise, the “</w:t>
      </w:r>
      <w:r>
        <w:rPr>
          <w:rFonts w:ascii="Times New Roman;Times;serif" w:hAnsi="Times New Roman;Times;serif"/>
          <w:b/>
          <w:sz w:val="20"/>
        </w:rPr>
        <w:t>Principal</w:t>
      </w:r>
      <w:r>
        <w:rPr>
          <w:rFonts w:ascii="Times New Roman;Times;serif" w:hAnsi="Times New Roman;Times;serif"/>
          <w:sz w:val="20"/>
        </w:rPr>
        <w:t>”) when due, whether upon the Maturity Date, or upon acceleration, redemption or otherwise (in each case in accordance with the terms hereof) and to pay interest (“</w:t>
      </w:r>
      <w:r>
        <w:rPr>
          <w:rFonts w:ascii="Times New Roman;Times;serif" w:hAnsi="Times New Roman;Times;serif"/>
          <w:b/>
          <w:sz w:val="20"/>
        </w:rPr>
        <w:t>Interest</w:t>
      </w:r>
      <w:r>
        <w:rPr>
          <w:rFonts w:ascii="Times New Roman;Times;serif" w:hAnsi="Times New Roman;Times;serif"/>
          <w:sz w:val="20"/>
        </w:rPr>
        <w:t>”) on any outstanding Principal at the applicable Interest Rate (as defined below) from the date set forth above as the Issuance Date (the “</w:t>
      </w:r>
      <w:r>
        <w:rPr>
          <w:rFonts w:ascii="Times New Roman;Times;serif" w:hAnsi="Times New Roman;Times;serif"/>
          <w:b/>
          <w:sz w:val="20"/>
        </w:rPr>
        <w:t>Issuance Date</w:t>
      </w:r>
      <w:r>
        <w:rPr>
          <w:rFonts w:ascii="Times New Roman;Times;serif" w:hAnsi="Times New Roman;Times;serif"/>
          <w:sz w:val="20"/>
        </w:rPr>
        <w:t>”) until the same becomes due and payable, whether upon the Maturity Date or upon acceleration, conversion, redemption or otherwise (in each case in accordance with the terms hereof). This Convertible Note (including all Convertible Notes issued in exchange, transfer or replacement hereof, this “</w:t>
      </w:r>
      <w:r>
        <w:rPr>
          <w:rFonts w:ascii="Times New Roman;Times;serif" w:hAnsi="Times New Roman;Times;serif"/>
          <w:b/>
          <w:sz w:val="20"/>
        </w:rPr>
        <w:t>Note</w:t>
      </w:r>
      <w:r>
        <w:rPr>
          <w:rFonts w:ascii="Times New Roman;Times;serif" w:hAnsi="Times New Roman;Times;serif"/>
          <w:sz w:val="20"/>
        </w:rPr>
        <w:t>”) is one of an issue of Convertible Notes issued pursuant to (i) the Securities Purchase Agreement, dated as of August 19, 2025 (the “</w:t>
      </w:r>
      <w:r>
        <w:rPr>
          <w:rFonts w:ascii="Times New Roman;Times;serif" w:hAnsi="Times New Roman;Times;serif"/>
          <w:b/>
          <w:sz w:val="20"/>
        </w:rPr>
        <w:t>Subscription Date</w:t>
      </w:r>
      <w:r>
        <w:rPr>
          <w:rFonts w:ascii="Times New Roman;Times;serif" w:hAnsi="Times New Roman;Times;serif"/>
          <w:sz w:val="20"/>
        </w:rPr>
        <w:t>”), by and among the Company and the investors (the “</w:t>
      </w:r>
      <w:r>
        <w:rPr>
          <w:rFonts w:ascii="Times New Roman;Times;serif" w:hAnsi="Times New Roman;Times;serif"/>
          <w:b/>
          <w:sz w:val="20"/>
        </w:rPr>
        <w:t>Buyers</w:t>
      </w:r>
      <w:r>
        <w:rPr>
          <w:rFonts w:ascii="Times New Roman;Times;serif" w:hAnsi="Times New Roman;Times;serif"/>
          <w:sz w:val="20"/>
        </w:rPr>
        <w:t>”) referred to therein, as amended from time to time (collectively, the “</w:t>
      </w:r>
      <w:r>
        <w:rPr>
          <w:rFonts w:ascii="Times New Roman;Times;serif" w:hAnsi="Times New Roman;Times;serif"/>
          <w:b/>
          <w:sz w:val="20"/>
        </w:rPr>
        <w:t>Notes</w:t>
      </w:r>
      <w:r>
        <w:rPr>
          <w:rFonts w:ascii="Times New Roman;Times;serif" w:hAnsi="Times New Roman;Times;serif"/>
          <w:sz w:val="20"/>
        </w:rPr>
        <w:t>”, and such other Convertible Notes, the “</w:t>
      </w:r>
      <w:r>
        <w:rPr>
          <w:rFonts w:ascii="Times New Roman;Times;serif" w:hAnsi="Times New Roman;Times;serif"/>
          <w:b/>
          <w:sz w:val="20"/>
        </w:rPr>
        <w:t>Other Notes</w:t>
      </w:r>
      <w:r>
        <w:rPr>
          <w:rFonts w:ascii="Times New Roman;Times;serif" w:hAnsi="Times New Roman;Times;serif"/>
          <w:sz w:val="20"/>
        </w:rPr>
        <w:t>”), (ii) the Company’s Registration Statement on Form F-3 (File Number 333-285533) (the “</w:t>
      </w:r>
      <w:r>
        <w:rPr>
          <w:rFonts w:ascii="Times New Roman;Times;serif" w:hAnsi="Times New Roman;Times;serif"/>
          <w:b/>
          <w:sz w:val="20"/>
        </w:rPr>
        <w:t>Registration Statement</w:t>
      </w:r>
      <w:r>
        <w:rPr>
          <w:rFonts w:ascii="Times New Roman;Times;serif" w:hAnsi="Times New Roman;Times;serif"/>
          <w:sz w:val="20"/>
        </w:rPr>
        <w:t>”), (iii) the Indenture (as defined below), and (iv) a Supplemental Indenture (as defined below), with underlying ADSs issued pursuant to a registration statements on Form F-6, as amended, which registered, in aggregate, 263,000,000 ADSs (as defined below) issuable upon deposit of Ordinary Shares (as defined below) (Registration No. 333-282411 and File No. 333-275006) (the “</w:t>
      </w:r>
      <w:r>
        <w:rPr>
          <w:rFonts w:ascii="Times New Roman;Times;serif" w:hAnsi="Times New Roman;Times;serif"/>
          <w:b/>
          <w:sz w:val="20"/>
        </w:rPr>
        <w:t>ADS Registration Statements</w:t>
      </w:r>
      <w:r>
        <w:rPr>
          <w:rFonts w:ascii="Times New Roman;Times;serif" w:hAnsi="Times New Roman;Times;serif"/>
          <w:sz w:val="20"/>
        </w:rPr>
        <w:t xml:space="preserve">”). Certain capitalized terms used herein are defined in </w:t>
      </w:r>
      <w:r>
        <w:rPr>
          <w:rFonts w:ascii="Times New Roman;Times;serif" w:hAnsi="Times New Roman;Times;serif"/>
          <w:sz w:val="20"/>
          <w:u w:val="single"/>
        </w:rPr>
        <w:t>Section 31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PAYMENTS OF PRINCIPAL</w:t>
      </w:r>
      <w:r>
        <w:rPr>
          <w:rFonts w:ascii="Times New Roman;Times;serif" w:hAnsi="Times New Roman;Times;serif"/>
          <w:sz w:val="20"/>
        </w:rPr>
        <w:t xml:space="preserve">. On the Maturity Date, the Company shall pay to the Holder an amount in cash representing all outstanding Principal, accrued and unpaid Interest and accrued and unpaid Late Charges (as defined in </w:t>
      </w:r>
      <w:r>
        <w:rPr>
          <w:rFonts w:ascii="Times New Roman;Times;serif" w:hAnsi="Times New Roman;Times;serif"/>
          <w:sz w:val="20"/>
          <w:u w:val="single"/>
        </w:rPr>
        <w:t>Section 24(c)</w:t>
      </w:r>
      <w:r>
        <w:rPr>
          <w:rFonts w:ascii="Times New Roman;Times;serif" w:hAnsi="Times New Roman;Times;serif"/>
          <w:sz w:val="20"/>
        </w:rPr>
        <w:t>) on such Principal and Interest. Other than as specifically permitted by this Note, the Company may not prepay any portion of the outstanding Principal, accrued and unpaid Interest or accrued and unpaid Late Charges on Principal and Interest, if 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25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INTEREST; INTEREST RATE</w:t>
            </w:r>
            <w:r>
              <w:rPr>
                <w:rFonts w:ascii="Times New Roman;Times;serif" w:hAnsi="Times New Roman;Times;serif"/>
                <w:sz w:val="20"/>
              </w:rPr>
              <w:t>.</w:t>
            </w:r>
          </w:p>
        </w:tc>
      </w:tr>
    </w:tbl>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Interest on this Note shall commence accruing on the Issuance Date and shall be computed on the basis of a 360-day year and twelve 30-day months and shall be payable quarterly in arrears on the first calendar day of each calendar quarter (each, an “</w:t>
      </w:r>
      <w:r>
        <w:rPr>
          <w:rFonts w:ascii="Times New Roman;Times;serif" w:hAnsi="Times New Roman;Times;serif"/>
          <w:b/>
          <w:sz w:val="20"/>
        </w:rPr>
        <w:t>Interest Date</w:t>
      </w:r>
      <w:r>
        <w:rPr>
          <w:rFonts w:ascii="Times New Roman;Times;serif" w:hAnsi="Times New Roman;Times;serif"/>
          <w:sz w:val="20"/>
        </w:rPr>
        <w:t>”) with the first Interest Date being October 1, 2025. The applicable Interest Minimum Cash Amount of Interest on each Interest Date shall be payable, to the record holder of this Note on the applicable Interest Date, on such applicable Interest Date in cash. The applicable Interest ADS Eligible Amount of Interest shall be payable on each Interest Date, to the record holder of this Note on the applicable Interest Date, in ADSs (“</w:t>
      </w:r>
      <w:r>
        <w:rPr>
          <w:rFonts w:ascii="Times New Roman;Times;serif" w:hAnsi="Times New Roman;Times;serif"/>
          <w:b/>
          <w:sz w:val="20"/>
        </w:rPr>
        <w:t>Interest ADSs</w:t>
      </w:r>
      <w:r>
        <w:rPr>
          <w:rFonts w:ascii="Times New Roman;Times;serif" w:hAnsi="Times New Roman;Times;serif"/>
          <w:sz w:val="20"/>
        </w:rPr>
        <w:t>”) so long as there has been no Equity Conditions Failure; provided however, that the Company may, at its option following notice to the Holder and the Trustee, pay such applicable Interest ADS Eligible Amount of Interest on any Interest Date in cash (“</w:t>
      </w:r>
      <w:r>
        <w:rPr>
          <w:rFonts w:ascii="Times New Roman;Times;serif" w:hAnsi="Times New Roman;Times;serif"/>
          <w:b/>
          <w:sz w:val="20"/>
        </w:rPr>
        <w:t>Cash In Lieu of ADS Interest</w:t>
      </w:r>
      <w:r>
        <w:rPr>
          <w:rFonts w:ascii="Times New Roman;Times;serif" w:hAnsi="Times New Roman;Times;serif"/>
          <w:sz w:val="20"/>
        </w:rPr>
        <w:t>”, and together with the applicable Interest Minimum Cash Amount with respect to such Interest Date, each a “</w:t>
      </w:r>
      <w:r>
        <w:rPr>
          <w:rFonts w:ascii="Times New Roman;Times;serif" w:hAnsi="Times New Roman;Times;serif"/>
          <w:b/>
          <w:sz w:val="20"/>
        </w:rPr>
        <w:t>Cash Interest</w:t>
      </w:r>
      <w:r>
        <w:rPr>
          <w:rFonts w:ascii="Times New Roman;Times;serif" w:hAnsi="Times New Roman;Times;serif"/>
          <w:sz w:val="20"/>
        </w:rPr>
        <w:t>”) or in a combination of Cash In Lieu of ADS Interest and Interest ADSs. The Company shall deliver a written notice (each, an “</w:t>
      </w:r>
      <w:r>
        <w:rPr>
          <w:rFonts w:ascii="Times New Roman;Times;serif" w:hAnsi="Times New Roman;Times;serif"/>
          <w:b/>
          <w:sz w:val="20"/>
        </w:rPr>
        <w:t>Interest Election Notice</w:t>
      </w:r>
      <w:r>
        <w:rPr>
          <w:rFonts w:ascii="Times New Roman;Times;serif" w:hAnsi="Times New Roman;Times;serif"/>
          <w:sz w:val="20"/>
        </w:rPr>
        <w:t>”) to each holder of the Notes and the Trustee on or prior to the fifth (5</w:t>
      </w:r>
      <w:r>
        <w:rPr>
          <w:rFonts w:ascii="Times New Roman;Times;serif" w:hAnsi="Times New Roman;Times;serif"/>
          <w:sz w:val="15"/>
        </w:rPr>
        <w:t>th</w:t>
      </w:r>
      <w:r>
        <w:rPr>
          <w:rFonts w:ascii="Times New Roman;Times;serif" w:hAnsi="Times New Roman;Times;serif"/>
          <w:sz w:val="20"/>
        </w:rPr>
        <w:t>) Trading Day immediately prior to the applicable Interest Date (each, an “</w:t>
      </w:r>
      <w:r>
        <w:rPr>
          <w:rFonts w:ascii="Times New Roman;Times;serif" w:hAnsi="Times New Roman;Times;serif"/>
          <w:b/>
          <w:sz w:val="20"/>
        </w:rPr>
        <w:t>Interest Notice Due Date</w:t>
      </w:r>
      <w:r>
        <w:rPr>
          <w:rFonts w:ascii="Times New Roman;Times;serif" w:hAnsi="Times New Roman;Times;serif"/>
          <w:sz w:val="20"/>
        </w:rPr>
        <w:t>” and the date such notice is delivered to all of the holders of Notes, the “</w:t>
      </w:r>
      <w:r>
        <w:rPr>
          <w:rFonts w:ascii="Times New Roman;Times;serif" w:hAnsi="Times New Roman;Times;serif"/>
          <w:b/>
          <w:sz w:val="20"/>
        </w:rPr>
        <w:t>Interest Notice Date</w:t>
      </w:r>
      <w:r>
        <w:rPr>
          <w:rFonts w:ascii="Times New Roman;Times;serif" w:hAnsi="Times New Roman;Times;serif"/>
          <w:sz w:val="20"/>
        </w:rPr>
        <w:t>”) which notice (i) confirms the Interest Minimum Cash Amount to be paid in cash and either (A) confirms that such applicable Interest ADS Eligible Amount of Interest to be paid on such Interest Date shall be paid entirely in Interest ADSs or (B) elects to pay such applicable Interest ADS Eligible Amount of Interest as Cash In Lieu of ADS Interest or a combination of Cash In Lieu of ADS Interest and Interest ADSs, (ii) specifies the total amount of Interest that shall be paid as Cash Interest and the amount of Interest, if any, that shall be paid in Interest ADSs and (iii) certifies that there has been no Equity Conditions Failure. If an Equity Conditions Failure has occurred as of the Interest Notice Date, then unless the Company has elected to pay such applicable Interest ADS Eligible Amount of Interest as Cash Interest, the Interest Election Notice shall indicate that unless the Holder waives the Equity Conditions Failure, such applicable Interest ADS Eligible Amount of Interest shall be paid as Cash Interest. If the Company fails to deliver an Interest Election Notice to the Holder and the Trustee on or prior to the applicable Interest Notice Due Date, such applicable Interest ADS Eligible Amount of Interest shall be paid as Cash Interest. Notwithstanding anything herein to the contrary, if no Equity Conditions Failure has occurred as of the Interest Notice Date but an Equity Conditions Failure occurs at any time prior to the Interest Date, (A) the Company shall provide the Holder a subsequent notice to that effect and (B) unless the Holder waives the Equity Conditions Failure, such applicable Interest ADS Eligible Amount of Interest shall be paid as Cash Interest. Interest to be paid on an Interest Date in Interest ADSs shall be paid in a number of fully paid and nonassessable ADSs (rounded to the nearest whole ADS in accordance with Section 3(a)) equal to the quotient of (1) the amount of Interest payable on such Interest Date in ADSs less any Cash Interest paid and (2) the Interest Conversion Price in effect on the applicable Interest Date.</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When any Interest ADSs are to be issued on an Interest Date, the Company shall transmit by electronic mail instructions to the Company’s share registrar (the “</w:t>
      </w:r>
      <w:r>
        <w:rPr>
          <w:rFonts w:ascii="Times New Roman;Times;serif" w:hAnsi="Times New Roman;Times;serif"/>
          <w:b/>
          <w:sz w:val="20"/>
        </w:rPr>
        <w:t>Registrar Service Provider</w:t>
      </w:r>
      <w:r>
        <w:rPr>
          <w:rFonts w:ascii="Times New Roman;Times;serif" w:hAnsi="Times New Roman;Times;serif"/>
          <w:sz w:val="20"/>
        </w:rPr>
        <w:t xml:space="preserve">”) and the Company Interest ADSs Instruction Letter to the Depositary (which shall be countersigned by the Holder) in the forms attached hereto as </w:t>
      </w:r>
      <w:r>
        <w:rPr>
          <w:rFonts w:ascii="Times New Roman;Times;serif" w:hAnsi="Times New Roman;Times;serif"/>
          <w:sz w:val="20"/>
          <w:u w:val="single"/>
        </w:rPr>
        <w:t>Exhibit II</w:t>
      </w:r>
      <w:r>
        <w:rPr>
          <w:rFonts w:ascii="Times New Roman;Times;serif" w:hAnsi="Times New Roman;Times;serif"/>
          <w:sz w:val="20"/>
        </w:rPr>
        <w:t xml:space="preserve"> and </w:t>
      </w:r>
      <w:r>
        <w:rPr>
          <w:rFonts w:ascii="Times New Roman;Times;serif" w:hAnsi="Times New Roman;Times;serif"/>
          <w:sz w:val="20"/>
          <w:u w:val="single"/>
        </w:rPr>
        <w:t>Exhibit III</w:t>
      </w:r>
      <w:r>
        <w:rPr>
          <w:rFonts w:ascii="Times New Roman;Times;serif" w:hAnsi="Times New Roman;Times;serif"/>
          <w:sz w:val="20"/>
        </w:rPr>
        <w:t>, respectively, which shall constitute an instruction to the Registrar Service Provider to issue the Ordinary Shares underlying the Interest ADSs in the name of the Depositary and deposit such Ordinary Shares with the custodian of the Depositary (the “</w:t>
      </w:r>
      <w:r>
        <w:rPr>
          <w:rFonts w:ascii="Times New Roman;Times;serif" w:hAnsi="Times New Roman;Times;serif"/>
          <w:b/>
          <w:sz w:val="20"/>
        </w:rPr>
        <w:t>Custodian</w:t>
      </w:r>
      <w:r>
        <w:rPr>
          <w:rFonts w:ascii="Times New Roman;Times;serif" w:hAnsi="Times New Roman;Times;serif"/>
          <w:sz w:val="20"/>
        </w:rPr>
        <w:t>”) and (i) provided that the Depositary is participating in the Depository Trust Company (“</w:t>
      </w:r>
      <w:r>
        <w:rPr>
          <w:rFonts w:ascii="Times New Roman;Times;serif" w:hAnsi="Times New Roman;Times;serif"/>
          <w:b/>
          <w:sz w:val="20"/>
        </w:rPr>
        <w:t>DTC</w:t>
      </w:r>
      <w:r>
        <w:rPr>
          <w:rFonts w:ascii="Times New Roman;Times;serif" w:hAnsi="Times New Roman;Times;serif"/>
          <w:sz w:val="20"/>
        </w:rPr>
        <w:t>”) Fast Automated Securities Transfer Program (“</w:t>
      </w:r>
      <w:r>
        <w:rPr>
          <w:rFonts w:ascii="Times New Roman;Times;serif" w:hAnsi="Times New Roman;Times;serif"/>
          <w:b/>
          <w:sz w:val="20"/>
        </w:rPr>
        <w:t>FAST</w:t>
      </w:r>
      <w:r>
        <w:rPr>
          <w:rFonts w:ascii="Times New Roman;Times;serif" w:hAnsi="Times New Roman;Times;serif"/>
          <w:sz w:val="20"/>
        </w:rPr>
        <w:t>”), cause the Depositary to issue the Interest ADSs and deliver the Interest ADS to which the Holder shall be entitled to the Holder’s or its designee’s balance account as indicated on the instructions to the Depositary from the Company with DTC through its Deposit/Withdrawal at Custodian system, or (ii) if the Depositary is not participating in FAST, cause the Depositary to issue and deliver on the applicable Interest Date, to the Holder at the address set forth in the instructions to the Depositary from the Holder and the Company after the close of the Principal Market on the Trading Day immediately prior to the applicable Interest Date and prior to the open of the Principal Market on the applicable Interest Date, a Direct Registration Statement (“</w:t>
      </w:r>
      <w:r>
        <w:rPr>
          <w:rFonts w:ascii="Times New Roman;Times;serif" w:hAnsi="Times New Roman;Times;serif"/>
          <w:b/>
          <w:sz w:val="20"/>
        </w:rPr>
        <w:t>DRS</w:t>
      </w:r>
      <w:r>
        <w:rPr>
          <w:rFonts w:ascii="Times New Roman;Times;serif" w:hAnsi="Times New Roman;Times;serif"/>
          <w:sz w:val="20"/>
        </w:rPr>
        <w:t>”) statement reflecting the aggregate number of Interest ADSs to which the Holder is entitled. When any Cash Interest is to be paid on an Interest Date, the Company shall pay to the Holder, in cash by wire transfer of immediately available funds, the amount of such Cash Interest.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Prior to the payment of Interest on an Interest Date, Interest on this Note shall accrue at the Interest Rate and be payable by way of inclusion of the Interest in the Conversion Amount on each Conversion Date in accordance with </w:t>
      </w:r>
      <w:r>
        <w:rPr>
          <w:rFonts w:ascii="Times New Roman;Times;serif" w:hAnsi="Times New Roman;Times;serif"/>
          <w:sz w:val="20"/>
          <w:u w:val="single"/>
        </w:rPr>
        <w:t>Section 3(b)</w:t>
      </w:r>
      <w:r>
        <w:rPr>
          <w:rFonts w:ascii="Times New Roman;Times;serif" w:hAnsi="Times New Roman;Times;serif"/>
          <w:sz w:val="20"/>
        </w:rPr>
        <w:t xml:space="preserve"> or upon any redemption in accordance with </w:t>
      </w:r>
      <w:r>
        <w:rPr>
          <w:rFonts w:ascii="Times New Roman;Times;serif" w:hAnsi="Times New Roman;Times;serif"/>
          <w:sz w:val="20"/>
          <w:u w:val="single"/>
        </w:rPr>
        <w:t>Section 12</w:t>
      </w:r>
      <w:r>
        <w:rPr>
          <w:rFonts w:ascii="Times New Roman;Times;serif" w:hAnsi="Times New Roman;Times;serif"/>
          <w:sz w:val="20"/>
        </w:rPr>
        <w:t xml:space="preserve"> or any required payment upon any Bankruptcy Event of Default (as defined below). From and after the occurrence and during the continuance of any Event of Default, the Interest Rate shall automatically be increased to fourteen percent (14.0%) per annum (the “</w:t>
      </w:r>
      <w:r>
        <w:rPr>
          <w:rFonts w:ascii="Times New Roman;Times;serif" w:hAnsi="Times New Roman;Times;serif"/>
          <w:b/>
          <w:sz w:val="20"/>
        </w:rPr>
        <w:t>Default Rate</w:t>
      </w:r>
      <w:r>
        <w:rPr>
          <w:rFonts w:ascii="Times New Roman;Times;serif" w:hAnsi="Times New Roman;Times;serif"/>
          <w:sz w:val="20"/>
        </w:rPr>
        <w:t>”). In the event that such Event of Default is subsequently cured or waived in writing in accordance with the terms of this Note (and no other Event of Default then exists, including, without limitation, for the Company’s failure to pay such Interest at the Default Rate on the applicable Interest Date), the adjustment referred to in the preceding sentence shall cease to be effective as of the calendar day immediately following the date of such cure or waiver; provided that the Interest as calculated and unpaid at such increased rate during the continuance of such Event of Default shall continue to apply to the extent relating to the days after the occurrence of such Event of Default through and including the date of such cure or waive of such Event of Default.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CONVERSION OF NOTES</w:t>
      </w:r>
      <w:r>
        <w:rPr>
          <w:rFonts w:ascii="Times New Roman;Times;serif" w:hAnsi="Times New Roman;Times;serif"/>
          <w:sz w:val="20"/>
        </w:rPr>
        <w:t xml:space="preserve">. At any time after the Issuance Date, this Note shall be convertible into validly issued, fully paid and non-assessable Ordinary Shares evidenced by ADSs on the terms and conditions set forth in this </w:t>
      </w:r>
      <w:r>
        <w:rPr>
          <w:rFonts w:ascii="Times New Roman;Times;serif" w:hAnsi="Times New Roman;Times;serif"/>
          <w:sz w:val="20"/>
          <w:u w:val="single"/>
        </w:rPr>
        <w:t>Section 3</w:t>
      </w:r>
      <w:r>
        <w:rPr>
          <w:rFonts w:ascii="Times New Roman;Times;serif" w:hAnsi="Times New Roman;Times;serif"/>
          <w:sz w:val="20"/>
        </w:rPr>
        <w:t>.</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Conversion Right</w:t>
      </w:r>
      <w:r>
        <w:rPr>
          <w:rFonts w:ascii="Times New Roman;Times;serif" w:hAnsi="Times New Roman;Times;serif"/>
          <w:sz w:val="20"/>
        </w:rPr>
        <w:t xml:space="preserve">. Subject to the provisions of </w:t>
      </w:r>
      <w:r>
        <w:rPr>
          <w:rFonts w:ascii="Times New Roman;Times;serif" w:hAnsi="Times New Roman;Times;serif"/>
          <w:sz w:val="20"/>
          <w:u w:val="single"/>
        </w:rPr>
        <w:t>Section 3(d)</w:t>
      </w:r>
      <w:r>
        <w:rPr>
          <w:rFonts w:ascii="Times New Roman;Times;serif" w:hAnsi="Times New Roman;Times;serif"/>
          <w:sz w:val="20"/>
        </w:rPr>
        <w:t xml:space="preserve">, at any time or times on or after the Issuance Date, the Holder shall be entitled to convert any portion of the outstanding and unpaid Conversion Amount (as defined below) into validly issued, fully paid and non-assessable Ordinary Shares evidenced by ADSs in accordance with </w:t>
      </w:r>
      <w:r>
        <w:rPr>
          <w:rFonts w:ascii="Times New Roman;Times;serif" w:hAnsi="Times New Roman;Times;serif"/>
          <w:sz w:val="20"/>
          <w:u w:val="single"/>
        </w:rPr>
        <w:t>Section 3(c)</w:t>
      </w:r>
      <w:r>
        <w:rPr>
          <w:rFonts w:ascii="Times New Roman;Times;serif" w:hAnsi="Times New Roman;Times;serif"/>
          <w:sz w:val="20"/>
        </w:rPr>
        <w:t>, at the Conversion Rate (as defined below). The Company shall not issue any fraction of an ADS upon any conversion. If the issuance would result in the issuance of a fraction of an ADS, the Company shall round such fraction of an ADS up to the nearest whole ADS. The Company shall pay any and all transfer, stamp, issuance and similar taxes, costs and expenses (including, without limitation, fees and expenses of the Registrar Service Provider (as defined below) and the Depositary (as defined below)) that may be payable with respect to the issuance and delivery of ADSs upon conversion of any Conversion Amount.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Conversion Rate</w:t>
      </w:r>
      <w:r>
        <w:rPr>
          <w:rFonts w:ascii="Times New Roman;Times;serif" w:hAnsi="Times New Roman;Times;serif"/>
          <w:sz w:val="20"/>
        </w:rPr>
        <w:t>. The number of ADSs issuable upon conversion of any Conversion Amount (the “</w:t>
      </w:r>
      <w:r>
        <w:rPr>
          <w:rFonts w:ascii="Times New Roman;Times;serif" w:hAnsi="Times New Roman;Times;serif"/>
          <w:b/>
          <w:sz w:val="20"/>
        </w:rPr>
        <w:t>ADS Number</w:t>
      </w:r>
      <w:r>
        <w:rPr>
          <w:rFonts w:ascii="Times New Roman;Times;serif" w:hAnsi="Times New Roman;Times;serif"/>
          <w:sz w:val="20"/>
        </w:rPr>
        <w:t xml:space="preserve">”) pursuant to </w:t>
      </w:r>
      <w:r>
        <w:rPr>
          <w:rFonts w:ascii="Times New Roman;Times;serif" w:hAnsi="Times New Roman;Times;serif"/>
          <w:sz w:val="20"/>
          <w:u w:val="single"/>
        </w:rPr>
        <w:t>Section 3(a)</w:t>
      </w:r>
      <w:r>
        <w:rPr>
          <w:rFonts w:ascii="Times New Roman;Times;serif" w:hAnsi="Times New Roman;Times;serif"/>
          <w:sz w:val="20"/>
        </w:rPr>
        <w:t xml:space="preserve"> shall be determined according to the following formula (the “</w:t>
      </w:r>
      <w:r>
        <w:rPr>
          <w:rFonts w:ascii="Times New Roman;Times;serif" w:hAnsi="Times New Roman;Times;serif"/>
          <w:b/>
          <w:sz w:val="20"/>
        </w:rPr>
        <w:t>Conversion Rate</w:t>
      </w:r>
      <w:r>
        <w:rPr>
          <w:rFonts w:ascii="Times New Roman;Times;serif" w:hAnsi="Times New Roman;Times;serif"/>
          <w:sz w:val="20"/>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ADS Number = A * (B ÷ C)</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For the purposes of the foregoing formula:</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 the number of ADS representing one (1) Ordinary Share (as adjusted from time to time) (the “</w:t>
      </w:r>
      <w:r>
        <w:rPr>
          <w:rFonts w:ascii="Times New Roman;Times;serif" w:hAnsi="Times New Roman;Times;serif"/>
          <w:b/>
          <w:sz w:val="20"/>
        </w:rPr>
        <w:t>ADS Ratio</w:t>
      </w:r>
      <w:r>
        <w:rPr>
          <w:rFonts w:ascii="Times New Roman;Times;serif" w:hAnsi="Times New Roman;Times;serif"/>
          <w:sz w:val="20"/>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B = the Conversion Amount.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C = the Conversion Price (except, with respect to Interest included in such Conversion Amount, the Interest Conversion Price as of such Conversion Date (as defined below).</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b/>
          <w:sz w:val="20"/>
        </w:rPr>
        <w:t>Conversion Amount</w:t>
      </w:r>
      <w:r>
        <w:rPr>
          <w:rFonts w:ascii="Times New Roman;Times;serif" w:hAnsi="Times New Roman;Times;serif"/>
          <w:sz w:val="20"/>
        </w:rPr>
        <w:t>” means the sum of (A) the portion of the Principal of this Note to be converted, redeemed or otherwise with respect to which this determination is being made, (B) accrued and unpaid Interest with respect to such Principal of this Note, (C) accrued and unpaid Late Charges with respect to such Principal of this Note and Interest, and (D) any other unpaid amounts pursuant to the Transaction Documents, if any.</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b/>
          <w:sz w:val="20"/>
        </w:rPr>
        <w:t>Conversion Price</w:t>
      </w:r>
      <w:r>
        <w:rPr>
          <w:rFonts w:ascii="Times New Roman;Times;serif" w:hAnsi="Times New Roman;Times;serif"/>
          <w:sz w:val="20"/>
        </w:rPr>
        <w:t>” means, as of any Conversion Date or other date of determination, $2.19 per ADS ($2.19 per Ordinary Share), subject to adjustment as provided herein.</w:t>
      </w:r>
    </w:p>
    <w:tbl>
      <w:tblPr>
        <w:tblW w:w="2403" w:type="dxa"/>
        <w:jc w:val="left"/>
        <w:tblInd w:w="0" w:type="dxa"/>
        <w:tblLayout w:type="fixed"/>
        <w:tblCellMar>
          <w:top w:w="0" w:type="dxa"/>
          <w:left w:w="0" w:type="dxa"/>
          <w:bottom w:w="0" w:type="dxa"/>
          <w:right w:w="0" w:type="dxa"/>
        </w:tblCellMar>
      </w:tblPr>
      <w:tblGrid>
        <w:gridCol w:w="23"/>
        <w:gridCol w:w="23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21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Mechanics of Conversion</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Optional Conversion</w:t>
      </w:r>
      <w:r>
        <w:rPr>
          <w:rFonts w:ascii="Times New Roman;Times;serif" w:hAnsi="Times New Roman;Times;serif"/>
          <w:sz w:val="20"/>
        </w:rPr>
        <w:t>. To convert any Conversion Amount into ADSs on any date (a “</w:t>
      </w:r>
      <w:r>
        <w:rPr>
          <w:rFonts w:ascii="Times New Roman;Times;serif" w:hAnsi="Times New Roman;Times;serif"/>
          <w:b/>
          <w:sz w:val="20"/>
        </w:rPr>
        <w:t>Conversion Date</w:t>
      </w:r>
      <w:r>
        <w:rPr>
          <w:rFonts w:ascii="Times New Roman;Times;serif" w:hAnsi="Times New Roman;Times;serif"/>
          <w:sz w:val="20"/>
        </w:rPr>
        <w:t xml:space="preserve">”), the Holder shall deliver (whether via electronic mail or otherwise), for receipt on or prior to 11:59 p.m., New York time, on such date, a copy of an executed notice of conversion in the form attached hereto as </w:t>
      </w:r>
      <w:r>
        <w:rPr>
          <w:rFonts w:ascii="Times New Roman;Times;serif" w:hAnsi="Times New Roman;Times;serif"/>
          <w:sz w:val="20"/>
          <w:u w:val="single"/>
        </w:rPr>
        <w:t>Exhibit I</w:t>
      </w:r>
      <w:r>
        <w:rPr>
          <w:rFonts w:ascii="Times New Roman;Times;serif" w:hAnsi="Times New Roman;Times;serif"/>
          <w:sz w:val="20"/>
        </w:rPr>
        <w:t xml:space="preserve"> (each, a “</w:t>
      </w:r>
      <w:r>
        <w:rPr>
          <w:rFonts w:ascii="Times New Roman;Times;serif" w:hAnsi="Times New Roman;Times;serif"/>
          <w:b/>
          <w:sz w:val="20"/>
        </w:rPr>
        <w:t>Conversion Notice</w:t>
      </w:r>
      <w:r>
        <w:rPr>
          <w:rFonts w:ascii="Times New Roman;Times;serif" w:hAnsi="Times New Roman;Times;serif"/>
          <w:sz w:val="20"/>
        </w:rPr>
        <w:t xml:space="preserve">”) to the Company, the Trustee, the Registrar Service Provider, and the Depositary. If required by </w:t>
      </w:r>
      <w:r>
        <w:rPr>
          <w:rFonts w:ascii="Times New Roman;Times;serif" w:hAnsi="Times New Roman;Times;serif"/>
          <w:sz w:val="20"/>
          <w:u w:val="single"/>
        </w:rPr>
        <w:t>Section 3(c)(iii)</w:t>
      </w:r>
      <w:r>
        <w:rPr>
          <w:rFonts w:ascii="Times New Roman;Times;serif" w:hAnsi="Times New Roman;Times;serif"/>
          <w:sz w:val="20"/>
        </w:rPr>
        <w:t xml:space="preserve">,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w:t>
      </w:r>
      <w:r>
        <w:rPr>
          <w:rFonts w:ascii="Times New Roman;Times;serif" w:hAnsi="Times New Roman;Times;serif"/>
          <w:sz w:val="20"/>
          <w:u w:val="single"/>
        </w:rPr>
        <w:t>Section 18(b)</w:t>
      </w:r>
      <w:r>
        <w:rPr>
          <w:rFonts w:ascii="Times New Roman;Times;serif" w:hAnsi="Times New Roman;Times;serif"/>
          <w:sz w:val="20"/>
        </w:rPr>
        <w:t>). On or prior to the first (1</w:t>
      </w:r>
      <w:r>
        <w:rPr>
          <w:rFonts w:ascii="Times New Roman;Times;serif" w:hAnsi="Times New Roman;Times;serif"/>
          <w:sz w:val="15"/>
        </w:rPr>
        <w:t>st</w:t>
      </w:r>
      <w:r>
        <w:rPr>
          <w:rFonts w:ascii="Times New Roman;Times;serif" w:hAnsi="Times New Roman;Times;serif"/>
          <w:sz w:val="20"/>
        </w:rPr>
        <w:t xml:space="preserve">) Trading Day after the date of receipt of a Conversion Notice, the Company shall transmit by electronic mail the Acknowledgment and Instructions to Registrar Service Provider and the Company Conversion ADSs Instruction Letter to the Depositary in the forms attached hereto as </w:t>
      </w:r>
      <w:r>
        <w:rPr>
          <w:rFonts w:ascii="Times New Roman;Times;serif" w:hAnsi="Times New Roman;Times;serif"/>
          <w:sz w:val="20"/>
          <w:u w:val="single"/>
        </w:rPr>
        <w:t>Exhibit IV</w:t>
      </w:r>
      <w:r>
        <w:rPr>
          <w:rFonts w:ascii="Times New Roman;Times;serif" w:hAnsi="Times New Roman;Times;serif"/>
          <w:sz w:val="20"/>
        </w:rPr>
        <w:t xml:space="preserve"> and </w:t>
      </w:r>
      <w:r>
        <w:rPr>
          <w:rFonts w:ascii="Times New Roman;Times;serif" w:hAnsi="Times New Roman;Times;serif"/>
          <w:sz w:val="20"/>
          <w:u w:val="single"/>
        </w:rPr>
        <w:t>Exhibit V</w:t>
      </w:r>
      <w:r>
        <w:rPr>
          <w:rFonts w:ascii="Times New Roman;Times;serif" w:hAnsi="Times New Roman;Times;serif"/>
          <w:sz w:val="20"/>
        </w:rPr>
        <w:t>, to the Holder, the Trustee, the Registrar Service Provider and the Depositary which shall constitute an instruction to the Registrar Service Provider to issue the requisite underlying Ordinary Shares in the name of the Depositary and deposit the Ordinary Shares with the Custodian with respect to the Conversion Notice and to the Depositary to issue the Conversion ADSs (as defined in the Securities Purchase Agreement) and deliver them to the account designated in such Company Conversion ADSs Instruction Letter to the Depositary in accordance with the terms therein. On or before the second (2nd) Trading Day (provided that such date as determined shall automatically be extended by one additional Trading Day for each Trading Day in the period commencing on the date on which the Company has received a Conversion Notice and ending on the date that is two (2) Trading Days after such date, that is a day on which banking institutions in the jurisdictions in which the Registrar Service Provider, the Depositary or the Custodian are located are authorized by law, regulation or executive order to close) following the date on which the Company has received a Conversion Notice (the “</w:t>
      </w:r>
      <w:r>
        <w:rPr>
          <w:rFonts w:ascii="Times New Roman;Times;serif" w:hAnsi="Times New Roman;Times;serif"/>
          <w:b/>
          <w:sz w:val="20"/>
        </w:rPr>
        <w:t>ADS Delivery Deadline</w:t>
      </w:r>
      <w:r>
        <w:rPr>
          <w:rFonts w:ascii="Times New Roman;Times;serif" w:hAnsi="Times New Roman;Times;serif"/>
          <w:sz w:val="20"/>
        </w:rPr>
        <w:t xml:space="preserve">”), the Company shall have, (1) caused the Registrar Service Provider to deposit with the Custodian such aggregate number of Ordinary Shares as necessary to effect the issuance in full of the ADSs to be issued pursuant to such Conversion Notice, and (2) either (A) provided that the Depositary is participating in FAST, caused the Depositary to credit such aggregate number of ADSs to which the Holder shall be entitled pursuant to such conversion to the Holder’s or its designee’s balance account with DTC through its Deposit/Withdrawal at Custodian system, Direct Registration System and/or Profile Modification System, as applicable, or (B) if the Depositary is not participating in FAST, upon the request of the Holder, caused the Depositary to issue and deliver to the address as specified in the Conversion Notice, a DRS statement reflecting the ADSs, registered in the name of the Holder or its designee, for the number of ADSs to which the Holder shall be entitled pursuant to such conversion. If this Note is physically surrendered for conversion pursuant to </w:t>
      </w:r>
      <w:r>
        <w:rPr>
          <w:rFonts w:ascii="Times New Roman;Times;serif" w:hAnsi="Times New Roman;Times;serif"/>
          <w:sz w:val="20"/>
          <w:u w:val="single"/>
        </w:rPr>
        <w:t>Section 3(c)(iii)</w:t>
      </w:r>
      <w:r>
        <w:rPr>
          <w:rFonts w:ascii="Times New Roman;Times;serif" w:hAnsi="Times New Roman;Times;serif"/>
          <w:sz w:val="20"/>
        </w:rPr>
        <w:t xml:space="preserve"> and the outstanding Principal of this Note is greater than the Principal portion of the Conversion Amount being converted, then the Company shall as soon as practicable and in no event later than one (1) Business Day after receipt of this Note and at its own expense, issue and deliver to the Holder (or its designee) a new Note (in accordance with </w:t>
      </w:r>
      <w:r>
        <w:rPr>
          <w:rFonts w:ascii="Times New Roman;Times;serif" w:hAnsi="Times New Roman;Times;serif"/>
          <w:sz w:val="20"/>
          <w:u w:val="single"/>
        </w:rPr>
        <w:t>Section 18(d)</w:t>
      </w:r>
      <w:r>
        <w:rPr>
          <w:rFonts w:ascii="Times New Roman;Times;serif" w:hAnsi="Times New Roman;Times;serif"/>
          <w:sz w:val="20"/>
        </w:rPr>
        <w:t>) representing the outstanding Principal not converted. The Person or Persons entitled to receive the ADSs issuable upon a conversion of this Note shall be treated for all purposes as the record holder of such ADSs on the Conversion Date; provided, that the Holder shall be deemed to have waived any voting rights of any such ADSs and/or Ordinary Shares, as applicable, that may arise with respect to any record date during the period commencing on such Conversion Date, through, and including, such applicable ADS Delivery Deadline (each, a “</w:t>
      </w:r>
      <w:r>
        <w:rPr>
          <w:rFonts w:ascii="Times New Roman;Times;serif" w:hAnsi="Times New Roman;Times;serif"/>
          <w:b/>
          <w:sz w:val="20"/>
        </w:rPr>
        <w:t>Conversion Period</w:t>
      </w:r>
      <w:r>
        <w:rPr>
          <w:rFonts w:ascii="Times New Roman;Times;serif" w:hAnsi="Times New Roman;Times;serif"/>
          <w:sz w:val="20"/>
        </w:rPr>
        <w:t>”), as necessary, such that the aggregate voting rights of any ADSs and/or Ordinary Shares beneficially owned by the Holder and/or any Attribution Parties, collectively, on any such record date shall not exceed the Maximum Percentage (as defined below) as a result of any such conversion of this Note.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Company’s Failure to Timely Convert</w:t>
      </w:r>
      <w:r>
        <w:rPr>
          <w:rFonts w:ascii="Times New Roman;Times;serif" w:hAnsi="Times New Roman;Times;serif"/>
          <w:sz w:val="20"/>
        </w:rPr>
        <w:t>. If the Company shall fail, for any reason or for no reason, on or prior to the applicable ADS Delivery Deadline, (i) to cause the Registrar Service Provider to register the underlying Ordinary Shares on the register of members of the Company under the name of the Depositary, (ii) to cause the deposit of Ordinary Shares with the Custodian, or (iii) to either (x) if the Depositary is not participating in FAST, cause the Depositary to issue and deliver to the Holder a DRS statement reflecting the ADSs, registered in the name of the Holder or its designee, for the number of ADSs to which the Holder shall be entitled pursuant to such conversion, or (y) if the Depositary is participating in FAST, to cause the Depositary to credit the account of the Holder (or its designee) with DTC for such number of ADSs to which the Holder is entitled upon the Holder’s conversion of this Note (as the case may be) (a “</w:t>
      </w:r>
      <w:r>
        <w:rPr>
          <w:rFonts w:ascii="Times New Roman;Times;serif" w:hAnsi="Times New Roman;Times;serif"/>
          <w:b/>
          <w:sz w:val="20"/>
        </w:rPr>
        <w:t>Conversion Failure</w:t>
      </w:r>
      <w:r>
        <w:rPr>
          <w:rFonts w:ascii="Times New Roman;Times;serif" w:hAnsi="Times New Roman;Times;serif"/>
          <w:sz w:val="20"/>
        </w:rPr>
        <w:t xml:space="preserve">”), then, in addition to all other remedies available to the Holder, (1) the Company shall pay in cash to the Holder on each day after such ADS Delivery Deadline that the issuance of such ADSs is not timely effected an amount equal to 2% of the product of (A) the number of ADSs not issued to the Holder on or prior to the ADS Delivery Deadline and to which the Holder is entitled, multiplied by (B) the Closing Bid Price of the ADS on the date of the ADS Delivery Deadline and (2) the Holder, upon written notice to the Company and the Trustee,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w:t>
      </w:r>
      <w:r>
        <w:rPr>
          <w:rFonts w:ascii="Times New Roman;Times;serif" w:hAnsi="Times New Roman;Times;serif"/>
          <w:sz w:val="20"/>
          <w:u w:val="single"/>
        </w:rPr>
        <w:t>Section 3(c)(ii)</w:t>
      </w:r>
      <w:r>
        <w:rPr>
          <w:rFonts w:ascii="Times New Roman;Times;serif" w:hAnsi="Times New Roman;Times;serif"/>
          <w:sz w:val="20"/>
        </w:rPr>
        <w:t xml:space="preserve"> or otherwise. In addition to the foregoing, if a Conversion Failure occurs, and if on or after such ADS Delivery Deadline the Holder acquires (in an open market transaction, stock loan or otherwise) ADSs corresponding to all or any portion of the number of ADSs issuable upon such conversion that the Holder is entitled to receive from the Company and has not received from the Company in connection with such Conversion Failure (a “</w:t>
      </w:r>
      <w:r>
        <w:rPr>
          <w:rFonts w:ascii="Times New Roman;Times;serif" w:hAnsi="Times New Roman;Times;serif"/>
          <w:b/>
          <w:sz w:val="20"/>
        </w:rPr>
        <w:t>Buy-In</w:t>
      </w:r>
      <w:r>
        <w:rPr>
          <w:rFonts w:ascii="Times New Roman;Times;serif" w:hAnsi="Times New Roman;Times;serif"/>
          <w:sz w:val="20"/>
        </w:rPr>
        <w:t>”), then, in addition to all other remedies available to the Holder, the Company shall, within one (1) Business Day after receipt of the Holder’s request and in the Holder’s discretion, either: (I) pay cash to the Holder in an amount equal to the Holder’s total purchase price (including brokerage commissions, stock loan costs and other out-of-pocket expenses, if any) for the ADSs so acquired (including, without limitation, by any other Person in respect, or on behalf, of the Holder) (the “</w:t>
      </w:r>
      <w:r>
        <w:rPr>
          <w:rFonts w:ascii="Times New Roman;Times;serif" w:hAnsi="Times New Roman;Times;serif"/>
          <w:b/>
          <w:sz w:val="20"/>
        </w:rPr>
        <w:t>Buy-In Price</w:t>
      </w:r>
      <w:r>
        <w:rPr>
          <w:rFonts w:ascii="Times New Roman;Times;serif" w:hAnsi="Times New Roman;Times;serif"/>
          <w:sz w:val="20"/>
        </w:rPr>
        <w:t>”), at which point the Company’s obligation to so issue and deliver such certificate (and to issue such ADSs) or credit the balance account of such Holder or such Holder’s designee, as applicable, with DTC for the number of ADSs to which the Holder is entitled upon the Holder’s conversion hereunder (as the case may be) (and to issue such ADSs) shall terminate, or (II) promptly honor its obligation to so issue and deliver to the Holder an ADR certificate or certificates representing such ADSs or credit the balance account of such Holder or such Holder’s designee, as applicable, with DTC for the number of ADSs to which the Holder is entitled upon the Holder’s conversion hereunder (as the case may be) and pay cash to the Holder in an amount equal to the excess (if any) of the Buy-In Price over the product of (x) such number of ADSs multiplied by (y) the lowest Closing Sale Price of the ADSs on any Trading Day during the period commencing on the date of the applicable Conversion Notice and ending on the date of such issuance and payment under this clause (II) (the “</w:t>
      </w:r>
      <w:r>
        <w:rPr>
          <w:rFonts w:ascii="Times New Roman;Times;serif" w:hAnsi="Times New Roman;Times;serif"/>
          <w:b/>
          <w:sz w:val="20"/>
        </w:rPr>
        <w:t>Buy-In Payment Amount</w:t>
      </w:r>
      <w:r>
        <w:rPr>
          <w:rFonts w:ascii="Times New Roman;Times;serif" w:hAnsi="Times New Roman;Times;serif"/>
          <w:sz w:val="20"/>
        </w:rPr>
        <w:t>”). Nothing shall limit the Holder’s right to pursue any other remedies available to it hereunder, at law or in equity, including, without limitation, a decree of specific performance and/or injunctive relief with respect to the Company’s failure to timely deliver ADR certificates representing ADSs (or to electronically deliver such ADSs) upon the conversion of this Note as required pursuant to the terms 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sz w:val="20"/>
          <w:u w:val="single"/>
        </w:rPr>
        <w:t>Registration; Book-Entry</w:t>
      </w:r>
      <w:r>
        <w:rPr>
          <w:rFonts w:ascii="Times New Roman;Times;serif" w:hAnsi="Times New Roman;Times;serif"/>
          <w:sz w:val="20"/>
        </w:rPr>
        <w:t>. The Trustee shall maintain a register (the “</w:t>
      </w:r>
      <w:r>
        <w:rPr>
          <w:rFonts w:ascii="Times New Roman;Times;serif" w:hAnsi="Times New Roman;Times;serif"/>
          <w:b/>
          <w:sz w:val="20"/>
        </w:rPr>
        <w:t>Register</w:t>
      </w:r>
      <w:r>
        <w:rPr>
          <w:rFonts w:ascii="Times New Roman;Times;serif" w:hAnsi="Times New Roman;Times;serif"/>
          <w:sz w:val="20"/>
        </w:rPr>
        <w:t>”) for the recordation of the names and addresses of the holders of each Note and the principal amount of the Notes held by such holders (the “</w:t>
      </w:r>
      <w:r>
        <w:rPr>
          <w:rFonts w:ascii="Times New Roman;Times;serif" w:hAnsi="Times New Roman;Times;serif"/>
          <w:b/>
          <w:sz w:val="20"/>
        </w:rPr>
        <w:t>Registered Notes</w:t>
      </w:r>
      <w:r>
        <w:rPr>
          <w:rFonts w:ascii="Times New Roman;Times;serif" w:hAnsi="Times New Roman;Times;serif"/>
          <w:sz w:val="20"/>
        </w:rPr>
        <w:t xml:space="preserve">”) as provided in the Indenture.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and, except for any assignment or transfer to the Holder’s Affiliates, partners, limited partners or members, only upon the written approval of the Company. Upon its receipt of a written request to assign, transfer or sell all or part of any Registered Note by the holder thereof, the Trustee shall record the information contained therein in the Register and issue one or more new Registered Notes in the same aggregate principal amount as the principal amount of the surrendered Registered Note to the designated assignee or transferee pursuant to </w:t>
      </w:r>
      <w:r>
        <w:rPr>
          <w:rFonts w:ascii="Times New Roman;Times;serif" w:hAnsi="Times New Roman;Times;serif"/>
          <w:sz w:val="20"/>
          <w:u w:val="single"/>
        </w:rPr>
        <w:t>Section 18,</w:t>
      </w:r>
      <w:r>
        <w:rPr>
          <w:rFonts w:ascii="Times New Roman;Times;serif" w:hAnsi="Times New Roman;Times;serif"/>
          <w:sz w:val="20"/>
        </w:rPr>
        <w:t xml:space="preserve">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w:t>
      </w:r>
      <w:r>
        <w:rPr>
          <w:rFonts w:ascii="Times New Roman;Times;serif" w:hAnsi="Times New Roman;Times;serif"/>
          <w:sz w:val="20"/>
          <w:u w:val="single"/>
        </w:rPr>
        <w:t>Section 3</w:t>
      </w:r>
      <w:r>
        <w:rPr>
          <w:rFonts w:ascii="Times New Roman;Times;serif" w:hAnsi="Times New Roman;Times;serif"/>
          <w:sz w:val="20"/>
        </w:rPr>
        <w:t xml:space="preserve"> or in the Indenture or in the applicable Supplemental Indenture,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w:t>
      </w:r>
      <w:r>
        <w:rPr>
          <w:rFonts w:ascii="Times New Roman;Times;serif" w:hAnsi="Times New Roman;Times;serif"/>
          <w:sz w:val="20"/>
          <w:u w:val="single"/>
        </w:rPr>
        <w:t>Section 3(c)(i))</w:t>
      </w:r>
      <w:r>
        <w:rPr>
          <w:rFonts w:ascii="Times New Roman;Times;serif" w:hAnsi="Times New Roman;Times;serif"/>
          <w:sz w:val="20"/>
        </w:rPr>
        <w:t xml:space="preserve"> or (B) the Holder has provided the Company with prior written notice (which notice may be included in a Conversion Notice) requesting reissuance of this Note upon physical surrender of this Note. The Holder, the Trustee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Trustee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(iv)</w:t>
      </w:r>
      <w:r>
        <w:rPr>
          <w:rFonts w:ascii="Times New Roman;Times;serif" w:hAnsi="Times New Roman;Times;serif"/>
          <w:sz w:val="20"/>
          <w:u w:val="single"/>
        </w:rPr>
        <w:t>Pro Rata Conversion; Disputes</w:t>
      </w:r>
      <w:r>
        <w:rPr>
          <w:rFonts w:ascii="Times New Roman;Times;serif" w:hAnsi="Times New Roman;Times;serif"/>
          <w:sz w:val="20"/>
        </w:rPr>
        <w:t xml:space="preserve">. In the event that the Company receives a Conversion Notice from more than one holder of Notes for the same Conversion Date and the Company can convert some, but not all, of such portions of the Notes submitted for conversion, the Company, subject to </w:t>
      </w:r>
      <w:r>
        <w:rPr>
          <w:rFonts w:ascii="Times New Roman;Times;serif" w:hAnsi="Times New Roman;Times;serif"/>
          <w:sz w:val="20"/>
          <w:u w:val="single"/>
        </w:rPr>
        <w:t>Section 3(d)</w:t>
      </w:r>
      <w:r>
        <w:rPr>
          <w:rFonts w:ascii="Times New Roman;Times;serif" w:hAnsi="Times New Roman;Times;serif"/>
          <w:sz w:val="20"/>
        </w:rPr>
        <w:t xml:space="preserve">,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ADSs or Ordinary Shares issuable to the Holder in connection with a conversion of this Note, the Company shall issue to the Holder the number of ADSs or Ordinary Shares not in dispute and resolve such dispute in accordance with </w:t>
      </w:r>
      <w:r>
        <w:rPr>
          <w:rFonts w:ascii="Times New Roman;Times;serif" w:hAnsi="Times New Roman;Times;serif"/>
          <w:sz w:val="20"/>
          <w:u w:val="single"/>
        </w:rPr>
        <w:t>Section 23</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(v)</w:t>
      </w:r>
      <w:r>
        <w:rPr>
          <w:rFonts w:ascii="Times New Roman;Times;serif" w:hAnsi="Times New Roman;Times;serif"/>
          <w:sz w:val="20"/>
          <w:u w:val="single"/>
        </w:rPr>
        <w:t>Treasury ADSs</w:t>
      </w:r>
      <w:r>
        <w:rPr>
          <w:rFonts w:ascii="Times New Roman;Times;serif" w:hAnsi="Times New Roman;Times;serif"/>
          <w:sz w:val="20"/>
        </w:rPr>
        <w:t>. Notwithstanding anything herein to the contrary, in lieu of the issuance of Ordinary Shares and Conversion ADSs (as defined in the Securities Purchase Agreement), as applicable, in connection with any conversion of this Note, the Company may satisfy such obligations, in whole or in part, by transfer of treasury ADSs, as applicable, to the Holder from the Treasury Reserve (as defined in the Securities Purchase Agreement) or otherwise as necessary to timely satisfy the Company’s delivery obligations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Limitations on Conversions</w:t>
      </w:r>
      <w:r>
        <w:rPr>
          <w:rFonts w:ascii="Times New Roman;Times;serif" w:hAnsi="Times New Roman;Times;serif"/>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9.99% (the “</w:t>
      </w:r>
      <w:r>
        <w:rPr>
          <w:rFonts w:ascii="Times New Roman;Times;serif" w:hAnsi="Times New Roman;Times;serif"/>
          <w:b/>
          <w:sz w:val="20"/>
        </w:rPr>
        <w:t>Maximum Percentage</w:t>
      </w:r>
      <w:r>
        <w:rPr>
          <w:rFonts w:ascii="Times New Roman;Times;serif" w:hAnsi="Times New Roman;Times;serif"/>
          <w:sz w:val="20"/>
        </w:rPr>
        <w:t xml:space="preserve">”) of the Ordinary Shares outstanding immediately after giving effect to such conversion. For purposes of the foregoing sentence, the aggregate number of Ordinary Shares beneficially owned by the Holder and the other Attribution Parties shall include the number of Ordinary Shares and/or ADSs, as applicable, held by the Holder and all other Attribution Parties plus the number of Ordinary Shares and/or ADSs, as applicable, issuable upon conversion of this Note or otherwise with respect to which the determination of such sentence is being made, but shall exclude Ordinary Shares and/or ADSs, as applicable,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shares or warrants) beneficially owned by the Holder or any other Attribution Party subject to a limitation on conversion or exercise analogous to the limitation contained in this </w:t>
      </w:r>
      <w:r>
        <w:rPr>
          <w:rFonts w:ascii="Times New Roman;Times;serif" w:hAnsi="Times New Roman;Times;serif"/>
          <w:sz w:val="20"/>
          <w:u w:val="single"/>
        </w:rPr>
        <w:t>Section 3(d)</w:t>
      </w:r>
      <w:r>
        <w:rPr>
          <w:rFonts w:ascii="Times New Roman;Times;serif" w:hAnsi="Times New Roman;Times;serif"/>
          <w:sz w:val="20"/>
        </w:rPr>
        <w:t xml:space="preserve">. For purposes of this </w:t>
      </w:r>
      <w:r>
        <w:rPr>
          <w:rFonts w:ascii="Times New Roman;Times;serif" w:hAnsi="Times New Roman;Times;serif"/>
          <w:sz w:val="20"/>
          <w:u w:val="single"/>
        </w:rPr>
        <w:t>Section 3(d)</w:t>
      </w:r>
      <w:r>
        <w:rPr>
          <w:rFonts w:ascii="Times New Roman;Times;serif" w:hAnsi="Times New Roman;Times;serif"/>
          <w:sz w:val="20"/>
        </w:rPr>
        <w:t>, beneficial ownership shall be calculated in accordance with Section 13(d) of the 1934 Act. For purposes of determining the number of outstanding Ordinary Shares the Holder may acquire upon the conversion of this Note without exceeding the Maximum Percentage, the Holder may rely on the number of outstanding Ordinary Shares as reflected in (x) the Company’s most recent Annual Report on Form 20-F, Report of Foreign Issuer on Form 6-K or other public filing with the SEC, as the case may be, (y) a more recent public announcement by the Company or (z) any other written notice by the Company setting forth the number of Ordinary Shares outstanding (the “</w:t>
      </w:r>
      <w:r>
        <w:rPr>
          <w:rFonts w:ascii="Times New Roman;Times;serif" w:hAnsi="Times New Roman;Times;serif"/>
          <w:b/>
          <w:sz w:val="20"/>
        </w:rPr>
        <w:t>Reported Outstanding Share Number</w:t>
      </w:r>
      <w:r>
        <w:rPr>
          <w:rFonts w:ascii="Times New Roman;Times;serif" w:hAnsi="Times New Roman;Times;serif"/>
          <w:sz w:val="20"/>
        </w:rPr>
        <w:t xml:space="preserve">”). If the Company receives a Conversion Notice from the Holder at a time when the actual number of outstanding Ordinary Shares is less than the Reported Outstanding Share Number, the Company shall notify the Holder in writing of the number of Ordinary Shares then outstanding and, to the extent that such Conversion Notice would otherwise cause the Holder’s beneficial ownership, as determined pursuant to this </w:t>
      </w:r>
      <w:r>
        <w:rPr>
          <w:rFonts w:ascii="Times New Roman;Times;serif" w:hAnsi="Times New Roman;Times;serif"/>
          <w:sz w:val="20"/>
          <w:u w:val="single"/>
        </w:rPr>
        <w:t>Section 3(d)</w:t>
      </w:r>
      <w:r>
        <w:rPr>
          <w:rFonts w:ascii="Times New Roman;Times;serif" w:hAnsi="Times New Roman;Times;serif"/>
          <w:sz w:val="20"/>
        </w:rPr>
        <w:t>, to exceed the Maximum Percentage, the Holder must notify the Company of a reduced number of Ordinary Shares and/or ADSs, as applicable, to be purchased pursuant to such Conversion Notice.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Note, by the Holder and any other Attribution Party since the date as of which the Reported Outstanding Share Number was reported. In the event that the issuance of ADSs to the Holder upon conversion of this Note results in the Holder and the other Attribution Parties being deemed to beneficially own, in the aggregate, more than the Maximum Percentage of the number of outstanding Ordinary Shares and/or ADSs, as applicable (as determined under Section 13(d) of the 1934 Act), the number of Ordinary Shares (and/or Conversion ADSs) so issued by which the Holder’s and the other Attribution Parties’ aggregate beneficial ownership exceeds the Maximum Percentage (the “</w:t>
      </w:r>
      <w:r>
        <w:rPr>
          <w:rFonts w:ascii="Times New Roman;Times;serif" w:hAnsi="Times New Roman;Times;serif"/>
          <w:b/>
          <w:sz w:val="20"/>
        </w:rPr>
        <w:t>Excess Shares</w:t>
      </w:r>
      <w:r>
        <w:rPr>
          <w:rFonts w:ascii="Times New Roman;Times;serif" w:hAnsi="Times New Roman;Times;serif"/>
          <w:sz w:val="20"/>
        </w:rPr>
        <w:t>”) shall be deemed null and void and shall be cancelled ab initio, and the Holder shall not have the power to vote or to transfer the Excess Shares. Upon delivery of a written notice to the Company, the Holder may from time to time increase (with such increase not effective until the sixty-first (61</w:t>
      </w:r>
      <w:r>
        <w:rPr>
          <w:rFonts w:ascii="Times New Roman;Times;serif" w:hAnsi="Times New Roman;Times;serif"/>
          <w:sz w:val="15"/>
        </w:rPr>
        <w:t>st</w:t>
      </w:r>
      <w:r>
        <w:rPr>
          <w:rFonts w:ascii="Times New Roman;Times;serif" w:hAnsi="Times New Roman;Times;serif"/>
          <w:sz w:val="20"/>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sz w:val="15"/>
        </w:rPr>
        <w:t>st</w:t>
      </w:r>
      <w:r>
        <w:rPr>
          <w:rFonts w:ascii="Times New Roman;Times;serif" w:hAnsi="Times New Roman;Times;serif"/>
          <w:sz w:val="20"/>
        </w:rPr>
        <w:t>) day after such notice is delivered to the Company and (ii) any such increase or decrease will apply only to the Holder and the other Attribution Parties and not to any other holder of Notes that is not an Attribution Party of the Holder. For purposes of clarity, the Ordinary Shares and/or ADSs, as applicable,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its terms to the extent necessary to correct this paragraph (or any portion of this paragraph) which may be defective or inconsistent with the intended beneficial ownership limitation contained in this paragraph or to make changes or supplements necessary or desirable to properly give effect to such limitation. The limitation contained in this paragraph may not be waived or amended and shall apply to a successor holder of this Note.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firstLine="720"/>
        <w:jc w:val="both"/>
        <w:rPr/>
      </w:pPr>
      <w:r>
        <w:rPr/>
        <w:t>​</w:t>
      </w:r>
    </w:p>
    <w:tbl>
      <w:tblPr>
        <w:tblW w:w="2778" w:type="dxa"/>
        <w:jc w:val="left"/>
        <w:tblInd w:w="0" w:type="dxa"/>
        <w:tblLayout w:type="fixed"/>
        <w:tblCellMar>
          <w:top w:w="0" w:type="dxa"/>
          <w:left w:w="0" w:type="dxa"/>
          <w:bottom w:w="0" w:type="dxa"/>
          <w:right w:w="0" w:type="dxa"/>
        </w:tblCellMar>
      </w:tblPr>
      <w:tblGrid>
        <w:gridCol w:w="23"/>
        <w:gridCol w:w="230"/>
        <w:gridCol w:w="252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25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Right of Alternate Conversion</w:t>
            </w:r>
            <w:r>
              <w:rPr>
                <w:rFonts w:ascii="Times New Roman;Times;serif" w:hAnsi="Times New Roman;Times;serif"/>
                <w:sz w:val="20"/>
              </w:rPr>
              <w:t>.</w:t>
            </w:r>
          </w:p>
        </w:tc>
      </w:tr>
    </w:tbl>
    <w:tbl>
      <w:tblPr>
        <w:tblW w:w="918" w:type="dxa"/>
        <w:jc w:val="left"/>
        <w:tblInd w:w="0" w:type="dxa"/>
        <w:tblLayout w:type="fixed"/>
        <w:tblCellMar>
          <w:top w:w="0" w:type="dxa"/>
          <w:left w:w="0" w:type="dxa"/>
          <w:bottom w:w="0" w:type="dxa"/>
          <w:right w:w="0" w:type="dxa"/>
        </w:tblCellMar>
      </w:tblPr>
      <w:tblGrid>
        <w:gridCol w:w="23"/>
        <w:gridCol w:w="200"/>
        <w:gridCol w:w="6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6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General</w:t>
            </w:r>
            <w:r>
              <w:rPr>
                <w:rFonts w:ascii="Times New Roman;Times;serif" w:hAnsi="Times New Roman;Times;serif"/>
                <w:sz w:val="20"/>
              </w:rPr>
              <w:t>.</w:t>
            </w:r>
          </w:p>
        </w:tc>
      </w:tr>
    </w:tbl>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20"/>
          <w:u w:val="single"/>
        </w:rPr>
        <w:t>Alternate Optional Conversion</w:t>
      </w:r>
      <w:r>
        <w:rPr>
          <w:rFonts w:ascii="Times New Roman;Times;serif" w:hAnsi="Times New Roman;Times;serif"/>
          <w:sz w:val="20"/>
        </w:rPr>
        <w:t xml:space="preserve">. Subject to </w:t>
      </w:r>
      <w:r>
        <w:rPr>
          <w:rFonts w:ascii="Times New Roman;Times;serif" w:hAnsi="Times New Roman;Times;serif"/>
          <w:sz w:val="20"/>
          <w:u w:val="single"/>
        </w:rPr>
        <w:t>Section 3(d),</w:t>
      </w:r>
      <w:r>
        <w:rPr>
          <w:rFonts w:ascii="Times New Roman;Times;serif" w:hAnsi="Times New Roman;Times;serif"/>
          <w:sz w:val="20"/>
        </w:rPr>
        <w:t xml:space="preserve"> if either (x) on a Trading Day the aggregate dollar trading volume (as reported on Bloomberg) of the ADSs during the period commencing on 4:00 AM New York City time on such Trading Day through 11:00 AM, New York City time on such Trading Day is greater than or equal to $100,000 or (y) on any Trading Day (each, a “</w:t>
      </w:r>
      <w:r>
        <w:rPr>
          <w:rFonts w:ascii="Times New Roman;Times;serif" w:hAnsi="Times New Roman;Times;serif"/>
          <w:b/>
          <w:sz w:val="20"/>
        </w:rPr>
        <w:t>Unrestricted Trading Day</w:t>
      </w:r>
      <w:r>
        <w:rPr>
          <w:rFonts w:ascii="Times New Roman;Times;serif" w:hAnsi="Times New Roman;Times;serif"/>
          <w:sz w:val="20"/>
        </w:rPr>
        <w:t>”) if no Alternate Conversion Date under this Note has occurred during the three (3) consecutive Trading Days immediately prior to such Trading Day, (such time during such period that such aggregate dollar trading volume exceeds $100,000 on such Trading Day (or the opening of the Principal Market on any Unrestricted Trading Day, as applicable), each an “</w:t>
      </w:r>
      <w:r>
        <w:rPr>
          <w:rFonts w:ascii="Times New Roman;Times;serif" w:hAnsi="Times New Roman;Times;serif"/>
          <w:b/>
          <w:sz w:val="20"/>
        </w:rPr>
        <w:t>Alternate Optional Conversion Eligibility Time</w:t>
      </w:r>
      <w:r>
        <w:rPr>
          <w:rFonts w:ascii="Times New Roman;Times;serif" w:hAnsi="Times New Roman;Times;serif"/>
          <w:sz w:val="20"/>
        </w:rPr>
        <w:t>”), at the option of the Holder at any time on or after such applicable Alternate Optional Conversion Eligibility Time on such applicable Trading Day, the Holder may convert (each, an “</w:t>
      </w:r>
      <w:r>
        <w:rPr>
          <w:rFonts w:ascii="Times New Roman;Times;serif" w:hAnsi="Times New Roman;Times;serif"/>
          <w:b/>
          <w:sz w:val="20"/>
        </w:rPr>
        <w:t>Alternate Optional Conversion</w:t>
      </w:r>
      <w:r>
        <w:rPr>
          <w:rFonts w:ascii="Times New Roman;Times;serif" w:hAnsi="Times New Roman;Times;serif"/>
          <w:sz w:val="20"/>
        </w:rPr>
        <w:t>”, and the date of such Alternate Optional Conversion, an “</w:t>
      </w:r>
      <w:r>
        <w:rPr>
          <w:rFonts w:ascii="Times New Roman;Times;serif" w:hAnsi="Times New Roman;Times;serif"/>
          <w:b/>
          <w:sz w:val="20"/>
        </w:rPr>
        <w:t>Alternate Optional Conversion Date</w:t>
      </w:r>
      <w:r>
        <w:rPr>
          <w:rFonts w:ascii="Times New Roman;Times;serif" w:hAnsi="Times New Roman;Times;serif"/>
          <w:sz w:val="20"/>
        </w:rPr>
        <w:t>”) all, or any part, of this Note into ADSs (such portion of the Conversion Amount subject to such Alternate Optional Conversion, the “</w:t>
      </w:r>
      <w:r>
        <w:rPr>
          <w:rFonts w:ascii="Times New Roman;Times;serif" w:hAnsi="Times New Roman;Times;serif"/>
          <w:b/>
          <w:sz w:val="20"/>
        </w:rPr>
        <w:t>Alternate Optional Conversion Amount</w:t>
      </w:r>
      <w:r>
        <w:rPr>
          <w:rFonts w:ascii="Times New Roman;Times;serif" w:hAnsi="Times New Roman;Times;serif"/>
          <w:sz w:val="20"/>
        </w:rPr>
        <w:t>”) at the Alternate Conversion Price.</w:t>
      </w:r>
    </w:p>
    <w:p>
      <w:pPr>
        <w:pStyle w:val="TextBody"/>
        <w:bidi w:val="0"/>
        <w:spacing w:before="0" w:after="240"/>
        <w:ind w:left="1440" w:right="0" w:firstLine="144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z w:val="20"/>
          <w:u w:val="single"/>
        </w:rPr>
        <w:t>Alternate Conversion Upon an Event of Default</w:t>
      </w:r>
      <w:r>
        <w:rPr>
          <w:rFonts w:ascii="Times New Roman;Times;serif" w:hAnsi="Times New Roman;Times;serif"/>
          <w:sz w:val="20"/>
        </w:rPr>
        <w:t xml:space="preserve">. Subject to </w:t>
      </w:r>
      <w:r>
        <w:rPr>
          <w:rFonts w:ascii="Times New Roman;Times;serif" w:hAnsi="Times New Roman;Times;serif"/>
          <w:sz w:val="20"/>
          <w:u w:val="single"/>
        </w:rPr>
        <w:t>Section 3(d),</w:t>
      </w:r>
      <w:r>
        <w:rPr>
          <w:rFonts w:ascii="Times New Roman;Times;serif" w:hAnsi="Times New Roman;Times;serif"/>
          <w:sz w:val="20"/>
        </w:rPr>
        <w:t xml:space="preserve"> at any time during any Event of Default Redemption Right Period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Times;serif" w:hAnsi="Times New Roman;Times;serif"/>
          <w:b/>
          <w:sz w:val="20"/>
        </w:rPr>
        <w:t>Alternate Event of Default Conversion</w:t>
      </w:r>
      <w:r>
        <w:rPr>
          <w:rFonts w:ascii="Times New Roman;Times;serif" w:hAnsi="Times New Roman;Times;serif"/>
          <w:sz w:val="20"/>
        </w:rPr>
        <w:t>” and together with each Alternate Optional Conversion, each, an “</w:t>
      </w:r>
      <w:r>
        <w:rPr>
          <w:rFonts w:ascii="Times New Roman;Times;serif" w:hAnsi="Times New Roman;Times;serif"/>
          <w:b/>
          <w:sz w:val="20"/>
        </w:rPr>
        <w:t>Alternate Conversion</w:t>
      </w:r>
      <w:r>
        <w:rPr>
          <w:rFonts w:ascii="Times New Roman;Times;serif" w:hAnsi="Times New Roman;Times;serif"/>
          <w:sz w:val="20"/>
        </w:rPr>
        <w:t>”, and the date of such Alternate Event of Default Conversion, each, an “</w:t>
      </w:r>
      <w:r>
        <w:rPr>
          <w:rFonts w:ascii="Times New Roman;Times;serif" w:hAnsi="Times New Roman;Times;serif"/>
          <w:b/>
          <w:sz w:val="20"/>
        </w:rPr>
        <w:t>Alternate Event of Default Conversion Date</w:t>
      </w:r>
      <w:r>
        <w:rPr>
          <w:rFonts w:ascii="Times New Roman;Times;serif" w:hAnsi="Times New Roman;Times;serif"/>
          <w:sz w:val="20"/>
        </w:rPr>
        <w:t>”, and together with each Alternate Optional Conversion Date, each, an “</w:t>
      </w:r>
      <w:r>
        <w:rPr>
          <w:rFonts w:ascii="Times New Roman;Times;serif" w:hAnsi="Times New Roman;Times;serif"/>
          <w:b/>
          <w:sz w:val="20"/>
        </w:rPr>
        <w:t>Alternate Conversion Date</w:t>
      </w:r>
      <w:r>
        <w:rPr>
          <w:rFonts w:ascii="Times New Roman;Times;serif" w:hAnsi="Times New Roman;Times;serif"/>
          <w:sz w:val="20"/>
        </w:rPr>
        <w:t>”) all, or any part of, the Conversion Amount (such portion of the Conversion Amount subject to such Alternate Conversion, the “</w:t>
      </w:r>
      <w:r>
        <w:rPr>
          <w:rFonts w:ascii="Times New Roman;Times;serif" w:hAnsi="Times New Roman;Times;serif"/>
          <w:b/>
          <w:sz w:val="20"/>
        </w:rPr>
        <w:t>Alternate Event of Default Conversion Amount</w:t>
      </w:r>
      <w:r>
        <w:rPr>
          <w:rFonts w:ascii="Times New Roman;Times;serif" w:hAnsi="Times New Roman;Times;serif"/>
          <w:sz w:val="20"/>
        </w:rPr>
        <w:t>” and together with each Alternate Optional Conversion Amount, each, an “</w:t>
      </w:r>
      <w:r>
        <w:rPr>
          <w:rFonts w:ascii="Times New Roman;Times;serif" w:hAnsi="Times New Roman;Times;serif"/>
          <w:b/>
          <w:sz w:val="20"/>
        </w:rPr>
        <w:t>Alternate Conversion Amount</w:t>
      </w:r>
      <w:r>
        <w:rPr>
          <w:rFonts w:ascii="Times New Roman;Times;serif" w:hAnsi="Times New Roman;Times;serif"/>
          <w:sz w:val="20"/>
        </w:rPr>
        <w:t>”) into ADSs at the Alternate Conversion Price.</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Mechanics of Alternate Conversion</w:t>
      </w:r>
      <w:r>
        <w:rPr>
          <w:rFonts w:ascii="Times New Roman;Times;serif" w:hAnsi="Times New Roman;Times;serif"/>
          <w:sz w:val="20"/>
        </w:rPr>
        <w:t xml:space="preserve">. On any Alternate Conversion Date, the Holder may voluntarily convert any Alternate Conversion Amount pursuant to </w:t>
      </w:r>
      <w:r>
        <w:rPr>
          <w:rFonts w:ascii="Times New Roman;Times;serif" w:hAnsi="Times New Roman;Times;serif"/>
          <w:sz w:val="20"/>
          <w:u w:val="single"/>
        </w:rPr>
        <w:t>Section 3(c)</w:t>
      </w:r>
      <w:r>
        <w:rPr>
          <w:rFonts w:ascii="Times New Roman;Times;serif" w:hAnsi="Times New Roman;Times;serif"/>
          <w:sz w:val="20"/>
        </w:rPr>
        <w:t xml:space="preserve"> (with “Alternate Conversion Price” replacing “Conversion Price” for all purposes hereunder with respect to such Alternate Conversion and, solely with respect to the calculation of the number of ADSs issuable upon conversion of any Conversion Amount in an Alternate Event of Default Conversion, with “Redemption Premium of the Conversion Amount” replacing “Conversion Amount” in clause (B) of the formula of Conversion Rate above with respect to such Alternate Conversion) by designating in the Conversion Notice delivered pursuant to this </w:t>
      </w:r>
      <w:r>
        <w:rPr>
          <w:rFonts w:ascii="Times New Roman;Times;serif" w:hAnsi="Times New Roman;Times;serif"/>
          <w:sz w:val="20"/>
          <w:u w:val="single"/>
        </w:rPr>
        <w:t>Section 3(e)</w:t>
      </w:r>
      <w:r>
        <w:rPr>
          <w:rFonts w:ascii="Times New Roman;Times;serif" w:hAnsi="Times New Roman;Times;serif"/>
          <w:sz w:val="20"/>
        </w:rPr>
        <w:t xml:space="preserve"> of this Note that the Holder is electing to use the Alternate Conversion Price for such conversion. Notwithstanding anything to the contrary in this </w:t>
      </w:r>
      <w:r>
        <w:rPr>
          <w:rFonts w:ascii="Times New Roman;Times;serif" w:hAnsi="Times New Roman;Times;serif"/>
          <w:sz w:val="20"/>
          <w:u w:val="single"/>
        </w:rPr>
        <w:t>Section 3(e)</w:t>
      </w:r>
      <w:r>
        <w:rPr>
          <w:rFonts w:ascii="Times New Roman;Times;serif" w:hAnsi="Times New Roman;Times;serif"/>
          <w:sz w:val="20"/>
        </w:rPr>
        <w:t xml:space="preserve">, but subject to </w:t>
      </w:r>
      <w:r>
        <w:rPr>
          <w:rFonts w:ascii="Times New Roman;Times;serif" w:hAnsi="Times New Roman;Times;serif"/>
          <w:sz w:val="20"/>
          <w:u w:val="single"/>
        </w:rPr>
        <w:t>Section 3(d)</w:t>
      </w:r>
      <w:r>
        <w:rPr>
          <w:rFonts w:ascii="Times New Roman;Times;serif" w:hAnsi="Times New Roman;Times;serif"/>
          <w:sz w:val="20"/>
        </w:rPr>
        <w:t xml:space="preserve">, until the Company delivers ADSs representing the applicable Alternate Conversion Amount to the Holder, such Alternate Conversion Amount may be converted by the Holder into ADSs pursuant to </w:t>
      </w:r>
      <w:r>
        <w:rPr>
          <w:rFonts w:ascii="Times New Roman;Times;serif" w:hAnsi="Times New Roman;Times;serif"/>
          <w:sz w:val="20"/>
          <w:u w:val="single"/>
        </w:rPr>
        <w:t>Section 3(c)</w:t>
      </w:r>
      <w:r>
        <w:rPr>
          <w:rFonts w:ascii="Times New Roman;Times;serif" w:hAnsi="Times New Roman;Times;serif"/>
          <w:sz w:val="20"/>
        </w:rPr>
        <w:t xml:space="preserve"> without regard to this </w:t>
      </w:r>
      <w:r>
        <w:rPr>
          <w:rFonts w:ascii="Times New Roman;Times;serif" w:hAnsi="Times New Roman;Times;serif"/>
          <w:sz w:val="20"/>
          <w:u w:val="single"/>
        </w:rPr>
        <w:t>Section 3(e)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78" w:type="dxa"/>
        <w:jc w:val="left"/>
        <w:tblInd w:w="0" w:type="dxa"/>
        <w:tblLayout w:type="fixed"/>
        <w:tblCellMar>
          <w:top w:w="0" w:type="dxa"/>
          <w:left w:w="0" w:type="dxa"/>
          <w:bottom w:w="0" w:type="dxa"/>
          <w:right w:w="0" w:type="dxa"/>
        </w:tblCellMar>
      </w:tblPr>
      <w:tblGrid>
        <w:gridCol w:w="23"/>
        <w:gridCol w:w="170"/>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3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RIGHTS UPON EVENT OF DEFAULT</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Event of Default</w:t>
      </w:r>
      <w:r>
        <w:rPr>
          <w:rFonts w:ascii="Times New Roman;Times;serif" w:hAnsi="Times New Roman;Times;serif"/>
          <w:sz w:val="20"/>
        </w:rPr>
        <w:t>. Each of the following events shall constitute an “</w:t>
      </w:r>
      <w:r>
        <w:rPr>
          <w:rFonts w:ascii="Times New Roman;Times;serif" w:hAnsi="Times New Roman;Times;serif"/>
          <w:b/>
          <w:sz w:val="20"/>
        </w:rPr>
        <w:t>Event of Default</w:t>
      </w:r>
      <w:r>
        <w:rPr>
          <w:rFonts w:ascii="Times New Roman;Times;serif" w:hAnsi="Times New Roman;Times;serif"/>
          <w:sz w:val="20"/>
        </w:rPr>
        <w:t>” and each of the events in clauses (vii), (viii) and (ix) shall constitute a “</w:t>
      </w:r>
      <w:r>
        <w:rPr>
          <w:rFonts w:ascii="Times New Roman;Times;serif" w:hAnsi="Times New Roman;Times;serif"/>
          <w:b/>
          <w:sz w:val="20"/>
        </w:rPr>
        <w:t>Bankruptcy Event of Default</w:t>
      </w:r>
      <w:r>
        <w:rPr>
          <w:rFonts w:ascii="Times New Roman;Times;serif" w:hAnsi="Times New Roman;Times;serif"/>
          <w:sz w:val="20"/>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(i)the suspension from trading or the failure of the ADSs to be trading or listed (as applicable) on an Eligible Market for a period of five (5) consecutive Trading Days, except where such suspension is due to a technological problem with the relevant Eligible Market, as the case may be or where such suspensions were generally applicable and affected all issuers with a class of securities listed on such Eligible Market;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 xml:space="preserve">(ii)the Company’s (A) failure to cure a Conversion Failure by delivery of the required number of ADSs within five (5) Trading Days after the applicable Conversion Date or exercise date (as the case may be) or (B) notice, written or oral, to any holder of the Notes, including, without limitation, by way of public announcement, at any time, of its intention not to comply, as required, with a request for conversion of any Notes into ADSs that is requested in accordance with the provisions of the Notes, other than pursuant to </w:t>
      </w:r>
      <w:r>
        <w:rPr>
          <w:rFonts w:ascii="Times New Roman;Times;serif" w:hAnsi="Times New Roman;Times;serif"/>
          <w:sz w:val="20"/>
          <w:u w:val="single"/>
        </w:rPr>
        <w:t>Section 3(d)</w:t>
      </w:r>
      <w:r>
        <w:rPr>
          <w:rFonts w:ascii="Times New Roman;Times;serif" w:hAnsi="Times New Roman;Times;serif"/>
          <w:sz w:val="20"/>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 xml:space="preserve">(iii)except to the extent the Company is in compliance with </w:t>
      </w:r>
      <w:r>
        <w:rPr>
          <w:rFonts w:ascii="Times New Roman;Times;serif" w:hAnsi="Times New Roman;Times;serif"/>
          <w:sz w:val="20"/>
          <w:u w:val="single"/>
        </w:rPr>
        <w:t>Section 11(b)</w:t>
      </w:r>
      <w:r>
        <w:rPr>
          <w:rFonts w:ascii="Times New Roman;Times;serif" w:hAnsi="Times New Roman;Times;serif"/>
          <w:sz w:val="20"/>
        </w:rPr>
        <w:t xml:space="preserve"> below, at any time following the twenty (20</w:t>
      </w:r>
      <w:r>
        <w:rPr>
          <w:rFonts w:ascii="Times New Roman;Times;serif" w:hAnsi="Times New Roman;Times;serif"/>
          <w:sz w:val="15"/>
        </w:rPr>
        <w:t>th</w:t>
      </w:r>
      <w:r>
        <w:rPr>
          <w:rFonts w:ascii="Times New Roman;Times;serif" w:hAnsi="Times New Roman;Times;serif"/>
          <w:sz w:val="20"/>
        </w:rPr>
        <w:t xml:space="preserve">) consecutive Trading Day that the Holder’s Authorized Share Allocation (as defined in </w:t>
      </w:r>
      <w:r>
        <w:rPr>
          <w:rFonts w:ascii="Times New Roman;Times;serif" w:hAnsi="Times New Roman;Times;serif"/>
          <w:sz w:val="20"/>
          <w:u w:val="single"/>
        </w:rPr>
        <w:t>Section 11(a)</w:t>
      </w:r>
      <w:r>
        <w:rPr>
          <w:rFonts w:ascii="Times New Roman;Times;serif" w:hAnsi="Times New Roman;Times;serif"/>
          <w:sz w:val="20"/>
        </w:rPr>
        <w:t xml:space="preserve"> below) is less than the number of ADSs that the Holder would be entitled to receive upon a conversion of the full Conversion Amount of this Note (without regard to any limitations on conversion set forth in </w:t>
      </w:r>
      <w:r>
        <w:rPr>
          <w:rFonts w:ascii="Times New Roman;Times;serif" w:hAnsi="Times New Roman;Times;serif"/>
          <w:sz w:val="20"/>
          <w:u w:val="single"/>
        </w:rPr>
        <w:t>Section 3(d)</w:t>
      </w:r>
      <w:r>
        <w:rPr>
          <w:rFonts w:ascii="Times New Roman;Times;serif" w:hAnsi="Times New Roman;Times;serif"/>
          <w:sz w:val="20"/>
        </w:rPr>
        <w:t xml:space="preserve"> or otherwise);</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(iv)the Company’s or any Subsidiary’s failure to pay to the Holder any amount of Principal, Interest, Late Charges or other amounts when and as due under this Note (including, without limitation, the Company’s or any Subsidiary’s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two (2) Trading Days;</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(v)the Company fails to remove any restrictive legend on any ADR certificate or any ADSs issued to the Holder upon conversion or exercise (as the case may be)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of the United States of America, and any such failure remains uncured for at least five (5) days;</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(vi)the occurrence of any unscheduled redemption of or acceleration prior to maturity (other than as agreed by the Company pursuant to good faith negotiation between the Company and the relevant Person) of at least an aggregate of $100 million of Indebtedness (as defined in the Securities Purchase Agreement) of the Company or any of its Subsidiaries, other than with respect to any Other Notes;</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(vii)bankruptcy, insolvency, reorganization or liquidation proceedings or other proceedings for the relief of debtors shall be instituted by or against the Company or any Significant Subsidiary and, if instituted against the Company or any Significant Subsidiary by a third party, shall not be dismissed within sixty (60) days of their initiation;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(viii)the commencement by the Company or any Significant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Significant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Significant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Significant Subsidiary in furtherance of any such action or the taking of any action by any Person to commence a Uniform Commercial Code foreclosure sale or any other similar action under federal, state or foreign law;</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(ix)the entry by a court of (i) a decree, order, judgment or other similar document in respect of the Company or any Significant Subsidiary of a voluntary or involuntary case or proceeding under any applicable federal, state or foreign bankruptcy, insolvency, reorganization or other similar law or (ii) a decree, order, judgment or other similar document adjudging the Company or any Significant Subsidiary as bankrupt or insolvent, or approving as properly filed a petition seeking liquidation, reorganization, arrangement, adjustment or composition of or in respect of the Company or any Significant Subsidiary under any applicable federal, state or foreign law or (iii) a decree, order, judgment or other similar document appointing a custodian, receiver, liquidator, assignee, trustee, sequestrator or other similar official of the Company or any Significant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(x)a final judgment or judgments for the payment of money aggregating in excess of $100 million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$100 million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(xi)the Company and/or any Subsidiary, individually or in the aggregate, fails to pay, when due, or within any applicable grace period, any payment with respect to any Indebtedness in excess of $100 million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$100 million, which breach or violation permits the other party thereto to declare a default or otherwise accelerate amounts due thereunder;</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 xml:space="preserve">(xii)other than as specifically set forth in another clause of this </w:t>
      </w:r>
      <w:r>
        <w:rPr>
          <w:rFonts w:ascii="Times New Roman;Times;serif" w:hAnsi="Times New Roman;Times;serif"/>
          <w:sz w:val="20"/>
          <w:u w:val="single"/>
        </w:rPr>
        <w:t>Section 4(a)</w:t>
      </w:r>
      <w:r>
        <w:rPr>
          <w:rFonts w:ascii="Times New Roman;Times;serif" w:hAnsi="Times New Roman;Times;serif"/>
          <w:sz w:val="20"/>
        </w:rPr>
        <w:t>,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five (5) consecutive Trading Days;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(xiii)a false or inaccurate certification (including a false or inaccurate deemed certification) by the Company that either (A) the Equity Conditions are satisfied, (B) there has been no Equity Conditions Failure, or (C) as to whether any Event of Default has occurred;</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 xml:space="preserve">(xiv)any breach or failure in any respect by the Company or any Subsidiary to comply with any provision of clauses (b) to (d), (j) and/or (m) of </w:t>
      </w:r>
      <w:r>
        <w:rPr>
          <w:rFonts w:ascii="Times New Roman;Times;serif" w:hAnsi="Times New Roman;Times;serif"/>
          <w:sz w:val="20"/>
          <w:u w:val="single"/>
        </w:rPr>
        <w:t>Section 14</w:t>
      </w:r>
      <w:r>
        <w:rPr>
          <w:rFonts w:ascii="Times New Roman;Times;serif" w:hAnsi="Times New Roman;Times;serif"/>
          <w:sz w:val="20"/>
        </w:rPr>
        <w:t xml:space="preserve"> of this Note, which breach remain uncured for five (5) consecutive Trading Days;</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(xv)any Material Adverse Effect (as defined in the Securities Purchase Agreement) occurs; or</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(xvi)any Event of Default (as defined in the Other Notes) occurs with respect to any Other Notes.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Notice of an Event of Default; Redemption Right</w:t>
      </w:r>
      <w:r>
        <w:rPr>
          <w:rFonts w:ascii="Times New Roman;Times;serif" w:hAnsi="Times New Roman;Times;serif"/>
          <w:sz w:val="20"/>
        </w:rPr>
        <w:t>. Upon the occurrence of an Event of Default with respect to this Note or any Other Note, the Company shall within two (2) Business Days deliver written notice thereof via electronic mail and international courier (an “</w:t>
      </w:r>
      <w:r>
        <w:rPr>
          <w:rFonts w:ascii="Times New Roman;Times;serif" w:hAnsi="Times New Roman;Times;serif"/>
          <w:b/>
          <w:sz w:val="20"/>
        </w:rPr>
        <w:t>Event of Default Notice</w:t>
      </w:r>
      <w:r>
        <w:rPr>
          <w:rFonts w:ascii="Times New Roman;Times;serif" w:hAnsi="Times New Roman;Times;serif"/>
          <w:sz w:val="20"/>
        </w:rPr>
        <w:t>”) to the Holder and the Trustee. The obligation of the Company to deliver an Event of Default Notice is in addition to, and may not be substituted by, the Trustee’s delivery of notice of the same Event of Default to the Holder in accordance with Section 7.14 of the Indenture. At any time after the earlier of the Holder’s receipt of an Event of Default Notice and the Holder becoming aware of an Event of Default (such earlier date, the “</w:t>
      </w:r>
      <w:r>
        <w:rPr>
          <w:rFonts w:ascii="Times New Roman;Times;serif" w:hAnsi="Times New Roman;Times;serif"/>
          <w:b/>
          <w:sz w:val="20"/>
        </w:rPr>
        <w:t>Event of Default Right Commencement Date</w:t>
      </w:r>
      <w:r>
        <w:rPr>
          <w:rFonts w:ascii="Times New Roman;Times;serif" w:hAnsi="Times New Roman;Times;serif"/>
          <w:sz w:val="20"/>
        </w:rPr>
        <w:t>”) and ending (such ending date, the “</w:t>
      </w:r>
      <w:r>
        <w:rPr>
          <w:rFonts w:ascii="Times New Roman;Times;serif" w:hAnsi="Times New Roman;Times;serif"/>
          <w:b/>
          <w:sz w:val="20"/>
        </w:rPr>
        <w:t>Event of Default Right Expiration Date</w:t>
      </w:r>
      <w:r>
        <w:rPr>
          <w:rFonts w:ascii="Times New Roman;Times;serif" w:hAnsi="Times New Roman;Times;serif"/>
          <w:sz w:val="20"/>
        </w:rPr>
        <w:t>”, and each such period, an “</w:t>
      </w:r>
      <w:r>
        <w:rPr>
          <w:rFonts w:ascii="Times New Roman;Times;serif" w:hAnsi="Times New Roman;Times;serif"/>
          <w:b/>
          <w:sz w:val="20"/>
        </w:rPr>
        <w:t>Event of Default Redemption Right Period</w:t>
      </w:r>
      <w:r>
        <w:rPr>
          <w:rFonts w:ascii="Times New Roman;Times;serif" w:hAnsi="Times New Roman;Times;serif"/>
          <w:sz w:val="20"/>
        </w:rPr>
        <w:t>”) upon the later of (A) the earlier of (x) the cure of such applicable Event of Default and (y) the waiver by the Holder in writing of such applicable Event of Default in accordance with the terms of this Note and the other Transaction Documents, as applicable, and (B) the tenth (10th) Trading Day after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w:t>
      </w:r>
      <w:r>
        <w:rPr>
          <w:rFonts w:ascii="Times New Roman;Times;serif" w:hAnsi="Times New Roman;Times;serif"/>
          <w:color w:val="2783C8"/>
          <w:sz w:val="20"/>
        </w:rPr>
        <w:t xml:space="preserve">, </w:t>
      </w:r>
      <w:r>
        <w:rPr>
          <w:rFonts w:ascii="Times New Roman;Times;serif" w:hAnsi="Times New Roman;Times;serif"/>
          <w:sz w:val="20"/>
        </w:rPr>
        <w:t>the Holder may require the Company to redeem (regardless of whether such Event of Default has been cured on or prior to the Event of Default Right Expiration Date) all or any portion of this Note by delivering written notice thereof (the “</w:t>
      </w:r>
      <w:r>
        <w:rPr>
          <w:rFonts w:ascii="Times New Roman;Times;serif" w:hAnsi="Times New Roman;Times;serif"/>
          <w:b/>
          <w:sz w:val="20"/>
        </w:rPr>
        <w:t>Event of Default Redemption Notice</w:t>
      </w:r>
      <w:r>
        <w:rPr>
          <w:rFonts w:ascii="Times New Roman;Times;serif" w:hAnsi="Times New Roman;Times;serif"/>
          <w:sz w:val="20"/>
        </w:rPr>
        <w:t xml:space="preserve">”) to the Company and the Trustee, which Event of Default Redemption Notice shall indicate the portion of this Note the Holder is electing to redeem. Each portion of this Note subject to redemption by the Company pursuant to this </w:t>
      </w:r>
      <w:r>
        <w:rPr>
          <w:rFonts w:ascii="Times New Roman;Times;serif" w:hAnsi="Times New Roman;Times;serif"/>
          <w:sz w:val="20"/>
          <w:u w:val="single"/>
        </w:rPr>
        <w:t>Section 4(b)</w:t>
      </w:r>
      <w:r>
        <w:rPr>
          <w:rFonts w:ascii="Times New Roman;Times;serif" w:hAnsi="Times New Roman;Times;serif"/>
          <w:sz w:val="20"/>
        </w:rPr>
        <w:t xml:space="preserve"> shall be redeemed by the Company at a price equal to the product of (A) the Conversion Amount to be redeemed multiplied by (B) the greater of (I) Redemption Premium and (II) solely with respect to clauses (i), (ii), (iii) and/or (v), as applicable, of the definition of Event of Default above, the Share Failure Redemption Value (the “</w:t>
      </w:r>
      <w:r>
        <w:rPr>
          <w:rFonts w:ascii="Times New Roman;Times;serif" w:hAnsi="Times New Roman;Times;serif"/>
          <w:b/>
          <w:sz w:val="20"/>
        </w:rPr>
        <w:t>Event of Default Redemption Price</w:t>
      </w:r>
      <w:r>
        <w:rPr>
          <w:rFonts w:ascii="Times New Roman;Times;serif" w:hAnsi="Times New Roman;Times;serif"/>
          <w:sz w:val="20"/>
        </w:rPr>
        <w:t xml:space="preserve">”). Redemptions required by this </w:t>
      </w:r>
      <w:r>
        <w:rPr>
          <w:rFonts w:ascii="Times New Roman;Times;serif" w:hAnsi="Times New Roman;Times;serif"/>
          <w:sz w:val="20"/>
          <w:u w:val="single"/>
        </w:rPr>
        <w:t>Section 4(b)</w:t>
      </w:r>
      <w:r>
        <w:rPr>
          <w:rFonts w:ascii="Times New Roman;Times;serif" w:hAnsi="Times New Roman;Times;serif"/>
          <w:sz w:val="20"/>
        </w:rPr>
        <w:t xml:space="preserve"> shall be made in accordance with the provisions of </w:t>
      </w:r>
      <w:r>
        <w:rPr>
          <w:rFonts w:ascii="Times New Roman;Times;serif" w:hAnsi="Times New Roman;Times;serif"/>
          <w:sz w:val="20"/>
          <w:u w:val="single"/>
        </w:rPr>
        <w:t>Section 12</w:t>
      </w:r>
      <w:r>
        <w:rPr>
          <w:rFonts w:ascii="Times New Roman;Times;serif" w:hAnsi="Times New Roman;Times;serif"/>
          <w:sz w:val="20"/>
        </w:rPr>
        <w:t xml:space="preserve">. To the extent redemptions required by this </w:t>
      </w:r>
      <w:r>
        <w:rPr>
          <w:rFonts w:ascii="Times New Roman;Times;serif" w:hAnsi="Times New Roman;Times;serif"/>
          <w:sz w:val="20"/>
          <w:u w:val="single"/>
        </w:rPr>
        <w:t>Section 4(b)</w:t>
      </w:r>
      <w:r>
        <w:rPr>
          <w:rFonts w:ascii="Times New Roman;Times;serif" w:hAnsi="Times New Roman;Times;serif"/>
          <w:sz w:val="20"/>
        </w:rPr>
        <w:t xml:space="preserve"> are deemed or determined by a court of competent jurisdiction to be prepayments of this Note by the Company, such redemptions shall be deemed to be voluntary prepayments. Notwithstanding anything to the contrary in this </w:t>
      </w:r>
      <w:r>
        <w:rPr>
          <w:rFonts w:ascii="Times New Roman;Times;serif" w:hAnsi="Times New Roman;Times;serif"/>
          <w:sz w:val="20"/>
          <w:u w:val="single"/>
        </w:rPr>
        <w:t>Section 3(d)</w:t>
      </w:r>
      <w:r>
        <w:rPr>
          <w:rFonts w:ascii="Times New Roman;Times;serif" w:hAnsi="Times New Roman;Times;serif"/>
          <w:sz w:val="20"/>
        </w:rPr>
        <w:t xml:space="preserve">, but subject to </w:t>
      </w:r>
      <w:r>
        <w:rPr>
          <w:rFonts w:ascii="Times New Roman;Times;serif" w:hAnsi="Times New Roman;Times;serif"/>
          <w:sz w:val="20"/>
          <w:u w:val="single"/>
        </w:rPr>
        <w:t>Section 3(d)</w:t>
      </w:r>
      <w:r>
        <w:rPr>
          <w:rFonts w:ascii="Times New Roman;Times;serif" w:hAnsi="Times New Roman;Times;serif"/>
          <w:sz w:val="20"/>
        </w:rPr>
        <w:t xml:space="preserve">, until the Event of Default Redemption Price (together with any Late Charges thereon) is paid in full, the Conversion Amount submitted for redemption under this </w:t>
      </w:r>
      <w:r>
        <w:rPr>
          <w:rFonts w:ascii="Times New Roman;Times;serif" w:hAnsi="Times New Roman;Times;serif"/>
          <w:sz w:val="20"/>
          <w:u w:val="single"/>
        </w:rPr>
        <w:t>Section 4(b)</w:t>
      </w:r>
      <w:r>
        <w:rPr>
          <w:rFonts w:ascii="Times New Roman;Times;serif" w:hAnsi="Times New Roman;Times;serif"/>
          <w:sz w:val="20"/>
        </w:rPr>
        <w:t xml:space="preserve"> (together with any Late Charges thereon) may be converted, in whole or in part, by the Holder into ADSs pursuant to the terms of this Note. In the event of the Company’s redemption of any portion of this Note under this </w:t>
      </w:r>
      <w:r>
        <w:rPr>
          <w:rFonts w:ascii="Times New Roman;Times;serif" w:hAnsi="Times New Roman;Times;serif"/>
          <w:sz w:val="20"/>
          <w:u w:val="single"/>
        </w:rPr>
        <w:t>Section 4(b)</w:t>
      </w:r>
      <w:r>
        <w:rPr>
          <w:rFonts w:ascii="Times New Roman;Times;serif" w:hAnsi="Times New Roman;Times;serif"/>
          <w:sz w:val="20"/>
        </w:rPr>
        <w:t xml:space="preserv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w:t>
      </w:r>
      <w:r>
        <w:rPr>
          <w:rFonts w:ascii="Times New Roman;Times;serif" w:hAnsi="Times New Roman;Times;serif"/>
          <w:sz w:val="20"/>
          <w:u w:val="single"/>
        </w:rPr>
        <w:t>Section 4(b)</w:t>
      </w:r>
      <w:r>
        <w:rPr>
          <w:rFonts w:ascii="Times New Roman;Times;serif" w:hAnsi="Times New Roman;Times;serif"/>
          <w:sz w:val="20"/>
        </w:rPr>
        <w:t xml:space="preserve">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Mandatory Redemption upon Bankruptcy Event of Default</w:t>
      </w:r>
      <w:r>
        <w:rPr>
          <w:rFonts w:ascii="Times New Roman;Times;serif" w:hAnsi="Times New Roman;Times;serif"/>
          <w:sz w:val="20"/>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Interest and accrued and unpaid Late Charges on such Principal and Interest,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tbl>
      <w:tblPr>
        <w:tblW w:w="4398" w:type="dxa"/>
        <w:jc w:val="left"/>
        <w:tblInd w:w="0" w:type="dxa"/>
        <w:tblLayout w:type="fixed"/>
        <w:tblCellMar>
          <w:top w:w="0" w:type="dxa"/>
          <w:left w:w="0" w:type="dxa"/>
          <w:bottom w:w="0" w:type="dxa"/>
          <w:right w:w="0" w:type="dxa"/>
        </w:tblCellMar>
      </w:tblPr>
      <w:tblGrid>
        <w:gridCol w:w="23"/>
        <w:gridCol w:w="17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42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RIGHTS UPON FUNDAMENTAL TRANSACTION</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Assumption</w:t>
      </w:r>
      <w:r>
        <w:rPr>
          <w:rFonts w:ascii="Times New Roman;Times;serif" w:hAnsi="Times New Roman;Times;serif"/>
          <w:sz w:val="20"/>
        </w:rPr>
        <w:t xml:space="preserve">. The Company shall not enter into or be party to a Fundamental Transaction unless (i) the Successor Entity assumes in writing all of the obligations of the Company under this Note and the other Transaction Documents in accordance with the provisions of this </w:t>
      </w:r>
      <w:r>
        <w:rPr>
          <w:rFonts w:ascii="Times New Roman;Times;serif" w:hAnsi="Times New Roman;Times;serif"/>
          <w:sz w:val="20"/>
          <w:u w:val="single"/>
        </w:rPr>
        <w:t>Section 5(a)</w:t>
      </w:r>
      <w:r>
        <w:rPr>
          <w:rFonts w:ascii="Times New Roman;Times;serif" w:hAnsi="Times New Roman;Times;serif"/>
          <w:sz w:val="20"/>
        </w:rPr>
        <w:t xml:space="preserve"> pursuant to written agreements in form and substance reasonably satisfactory to the Holder and approved by the Holder, such approval not to be unreasonably withheld, conditioned or delayed,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(ii) the Successor Entity (including its Parent Entity) is a publicly traded corporation whose common equity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ADSs (or other securities, cash, assets or other property (except such items still issuable under </w:t>
      </w:r>
      <w:r>
        <w:rPr>
          <w:rFonts w:ascii="Times New Roman;Times;serif" w:hAnsi="Times New Roman;Times;serif"/>
          <w:sz w:val="20"/>
          <w:u w:val="single"/>
        </w:rPr>
        <w:t>Sections 6</w:t>
      </w:r>
      <w:r>
        <w:rPr>
          <w:rFonts w:ascii="Times New Roman;Times;serif" w:hAnsi="Times New Roman;Times;serif"/>
          <w:sz w:val="20"/>
        </w:rPr>
        <w:t xml:space="preserve"> and </w:t>
      </w:r>
      <w:r>
        <w:rPr>
          <w:rFonts w:ascii="Times New Roman;Times;serif" w:hAnsi="Times New Roman;Times;serif"/>
          <w:sz w:val="20"/>
          <w:u w:val="single"/>
        </w:rPr>
        <w:t>16</w:t>
      </w:r>
      <w:r>
        <w:rPr>
          <w:rFonts w:ascii="Times New Roman;Times;serif" w:hAnsi="Times New Roman;Times;serif"/>
          <w:sz w:val="20"/>
        </w:rPr>
        <w:t xml:space="preserve">, which shall continue to be receivable thereafter)) issuable upon the conversion or redemption of the Notes prior to such Fundamental Transaction, such shares of the publicly traded common equity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w:t>
      </w:r>
      <w:r>
        <w:rPr>
          <w:rFonts w:ascii="Times New Roman;Times;serif" w:hAnsi="Times New Roman;Times;serif"/>
          <w:sz w:val="20"/>
          <w:u w:val="single"/>
        </w:rPr>
        <w:t>Section 5(a)</w:t>
      </w:r>
      <w:r>
        <w:rPr>
          <w:rFonts w:ascii="Times New Roman;Times;serif" w:hAnsi="Times New Roman;Times;serif"/>
          <w:sz w:val="20"/>
        </w:rPr>
        <w:t xml:space="preserve"> to permit the Fundamental Transaction without the assumption of this Note. The provisions of this </w:t>
      </w:r>
      <w:r>
        <w:rPr>
          <w:rFonts w:ascii="Times New Roman;Times;serif" w:hAnsi="Times New Roman;Times;serif"/>
          <w:sz w:val="20"/>
          <w:u w:val="single"/>
        </w:rPr>
        <w:t>Section 5</w:t>
      </w:r>
      <w:r>
        <w:rPr>
          <w:rFonts w:ascii="Times New Roman;Times;serif" w:hAnsi="Times New Roman;Times;serif"/>
          <w:sz w:val="20"/>
        </w:rPr>
        <w:t xml:space="preserve"> shall apply similarly and equally to successive Fundamental Transactions and shall be applied without regard to any limitations on the conversion of this Note.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Notice of a Change of Control; Redemption Right</w:t>
      </w:r>
      <w:r>
        <w:rPr>
          <w:rFonts w:ascii="Times New Roman;Times;serif" w:hAnsi="Times New Roman;Times;serif"/>
          <w:sz w:val="20"/>
        </w:rPr>
        <w:t>. No sooner than twenty (20) Trading Days nor later than ten (10) Trading Days prior to the consummation of a Change of Control (the “</w:t>
      </w:r>
      <w:r>
        <w:rPr>
          <w:rFonts w:ascii="Times New Roman;Times;serif" w:hAnsi="Times New Roman;Times;serif"/>
          <w:b/>
          <w:sz w:val="20"/>
        </w:rPr>
        <w:t>Change of Control Date</w:t>
      </w:r>
      <w:r>
        <w:rPr>
          <w:rFonts w:ascii="Times New Roman;Times;serif" w:hAnsi="Times New Roman;Times;serif"/>
          <w:sz w:val="20"/>
        </w:rPr>
        <w:t>”), but not prior to the public announcement of such Change of Control, the Company shall deliver written notice thereof via electronic mail and international courier to the Holder and the Trustee (a “</w:t>
      </w:r>
      <w:r>
        <w:rPr>
          <w:rFonts w:ascii="Times New Roman;Times;serif" w:hAnsi="Times New Roman;Times;serif"/>
          <w:b/>
          <w:sz w:val="20"/>
        </w:rPr>
        <w:t>Change of Control Notice</w:t>
      </w:r>
      <w:r>
        <w:rPr>
          <w:rFonts w:ascii="Times New Roman;Times;serif" w:hAnsi="Times New Roman;Times;serif"/>
          <w:sz w:val="20"/>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Times;serif" w:hAnsi="Times New Roman;Times;serif"/>
          <w:b/>
          <w:sz w:val="20"/>
        </w:rPr>
        <w:t>Change of Control Redemption Notice</w:t>
      </w:r>
      <w:r>
        <w:rPr>
          <w:rFonts w:ascii="Times New Roman;Times;serif" w:hAnsi="Times New Roman;Times;serif"/>
          <w:sz w:val="20"/>
        </w:rPr>
        <w:t xml:space="preserve">”) to the Company and the Trustee, which Change of Control Redemption Notice shall indicate the Conversion Amount the Holder is electing to redeem. The portion of this Note subject to redemption pursuant to this </w:t>
      </w:r>
      <w:r>
        <w:rPr>
          <w:rFonts w:ascii="Times New Roman;Times;serif" w:hAnsi="Times New Roman;Times;serif"/>
          <w:sz w:val="20"/>
          <w:u w:val="single"/>
        </w:rPr>
        <w:t>Section 5</w:t>
      </w:r>
      <w:r>
        <w:rPr>
          <w:rFonts w:ascii="Times New Roman;Times;serif" w:hAnsi="Times New Roman;Times;serif"/>
          <w:sz w:val="20"/>
        </w:rPr>
        <w:t xml:space="preserve"> shall be redeemed by the Company in cash at a price equal to the product of the Redemption Premium multiplied by the Conversion Amount being redeemed (the “</w:t>
      </w:r>
      <w:r>
        <w:rPr>
          <w:rFonts w:ascii="Times New Roman;Times;serif" w:hAnsi="Times New Roman;Times;serif"/>
          <w:b/>
          <w:sz w:val="20"/>
        </w:rPr>
        <w:t>Change of Control Redemption Price</w:t>
      </w:r>
      <w:r>
        <w:rPr>
          <w:rFonts w:ascii="Times New Roman;Times;serif" w:hAnsi="Times New Roman;Times;serif"/>
          <w:sz w:val="20"/>
        </w:rPr>
        <w:t xml:space="preserve">”). Redemptions required by this </w:t>
      </w:r>
      <w:r>
        <w:rPr>
          <w:rFonts w:ascii="Times New Roman;Times;serif" w:hAnsi="Times New Roman;Times;serif"/>
          <w:sz w:val="20"/>
          <w:u w:val="single"/>
        </w:rPr>
        <w:t>Section 5</w:t>
      </w:r>
      <w:r>
        <w:rPr>
          <w:rFonts w:ascii="Times New Roman;Times;serif" w:hAnsi="Times New Roman;Times;serif"/>
          <w:sz w:val="20"/>
        </w:rPr>
        <w:t xml:space="preserve"> shall be made in accordance with the provisions of </w:t>
      </w:r>
      <w:r>
        <w:rPr>
          <w:rFonts w:ascii="Times New Roman;Times;serif" w:hAnsi="Times New Roman;Times;serif"/>
          <w:sz w:val="20"/>
          <w:u w:val="single"/>
        </w:rPr>
        <w:t>Section 12</w:t>
      </w:r>
      <w:r>
        <w:rPr>
          <w:rFonts w:ascii="Times New Roman;Times;serif" w:hAnsi="Times New Roman;Times;serif"/>
          <w:sz w:val="20"/>
        </w:rPr>
        <w:t xml:space="preserve"> and shall have priority to payments to shareholders in connection with such Change of Control. To the extent redemptions required by this </w:t>
      </w:r>
      <w:r>
        <w:rPr>
          <w:rFonts w:ascii="Times New Roman;Times;serif" w:hAnsi="Times New Roman;Times;serif"/>
          <w:sz w:val="20"/>
          <w:u w:val="single"/>
        </w:rPr>
        <w:t>Section 5(b)</w:t>
      </w:r>
      <w:r>
        <w:rPr>
          <w:rFonts w:ascii="Times New Roman;Times;serif" w:hAnsi="Times New Roman;Times;serif"/>
          <w:sz w:val="20"/>
        </w:rPr>
        <w:t xml:space="preserve"> are deemed or determined by a court of competent jurisdiction to be prepayments of this Note by the Company, such redemptions shall be deemed to be voluntary prepayments. Notwithstanding anything to the contrary in this </w:t>
      </w:r>
      <w:r>
        <w:rPr>
          <w:rFonts w:ascii="Times New Roman;Times;serif" w:hAnsi="Times New Roman;Times;serif"/>
          <w:sz w:val="20"/>
          <w:u w:val="single"/>
        </w:rPr>
        <w:t>Section 5</w:t>
      </w:r>
      <w:r>
        <w:rPr>
          <w:rFonts w:ascii="Times New Roman;Times;serif" w:hAnsi="Times New Roman;Times;serif"/>
          <w:sz w:val="20"/>
        </w:rPr>
        <w:t xml:space="preserve">, but subject to </w:t>
      </w:r>
      <w:r>
        <w:rPr>
          <w:rFonts w:ascii="Times New Roman;Times;serif" w:hAnsi="Times New Roman;Times;serif"/>
          <w:sz w:val="20"/>
          <w:u w:val="single"/>
        </w:rPr>
        <w:t>Section 3(d)</w:t>
      </w:r>
      <w:r>
        <w:rPr>
          <w:rFonts w:ascii="Times New Roman;Times;serif" w:hAnsi="Times New Roman;Times;serif"/>
          <w:sz w:val="20"/>
        </w:rPr>
        <w:t xml:space="preserve">, until the Change of Control Redemption Price (together with any Late Charges thereon) is paid in full, the Conversion Amount submitted for redemption under this </w:t>
      </w:r>
      <w:r>
        <w:rPr>
          <w:rFonts w:ascii="Times New Roman;Times;serif" w:hAnsi="Times New Roman;Times;serif"/>
          <w:sz w:val="20"/>
          <w:u w:val="single"/>
        </w:rPr>
        <w:t>Section 5(b)</w:t>
      </w:r>
      <w:r>
        <w:rPr>
          <w:rFonts w:ascii="Times New Roman;Times;serif" w:hAnsi="Times New Roman;Times;serif"/>
          <w:sz w:val="20"/>
        </w:rPr>
        <w:t xml:space="preserve"> (together with any Late Charges thereon) may be converted, in whole or in part, by the Holder into ADSs pursuant to </w:t>
      </w:r>
      <w:r>
        <w:rPr>
          <w:rFonts w:ascii="Times New Roman;Times;serif" w:hAnsi="Times New Roman;Times;serif"/>
          <w:sz w:val="20"/>
          <w:u w:val="single"/>
        </w:rPr>
        <w:t>Section 3</w:t>
      </w:r>
      <w:r>
        <w:rPr>
          <w:rFonts w:ascii="Times New Roman;Times;serif" w:hAnsi="Times New Roman;Times;serif"/>
          <w:sz w:val="20"/>
        </w:rPr>
        <w:t xml:space="preserve">. In the event of the Company’s redemption of any portion of this Note under this </w:t>
      </w:r>
      <w:r>
        <w:rPr>
          <w:rFonts w:ascii="Times New Roman;Times;serif" w:hAnsi="Times New Roman;Times;serif"/>
          <w:sz w:val="20"/>
          <w:u w:val="single"/>
        </w:rPr>
        <w:t>Section 5(b)</w:t>
      </w:r>
      <w:r>
        <w:rPr>
          <w:rFonts w:ascii="Times New Roman;Times;serif" w:hAnsi="Times New Roman;Times;serif"/>
          <w:sz w:val="20"/>
        </w:rPr>
        <w:t xml:space="preserv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w:t>
      </w:r>
      <w:r>
        <w:rPr>
          <w:rFonts w:ascii="Times New Roman;Times;serif" w:hAnsi="Times New Roman;Times;serif"/>
          <w:sz w:val="20"/>
          <w:u w:val="single"/>
        </w:rPr>
        <w:t>Section 5(b)</w:t>
      </w:r>
      <w:r>
        <w:rPr>
          <w:rFonts w:ascii="Times New Roman;Times;serif" w:hAnsi="Times New Roman;Times;serif"/>
          <w:sz w:val="20"/>
        </w:rPr>
        <w:t xml:space="preserve"> is intended by the parties to be, and shall be deemed, a reasonable estimate of the Holder’s actual loss of its investment opportunity and not as a penalty.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RIGHTS UPON ISSUANCE OF PURCHASE RIGHTS AND OTHER CORPORATE EVENTS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Purchase Rights</w:t>
      </w:r>
      <w:r>
        <w:rPr>
          <w:rFonts w:ascii="Times New Roman;Times;serif" w:hAnsi="Times New Roman;Times;serif"/>
          <w:sz w:val="20"/>
        </w:rPr>
        <w:t xml:space="preserve">. In addition to any adjustments pursuant to </w:t>
      </w:r>
      <w:r>
        <w:rPr>
          <w:rFonts w:ascii="Times New Roman;Times;serif" w:hAnsi="Times New Roman;Times;serif"/>
          <w:sz w:val="20"/>
          <w:u w:val="single"/>
        </w:rPr>
        <w:t>Section 7</w:t>
      </w:r>
      <w:r>
        <w:rPr>
          <w:rFonts w:ascii="Times New Roman;Times;serif" w:hAnsi="Times New Roman;Times;serif"/>
          <w:sz w:val="20"/>
        </w:rPr>
        <w:t xml:space="preserve"> and </w:t>
      </w:r>
      <w:r>
        <w:rPr>
          <w:rFonts w:ascii="Times New Roman;Times;serif" w:hAnsi="Times New Roman;Times;serif"/>
          <w:sz w:val="20"/>
          <w:u w:val="single"/>
        </w:rPr>
        <w:t>16</w:t>
      </w:r>
      <w:r>
        <w:rPr>
          <w:rFonts w:ascii="Times New Roman;Times;serif" w:hAnsi="Times New Roman;Times;serif"/>
          <w:sz w:val="20"/>
        </w:rPr>
        <w:t xml:space="preserve"> below, if at any time the Company grants, issues or sells any Options, Convertible Securities or rights to purchase shares, warrants, securities or other property pro rata to all or substantially all of the record holders of any class of ADSs and/or Ordinary Shares, as applicable (the “</w:t>
      </w:r>
      <w:r>
        <w:rPr>
          <w:rFonts w:ascii="Times New Roman;Times;serif" w:hAnsi="Times New Roman;Times;serif"/>
          <w:b/>
          <w:sz w:val="20"/>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ADSs (or underlying Ordinary Shares, as applicable)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ADSs and/or Ordinary Shares, as applicable, are to be determined for the grant, issue or sale of such Purchase Rights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ADSs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Other Corporate Events</w:t>
      </w:r>
      <w:r>
        <w:rPr>
          <w:rFonts w:ascii="Times New Roman;Times;serif" w:hAnsi="Times New Roman;Times;serif"/>
          <w:sz w:val="20"/>
        </w:rPr>
        <w:t>. In addition to and not in substitution for any other rights hereunder, prior to the consummation of any Fundamental Transaction pursuant to which holders of ADSs or Ordinary Shares, as applicable, are entitled to receive securities or other assets with respect to or in exchange for ADSs and/or Ordinary Shares, as applicable (a “</w:t>
      </w:r>
      <w:r>
        <w:rPr>
          <w:rFonts w:ascii="Times New Roman;Times;serif" w:hAnsi="Times New Roman;Times;serif"/>
          <w:b/>
          <w:sz w:val="20"/>
        </w:rPr>
        <w:t>Corporate Event</w:t>
      </w:r>
      <w:r>
        <w:rPr>
          <w:rFonts w:ascii="Times New Roman;Times;serif" w:hAnsi="Times New Roman;Times;serif"/>
          <w:sz w:val="20"/>
        </w:rPr>
        <w:t xml:space="preserve">”), the Company shall make appropriate provision to ensure that the Holder will thereafter have the right to receive upon a conversion of this Note, at the Holder’s option (i) in addition to the ADSs receivable upon such conversion, such securities or other assets to which the Holder would have been entitled with respect to such ADSs had such ADSs been held by the Holder upon the consummation of such Corporate Event (without taking into account any limitations or restrictions on the convertibility of this Note) or (ii) in lieu of the ADSs otherwise receivable upon such conversion, such securities or other assets received by the holders of ADSs or Ordinary Shares, as applicable, in connection with the consummation of such Corporate Event in such amounts as the Holder would have been entitled to receive had this Note initially been issued with conversion rights for the form of such consideration (as opposed to ADSs) at a conversion rate for such consideration commensurate with the Conversion Rate. Provision made pursuant to the preceding sentence shall be in a form and substance satisfactory to the Holder. The provisions of this </w:t>
      </w:r>
      <w:r>
        <w:rPr>
          <w:rFonts w:ascii="Times New Roman;Times;serif" w:hAnsi="Times New Roman;Times;serif"/>
          <w:sz w:val="20"/>
          <w:u w:val="single"/>
        </w:rPr>
        <w:t>Section 6</w:t>
      </w:r>
      <w:r>
        <w:rPr>
          <w:rFonts w:ascii="Times New Roman;Times;serif" w:hAnsi="Times New Roman;Times;serif"/>
          <w:sz w:val="20"/>
        </w:rPr>
        <w:t xml:space="preserve"> shall apply similarly and equally to successive Corporate Events and shall be applied without regard to any limitations on the conversion or redemption of this Note.</w:t>
      </w:r>
    </w:p>
    <w:tbl>
      <w:tblPr>
        <w:tblW w:w="4593" w:type="dxa"/>
        <w:jc w:val="left"/>
        <w:tblInd w:w="0" w:type="dxa"/>
        <w:tblLayout w:type="fixed"/>
        <w:tblCellMar>
          <w:top w:w="0" w:type="dxa"/>
          <w:left w:w="0" w:type="dxa"/>
          <w:bottom w:w="0" w:type="dxa"/>
          <w:right w:w="0" w:type="dxa"/>
        </w:tblCellMar>
      </w:tblPr>
      <w:tblGrid>
        <w:gridCol w:w="23"/>
        <w:gridCol w:w="170"/>
        <w:gridCol w:w="4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44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RIGHTS UPON ISSUANCE OF OTHER SECURITIES</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Adjustment of Conversion Price upon Issuance of ADSs</w:t>
      </w:r>
      <w:r>
        <w:rPr>
          <w:rFonts w:ascii="Times New Roman;Times;serif" w:hAnsi="Times New Roman;Times;serif"/>
          <w:sz w:val="20"/>
        </w:rPr>
        <w:t xml:space="preserve">. If and whenever on or after August 19, 2025, the Company grants, issues or sells (or enters into any agreement to grant, issue or sell), or in accordance with this </w:t>
      </w:r>
      <w:r>
        <w:rPr>
          <w:rFonts w:ascii="Times New Roman;Times;serif" w:hAnsi="Times New Roman;Times;serif"/>
          <w:sz w:val="20"/>
          <w:u w:val="single"/>
        </w:rPr>
        <w:t>Section 7(a)</w:t>
      </w:r>
      <w:r>
        <w:rPr>
          <w:rFonts w:ascii="Times New Roman;Times;serif" w:hAnsi="Times New Roman;Times;serif"/>
          <w:sz w:val="20"/>
        </w:rPr>
        <w:t xml:space="preserve"> is deemed to have granted, issued or sold, any ADSs (including the granting, issuance or sale of ADSs owned or held by or for the account of the Company, but excluding any Excluded Securities granted, issued or sold or deemed to have been granted, issued or sold) for a consideration per share (the “</w:t>
      </w:r>
      <w:r>
        <w:rPr>
          <w:rFonts w:ascii="Times New Roman;Times;serif" w:hAnsi="Times New Roman;Times;serif"/>
          <w:b/>
          <w:sz w:val="20"/>
        </w:rPr>
        <w:t>New Issuance Price</w:t>
      </w:r>
      <w:r>
        <w:rPr>
          <w:rFonts w:ascii="Times New Roman;Times;serif" w:hAnsi="Times New Roman;Times;serif"/>
          <w:sz w:val="20"/>
        </w:rPr>
        <w:t>”) less than a price equal to the Conversion Price in effect immediately prior to such granting, issuance or sale or deemed granting, issuance or sale (such Conversion Price then in effect is referred to herein as the “</w:t>
      </w:r>
      <w:r>
        <w:rPr>
          <w:rFonts w:ascii="Times New Roman;Times;serif" w:hAnsi="Times New Roman;Times;serif"/>
          <w:b/>
          <w:sz w:val="20"/>
        </w:rPr>
        <w:t>Applicable Price</w:t>
      </w:r>
      <w:r>
        <w:rPr>
          <w:rFonts w:ascii="Times New Roman;Times;serif" w:hAnsi="Times New Roman;Times;serif"/>
          <w:sz w:val="20"/>
        </w:rPr>
        <w:t>”) (the foregoing a “</w:t>
      </w:r>
      <w:r>
        <w:rPr>
          <w:rFonts w:ascii="Times New Roman;Times;serif" w:hAnsi="Times New Roman;Times;serif"/>
          <w:b/>
          <w:sz w:val="20"/>
        </w:rPr>
        <w:t>Dilutive Issuance</w:t>
      </w:r>
      <w:r>
        <w:rPr>
          <w:rFonts w:ascii="Times New Roman;Times;serif" w:hAnsi="Times New Roman;Times;serif"/>
          <w:sz w:val="20"/>
        </w:rPr>
        <w:t xml:space="preserve">”), then, immediately after such Dilutive Issuance, the Conversion Price then in effect shall be reduced to an amount equal to the lower of (x) the Conversion Price then in effect and (y) 120% of such New Issuance Price. For all purposes of the foregoing (including, without limitation, determining the adjusted Conversion Price and the New Issuance Price under this </w:t>
      </w:r>
      <w:r>
        <w:rPr>
          <w:rFonts w:ascii="Times New Roman;Times;serif" w:hAnsi="Times New Roman;Times;serif"/>
          <w:sz w:val="20"/>
          <w:u w:val="single"/>
        </w:rPr>
        <w:t>Section 7(a)</w:t>
      </w:r>
      <w:r>
        <w:rPr>
          <w:rFonts w:ascii="Times New Roman;Times;serif" w:hAnsi="Times New Roman;Times;serif"/>
          <w:sz w:val="20"/>
        </w:rPr>
        <w:t>), the following shall be applicable:</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Issuance of Options</w:t>
      </w:r>
      <w:r>
        <w:rPr>
          <w:rFonts w:ascii="Times New Roman;Times;serif" w:hAnsi="Times New Roman;Times;serif"/>
          <w:sz w:val="20"/>
        </w:rPr>
        <w:t xml:space="preserve">. If the Company in any manner grants, issues or sells (or enters into any agreement to grant, issue or sell) any Options and the lowest price per share for which one ADS is at any time issuable upon the exercise of any such Option or upon conversion, exercise or exchange of any Convertible Securities issuable upon exercise of any such Option or otherwise pursuant to the terms thereof is less than the Applicable Price, then such ADS shall be deemed to be outstanding and to have been issued and sold by the Company at the time of the granting, issuance or sale of such Option for such price per share. For purposes of this </w:t>
      </w:r>
      <w:r>
        <w:rPr>
          <w:rFonts w:ascii="Times New Roman;Times;serif" w:hAnsi="Times New Roman;Times;serif"/>
          <w:sz w:val="20"/>
          <w:u w:val="single"/>
        </w:rPr>
        <w:t>Section 7(a)(i)</w:t>
      </w:r>
      <w:r>
        <w:rPr>
          <w:rFonts w:ascii="Times New Roman;Times;serif" w:hAnsi="Times New Roman;Times;serif"/>
          <w:sz w:val="20"/>
        </w:rPr>
        <w:t>, the “lowest price per share for which one ADS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ADS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ADS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ADS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ADS or of such Convertible Securities upon the exercise of such Options or otherwise pursuant to the terms thereof or upon the actual issuance of such ADSs upon conversion, exercise or exchange of such Convertible Securities.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Issuance of Convertible Securities</w:t>
      </w:r>
      <w:r>
        <w:rPr>
          <w:rFonts w:ascii="Times New Roman;Times;serif" w:hAnsi="Times New Roman;Times;serif"/>
          <w:sz w:val="20"/>
        </w:rPr>
        <w:t xml:space="preserve">. If the Company in any manner issues or sells (or enters into any agreement to issue or sell) any Convertible Securities and the lowest price per share for which one ADS is at any time issuable upon the conversion, exercise or exchange thereof or otherwise pursuant to the terms thereof is less than the Applicable Price, then such ADS shall be deemed to be outstanding and to have been issued and sold by the Company at the time of the issuance or sale (or the time of execution of such agreement to issue or sell, as applicable) of such Convertible Securities for such price per share. For the purposes of this </w:t>
      </w:r>
      <w:r>
        <w:rPr>
          <w:rFonts w:ascii="Times New Roman;Times;serif" w:hAnsi="Times New Roman;Times;serif"/>
          <w:sz w:val="20"/>
          <w:u w:val="single"/>
        </w:rPr>
        <w:t>Section 7(a)(ii)</w:t>
      </w:r>
      <w:r>
        <w:rPr>
          <w:rFonts w:ascii="Times New Roman;Times;serif" w:hAnsi="Times New Roman;Times;serif"/>
          <w:sz w:val="20"/>
        </w:rPr>
        <w:t xml:space="preserve">, the “lowest price per share for which one ADS is at any time issuable upon the conversion, exercise or exchange thereof or otherwise pursuant to the terms thereof” shall be equal to (1) the lower of (x) the sum of the lowest amounts of consideration (if any) received or receivable by the Company with respect to one ADS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ADS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ADS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ADSs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w:t>
      </w:r>
      <w:r>
        <w:rPr>
          <w:rFonts w:ascii="Times New Roman;Times;serif" w:hAnsi="Times New Roman;Times;serif"/>
          <w:sz w:val="20"/>
          <w:u w:val="single"/>
        </w:rPr>
        <w:t>Section 7(a)</w:t>
      </w:r>
      <w:r>
        <w:rPr>
          <w:rFonts w:ascii="Times New Roman;Times;serif" w:hAnsi="Times New Roman;Times;serif"/>
          <w:sz w:val="20"/>
        </w:rPr>
        <w:t>, except as contemplated below, no further adjustment of the Conversion Price shall be made by reason of such issuance or sale.</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sz w:val="20"/>
          <w:u w:val="single"/>
        </w:rPr>
        <w:t>Change in Option Price or Rate of Conversion</w:t>
      </w:r>
      <w:r>
        <w:rPr>
          <w:rFonts w:ascii="Times New Roman;Times;serif" w:hAnsi="Times New Roman;Times;serif"/>
          <w:sz w:val="20"/>
        </w:rPr>
        <w:t xml:space="preserve">.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ADSs increases or decreases at any time (other than proportional changes in conversion or exercise prices, as applicable, in connection with an event referred to in </w:t>
      </w:r>
      <w:r>
        <w:rPr>
          <w:rFonts w:ascii="Times New Roman;Times;serif" w:hAnsi="Times New Roman;Times;serif"/>
          <w:sz w:val="20"/>
          <w:u w:val="single"/>
        </w:rPr>
        <w:t>Section 7(b)</w:t>
      </w:r>
      <w:r>
        <w:rPr>
          <w:rFonts w:ascii="Times New Roman;Times;serif" w:hAnsi="Times New Roman;Times;serif"/>
          <w:sz w:val="20"/>
        </w:rPr>
        <w:t xml:space="preserve">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w:t>
      </w:r>
      <w:r>
        <w:rPr>
          <w:rFonts w:ascii="Times New Roman;Times;serif" w:hAnsi="Times New Roman;Times;serif"/>
          <w:sz w:val="20"/>
          <w:u w:val="single"/>
        </w:rPr>
        <w:t>Section 7(a)(iii)</w:t>
      </w:r>
      <w:r>
        <w:rPr>
          <w:rFonts w:ascii="Times New Roman;Times;serif" w:hAnsi="Times New Roman;Times;serif"/>
          <w:sz w:val="20"/>
        </w:rPr>
        <w:t xml:space="preserve">,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ADSs deemed issuable upon exercise, conversion or exchange thereof shall be deemed to have been issued as of the date of such increase or decrease. No adjustment pursuant to this </w:t>
      </w:r>
      <w:r>
        <w:rPr>
          <w:rFonts w:ascii="Times New Roman;Times;serif" w:hAnsi="Times New Roman;Times;serif"/>
          <w:sz w:val="20"/>
          <w:u w:val="single"/>
        </w:rPr>
        <w:t>Section 7(a)</w:t>
      </w:r>
      <w:r>
        <w:rPr>
          <w:rFonts w:ascii="Times New Roman;Times;serif" w:hAnsi="Times New Roman;Times;serif"/>
          <w:sz w:val="20"/>
        </w:rPr>
        <w:t xml:space="preserve"> shall be made if such adjustment would result in an increase of the Conversion Price then in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(iv)</w:t>
      </w:r>
      <w:r>
        <w:rPr>
          <w:rFonts w:ascii="Times New Roman;Times;serif" w:hAnsi="Times New Roman;Times;serif"/>
          <w:sz w:val="20"/>
          <w:u w:val="single"/>
        </w:rPr>
        <w:t>Calculation of Consideration Received</w:t>
      </w:r>
      <w:r>
        <w:rPr>
          <w:rFonts w:ascii="Times New Roman;Times;serif" w:hAnsi="Times New Roman;Times;serif"/>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sz w:val="20"/>
        </w:rPr>
        <w:t>Primary Security</w:t>
      </w:r>
      <w:r>
        <w:rPr>
          <w:rFonts w:ascii="Times New Roman;Times;serif" w:hAnsi="Times New Roman;Times;serif"/>
          <w:sz w:val="20"/>
        </w:rPr>
        <w:t>”, and such Option and/or Convertible Security and/or Adjustment Right, the “</w:t>
      </w:r>
      <w:r>
        <w:rPr>
          <w:rFonts w:ascii="Times New Roman;Times;serif" w:hAnsi="Times New Roman;Times;serif"/>
          <w:b/>
          <w:sz w:val="20"/>
        </w:rPr>
        <w:t>Secondary Securities</w:t>
      </w:r>
      <w:r>
        <w:rPr>
          <w:rFonts w:ascii="Times New Roman;Times;serif" w:hAnsi="Times New Roman;Times;serif"/>
          <w:sz w:val="20"/>
        </w:rPr>
        <w:t xml:space="preserve">”),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ADS with respect to such Primary Security shall be deemed to be equal to the difference of (x) the lowest price per share for which one ADS was issued (or was deemed to be issued pursuant to </w:t>
      </w:r>
      <w:r>
        <w:rPr>
          <w:rFonts w:ascii="Times New Roman;Times;serif" w:hAnsi="Times New Roman;Times;serif"/>
          <w:sz w:val="20"/>
          <w:u w:val="single"/>
        </w:rPr>
        <w:t>Section 7(a)(i)</w:t>
      </w:r>
      <w:r>
        <w:rPr>
          <w:rFonts w:ascii="Times New Roman;Times;serif" w:hAnsi="Times New Roman;Times;serif"/>
          <w:sz w:val="20"/>
        </w:rPr>
        <w:t xml:space="preserve"> or </w:t>
      </w:r>
      <w:r>
        <w:rPr>
          <w:rFonts w:ascii="Times New Roman;Times;serif" w:hAnsi="Times New Roman;Times;serif"/>
          <w:sz w:val="20"/>
          <w:u w:val="single"/>
        </w:rPr>
        <w:t>7(a)(ii)</w:t>
      </w:r>
      <w:r>
        <w:rPr>
          <w:rFonts w:ascii="Times New Roman;Times;serif" w:hAnsi="Times New Roman;Times;serif"/>
          <w:sz w:val="20"/>
        </w:rPr>
        <w:t xml:space="preserve">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ADSs, Options or Convertible Securities are issued or sold or deemed to have been issued or sold for cash, the consideration received therefor (for the purpose of determining the consideration paid for such ADSs, Option or Convertible Security, but not for the purpose of the calculation of the Black Scholes Consideration Value) will be deemed to be the net amount of consideration received by the Company therefor. If any ADSs, Options or Convertible Securities are issued or sold for a consideration other than cash, the amount of such consideration received by the Company (for the purpose of determining the consideration paid for such ADSs,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ADSs, Options or Convertible Securities are issued to the owners of the non-surviving entity in connection with any merger in which the Company is the surviving entity, the amount of consideration therefor (for the purpose of determining the consideration paid for such ADSs, Option or Convertible Security, but not for the purpose of the calculation of the Black Scholes Consideration Value) will be deemed to be the fair value of such portion of the net assets and business of the non-surviving entity as is attributable to such ADSs,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Times;serif" w:hAnsi="Times New Roman;Times;serif"/>
          <w:b/>
          <w:sz w:val="20"/>
        </w:rPr>
        <w:t>Valuation Event</w:t>
      </w:r>
      <w:r>
        <w:rPr>
          <w:rFonts w:ascii="Times New Roman;Times;serif" w:hAnsi="Times New Roman;Times;serif"/>
          <w:sz w:val="20"/>
        </w:rPr>
        <w:t>”), the fair value of such consideration will be determined within five (5) Trading Days after the tenth (10</w:t>
      </w:r>
      <w:r>
        <w:rPr>
          <w:rFonts w:ascii="Times New Roman;Times;serif" w:hAnsi="Times New Roman;Times;serif"/>
          <w:sz w:val="15"/>
        </w:rPr>
        <w:t>th</w:t>
      </w:r>
      <w:r>
        <w:rPr>
          <w:rFonts w:ascii="Times New Roman;Times;serif" w:hAnsi="Times New Roman;Times;serif"/>
          <w:sz w:val="20"/>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(v)</w:t>
      </w:r>
      <w:r>
        <w:rPr>
          <w:rFonts w:ascii="Times New Roman;Times;serif" w:hAnsi="Times New Roman;Times;serif"/>
          <w:sz w:val="20"/>
          <w:u w:val="single"/>
        </w:rPr>
        <w:t>Record Date</w:t>
      </w:r>
      <w:r>
        <w:rPr>
          <w:rFonts w:ascii="Times New Roman;Times;serif" w:hAnsi="Times New Roman;Times;serif"/>
          <w:sz w:val="20"/>
        </w:rPr>
        <w:t>. If the Company takes a record of the holders of ADSs for the purpose of entitling them (A) to receive a dividend or other distribution payable in ADSs, Options or in Convertible Securities or (B) to subscribe for or purchase ADSs, Options or Convertible Securities, then such record date will be deemed to be the date of the issuance or sale of the ADSs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103" w:right="0" w:firstLine="1080"/>
        <w:jc w:val="both"/>
        <w:rPr>
          <w:rFonts w:ascii="Times New Roman;Times;serif" w:hAnsi="Times New Roman;Times;serif"/>
          <w:sz w:val="20"/>
        </w:rPr>
      </w:pPr>
      <w:r>
        <w:rPr>
          <w:rFonts w:ascii="Times New Roman;Times;serif" w:hAnsi="Times New Roman;Times;serif"/>
          <w:sz w:val="20"/>
        </w:rPr>
        <w:t>(vi)</w:t>
      </w:r>
      <w:r>
        <w:rPr>
          <w:rFonts w:ascii="Times New Roman;Times;serif" w:hAnsi="Times New Roman;Times;serif"/>
          <w:sz w:val="20"/>
          <w:u w:val="single"/>
        </w:rPr>
        <w:t>Adjustments</w:t>
      </w:r>
      <w:r>
        <w:rPr>
          <w:rFonts w:ascii="Times New Roman;Times;serif" w:hAnsi="Times New Roman;Times;serif"/>
          <w:sz w:val="20"/>
        </w:rPr>
        <w:t>. On each three-month anniversary of the Issuance Date (each, an “</w:t>
      </w:r>
      <w:r>
        <w:rPr>
          <w:rFonts w:ascii="Times New Roman;Times;serif" w:hAnsi="Times New Roman;Times;serif"/>
          <w:b/>
          <w:sz w:val="20"/>
        </w:rPr>
        <w:t>Adjustment Date</w:t>
      </w:r>
      <w:r>
        <w:rPr>
          <w:rFonts w:ascii="Times New Roman;Times;serif" w:hAnsi="Times New Roman;Times;serif"/>
          <w:sz w:val="20"/>
        </w:rPr>
        <w:t>”) the Conversion Price shall automatically set to the lower of (i) $2.19 per ADS ($2.19 per Ordinary Share, and as adjusted for subdivision or combination of ADSs and/or Ordinary Shares or changes in the ratio of Ordinary Shares to ADS and (ii) the Market Price as of such Adjustment Date, immediately after the close of the Principal Market on such Adjustment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Adjustment of Conversion Price upon Subdivision or Combination of ADSs</w:t>
      </w:r>
      <w:r>
        <w:rPr>
          <w:rFonts w:ascii="Times New Roman;Times;serif" w:hAnsi="Times New Roman;Times;serif"/>
          <w:sz w:val="20"/>
        </w:rPr>
        <w:t xml:space="preserve">. Without limiting any provision of </w:t>
      </w:r>
      <w:r>
        <w:rPr>
          <w:rFonts w:ascii="Times New Roman;Times;serif" w:hAnsi="Times New Roman;Times;serif"/>
          <w:sz w:val="20"/>
          <w:u w:val="single"/>
        </w:rPr>
        <w:t>Section</w:t>
      </w:r>
      <w:r>
        <w:rPr>
          <w:rFonts w:ascii="Times New Roman;Times;serif" w:hAnsi="Times New Roman;Times;serif"/>
          <w:sz w:val="20"/>
        </w:rPr>
        <w:t xml:space="preserve"> 6, </w:t>
      </w:r>
      <w:r>
        <w:rPr>
          <w:rFonts w:ascii="Times New Roman;Times;serif" w:hAnsi="Times New Roman;Times;serif"/>
          <w:sz w:val="20"/>
          <w:u w:val="single"/>
        </w:rPr>
        <w:t>Section 16</w:t>
      </w:r>
      <w:r>
        <w:rPr>
          <w:rFonts w:ascii="Times New Roman;Times;serif" w:hAnsi="Times New Roman;Times;serif"/>
          <w:sz w:val="20"/>
        </w:rPr>
        <w:t xml:space="preserve"> or </w:t>
      </w:r>
      <w:r>
        <w:rPr>
          <w:rFonts w:ascii="Times New Roman;Times;serif" w:hAnsi="Times New Roman;Times;serif"/>
          <w:sz w:val="20"/>
          <w:u w:val="single"/>
        </w:rPr>
        <w:t>Section 7(a)</w:t>
      </w:r>
      <w:r>
        <w:rPr>
          <w:rFonts w:ascii="Times New Roman;Times;serif" w:hAnsi="Times New Roman;Times;serif"/>
          <w:sz w:val="20"/>
        </w:rPr>
        <w:t xml:space="preserve">, if the Company at any time on or after the Subscription Date (i) pays a share dividend on one or more classes of its then outstanding ADSs and/or Ordinary Shares (or changes the ratio of Ordinary Shares to ADSs) or otherwise makes a distribution on any class of share capital that is payable in ADSs or Ordinary Shares, (ii) subdivides (by any share split, share dividend, recapitalization or otherwise) one or more classes of its then outstanding ADSs and/or Ordinary Shares, as applicable, into a larger number of shares or (iii) combines (by combination, reverse share split or otherwise) one or more classes of its then outstanding ADSs and/or Ordinary Shares, as applicable, into a smaller number of shares, then in each such case the Conversion Price shall be multiplied by a fraction of which the numerator shall be the number of ADSs outstanding immediately before such event (or, if applicable, the Ordinary Shares outstanding immediately before such event, assuming solely for such purpose that all ADSs were exchanged into Ordinary Shares immediately before such event) and of which the denominator shall be the number of ADSs outstanding immediately after such event (or, if applicable, the Ordinary Shares outstanding immediately before such event, assuming solely for such purpose that all ADSs were exchanged into Ordinary Shares immediately after such event). Any adjustment pursuant to this </w:t>
      </w:r>
      <w:r>
        <w:rPr>
          <w:rFonts w:ascii="Times New Roman;Times;serif" w:hAnsi="Times New Roman;Times;serif"/>
          <w:sz w:val="20"/>
          <w:u w:val="single"/>
        </w:rPr>
        <w:t>Section 7(b)</w:t>
      </w:r>
      <w:r>
        <w:rPr>
          <w:rFonts w:ascii="Times New Roman;Times;serif" w:hAnsi="Times New Roman;Times;serif"/>
          <w:sz w:val="20"/>
        </w:rPr>
        <w:t xml:space="preserve"> shall become effective immediately after the effective date of such subdivision or combination. If any event requiring an adjustment under this </w:t>
      </w:r>
      <w:r>
        <w:rPr>
          <w:rFonts w:ascii="Times New Roman;Times;serif" w:hAnsi="Times New Roman;Times;serif"/>
          <w:sz w:val="20"/>
          <w:u w:val="single"/>
        </w:rPr>
        <w:t>Section 7(b)</w:t>
      </w:r>
      <w:r>
        <w:rPr>
          <w:rFonts w:ascii="Times New Roman;Times;serif" w:hAnsi="Times New Roman;Times;serif"/>
          <w:sz w:val="20"/>
        </w:rPr>
        <w:t xml:space="preserve"> occurs during the period that a Conversion Price is calculated hereunder, then the calculation of such Conversion Price shall be adjusted appropriately to reflect such event.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Holder’s Right of Adjusted Conversion Price</w:t>
      </w:r>
      <w:r>
        <w:rPr>
          <w:rFonts w:ascii="Times New Roman;Times;serif" w:hAnsi="Times New Roman;Times;serif"/>
          <w:sz w:val="20"/>
        </w:rPr>
        <w:t xml:space="preserve">. In addition to and not in limitation of the other provisions of this </w:t>
      </w:r>
      <w:r>
        <w:rPr>
          <w:rFonts w:ascii="Times New Roman;Times;serif" w:hAnsi="Times New Roman;Times;serif"/>
          <w:sz w:val="20"/>
          <w:u w:val="single"/>
        </w:rPr>
        <w:t>Section 7</w:t>
      </w:r>
      <w:r>
        <w:rPr>
          <w:rFonts w:ascii="Times New Roman;Times;serif" w:hAnsi="Times New Roman;Times;serif"/>
          <w:sz w:val="20"/>
        </w:rPr>
        <w:t>, if the Company in any manner issues or sells or enters into any agreement to issue or sell, any ADSs, Options or Convertible Securities (any such securities, “</w:t>
      </w:r>
      <w:r>
        <w:rPr>
          <w:rFonts w:ascii="Times New Roman;Times;serif" w:hAnsi="Times New Roman;Times;serif"/>
          <w:b/>
          <w:sz w:val="20"/>
        </w:rPr>
        <w:t>Variable Price Securities</w:t>
      </w:r>
      <w:r>
        <w:rPr>
          <w:rFonts w:ascii="Times New Roman;Times;serif" w:hAnsi="Times New Roman;Times;serif"/>
          <w:sz w:val="20"/>
        </w:rPr>
        <w:t>”), (other than the Westwood Equity Line, the Permitted Equity Line, Affiliate Transactions or Strategic Investments that convert only at a fixed maturity date at a price determined at such fixed maturity date of such Ordinary Share Equivalents (as defined in the Securities Purchase Agreement) with respect thereto), after the Subscription Date that are issuable pursuant to such agreement or convertible into or exchangeable or exercisable for ADSs at a price which varies or may vary with the market price of the ADSs,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Times;serif" w:hAnsi="Times New Roman;Times;serif"/>
          <w:b/>
          <w:sz w:val="20"/>
        </w:rPr>
        <w:t>Variable Price</w:t>
      </w:r>
      <w:r>
        <w:rPr>
          <w:rFonts w:ascii="Times New Roman;Times;serif" w:hAnsi="Times New Roman;Times;serif"/>
          <w:sz w:val="20"/>
        </w:rPr>
        <w:t>”), the Company shall provide written notice thereof via electronic mail and international courier to the Holder on the date of such agreement and the issuance of such ADSs,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Other Events</w:t>
      </w:r>
      <w:r>
        <w:rPr>
          <w:rFonts w:ascii="Times New Roman;Times;serif" w:hAnsi="Times New Roman;Times;serif"/>
          <w:sz w:val="20"/>
        </w:rPr>
        <w:t xml:space="preserve">. In the event that the Company (or any Subsidiary) shall take any action to which the provisions hereof are not strictly applicable, or, if applicable, would not operate to protect the Holder from dilution or if any event occurs of the type contemplated by the provisions of this </w:t>
      </w:r>
      <w:r>
        <w:rPr>
          <w:rFonts w:ascii="Times New Roman;Times;serif" w:hAnsi="Times New Roman;Times;serif"/>
          <w:sz w:val="20"/>
          <w:u w:val="single"/>
        </w:rPr>
        <w:t>Section 7</w:t>
      </w:r>
      <w:r>
        <w:rPr>
          <w:rFonts w:ascii="Times New Roman;Times;serif" w:hAnsi="Times New Roman;Times;serif"/>
          <w:sz w:val="20"/>
        </w:rPr>
        <w:t xml:space="preserve"> but not expressly provided for by such provisions (including, without limitation, the granting of share appreciation rights, phantom share rights or other rights with equity features), then the Company’s board of directors shall in good faith determine and implement an appropriate adjustment in the Conversion Price so as to protect the rights of the Holder, provided that no such adjustment pursuant to this </w:t>
      </w:r>
      <w:r>
        <w:rPr>
          <w:rFonts w:ascii="Times New Roman;Times;serif" w:hAnsi="Times New Roman;Times;serif"/>
          <w:sz w:val="20"/>
          <w:u w:val="single"/>
        </w:rPr>
        <w:t>Section 7(d)</w:t>
      </w:r>
      <w:r>
        <w:rPr>
          <w:rFonts w:ascii="Times New Roman;Times;serif" w:hAnsi="Times New Roman;Times;serif"/>
          <w:sz w:val="20"/>
        </w:rPr>
        <w:t xml:space="preserve"> will increase the Conversion Price as otherwise determined pursuant to this </w:t>
      </w:r>
      <w:r>
        <w:rPr>
          <w:rFonts w:ascii="Times New Roman;Times;serif" w:hAnsi="Times New Roman;Times;serif"/>
          <w:sz w:val="20"/>
          <w:u w:val="single"/>
        </w:rPr>
        <w:t>Section 7</w:t>
      </w:r>
      <w:r>
        <w:rPr>
          <w:rFonts w:ascii="Times New Roman;Times;serif" w:hAnsi="Times New Roman;Times;serif"/>
          <w:sz w:val="20"/>
        </w:rPr>
        <w:t>,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Calculations</w:t>
      </w:r>
      <w:r>
        <w:rPr>
          <w:rFonts w:ascii="Times New Roman;Times;serif" w:hAnsi="Times New Roman;Times;serif"/>
          <w:sz w:val="20"/>
        </w:rPr>
        <w:t xml:space="preserve">. All calculations under this </w:t>
      </w:r>
      <w:r>
        <w:rPr>
          <w:rFonts w:ascii="Times New Roman;Times;serif" w:hAnsi="Times New Roman;Times;serif"/>
          <w:sz w:val="20"/>
          <w:u w:val="single"/>
        </w:rPr>
        <w:t>Section 7</w:t>
      </w:r>
      <w:r>
        <w:rPr>
          <w:rFonts w:ascii="Times New Roman;Times;serif" w:hAnsi="Times New Roman;Times;serif"/>
          <w:sz w:val="20"/>
        </w:rPr>
        <w:t xml:space="preserve"> shall be made by rounding to the nearest cent or the nearest 1/100</w:t>
      </w:r>
      <w:r>
        <w:rPr>
          <w:rFonts w:ascii="Times New Roman;Times;serif" w:hAnsi="Times New Roman;Times;serif"/>
          <w:sz w:val="15"/>
        </w:rPr>
        <w:t xml:space="preserve">th </w:t>
      </w:r>
      <w:r>
        <w:rPr>
          <w:rFonts w:ascii="Times New Roman;Times;serif" w:hAnsi="Times New Roman;Times;serif"/>
          <w:sz w:val="20"/>
        </w:rPr>
        <w:t>of a share, as applicable. The number of ADSs outstanding at any given time shall not include shares owned or held by or for the account of the Company, and the disposition of any such shares shall be considered an issue or sale of ADSs.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Issuances (and Deemed Issuances) of Ordinary Shares without ADSs</w:t>
      </w:r>
      <w:r>
        <w:rPr>
          <w:rFonts w:ascii="Times New Roman;Times;serif" w:hAnsi="Times New Roman;Times;serif"/>
          <w:sz w:val="20"/>
        </w:rPr>
        <w:t xml:space="preserve">. Notwithstanding anything herein to the contrary, to the extent the Company, directly or indirectly, issues (or enters into any agreement to issue) any Ordinary Shares without a corresponding issuance of (or agreement to subsequently issue) ADSs, in full, for the purpose of this </w:t>
      </w:r>
      <w:r>
        <w:rPr>
          <w:rFonts w:ascii="Times New Roman;Times;serif" w:hAnsi="Times New Roman;Times;serif"/>
          <w:sz w:val="20"/>
          <w:u w:val="single"/>
        </w:rPr>
        <w:t>Section 7</w:t>
      </w:r>
      <w:r>
        <w:rPr>
          <w:rFonts w:ascii="Times New Roman;Times;serif" w:hAnsi="Times New Roman;Times;serif"/>
          <w:sz w:val="20"/>
        </w:rPr>
        <w:t>, the Company shall be deemed to have issued ADSs, in full, with respect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Voluntary Adjustment by Company</w:t>
      </w:r>
      <w:r>
        <w:rPr>
          <w:rFonts w:ascii="Times New Roman;Times;serif" w:hAnsi="Times New Roman;Times;serif"/>
          <w:sz w:val="20"/>
        </w:rPr>
        <w:t>. Subject to the rules and regulations of the Principal Market, the Company may at any time during the term of this Note, with the prior written consent of the Required Holders (as defined in the Securities Purchase Agreement), reduce the then current Conversion Price of each of the Notes to any amount and for any period of time deemed appropriate by the board of directors of the Company.</w:t>
      </w:r>
    </w:p>
    <w:tbl>
      <w:tblPr>
        <w:tblW w:w="4488" w:type="dxa"/>
        <w:jc w:val="left"/>
        <w:tblInd w:w="0" w:type="dxa"/>
        <w:tblLayout w:type="fixed"/>
        <w:tblCellMar>
          <w:top w:w="0" w:type="dxa"/>
          <w:left w:w="0" w:type="dxa"/>
          <w:bottom w:w="0" w:type="dxa"/>
          <w:right w:w="0" w:type="dxa"/>
        </w:tblCellMar>
      </w:tblPr>
      <w:tblGrid>
        <w:gridCol w:w="23"/>
        <w:gridCol w:w="17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42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REDEMPTIONS AT THE COMPANY’S ELECTION.</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Company Optional Redemption</w:t>
      </w:r>
      <w:r>
        <w:rPr>
          <w:rFonts w:ascii="Times New Roman;Times;serif" w:hAnsi="Times New Roman;Times;serif"/>
          <w:sz w:val="20"/>
        </w:rPr>
        <w:t>. At any time the Company shall have the right to redeem all, but not less than all, of the Conversion Amount then remaining under this Note (the “</w:t>
      </w:r>
      <w:r>
        <w:rPr>
          <w:rFonts w:ascii="Times New Roman;Times;serif" w:hAnsi="Times New Roman;Times;serif"/>
          <w:b/>
          <w:sz w:val="20"/>
        </w:rPr>
        <w:t>Company Optional Redemption Amount</w:t>
      </w:r>
      <w:r>
        <w:rPr>
          <w:rFonts w:ascii="Times New Roman;Times;serif" w:hAnsi="Times New Roman;Times;serif"/>
          <w:sz w:val="20"/>
        </w:rPr>
        <w:t>”) on the Company Optional Redemption Date (each as defined below) (a “</w:t>
      </w:r>
      <w:r>
        <w:rPr>
          <w:rFonts w:ascii="Times New Roman;Times;serif" w:hAnsi="Times New Roman;Times;serif"/>
          <w:b/>
          <w:sz w:val="20"/>
        </w:rPr>
        <w:t>Company Optional Redemption</w:t>
      </w:r>
      <w:r>
        <w:rPr>
          <w:rFonts w:ascii="Times New Roman;Times;serif" w:hAnsi="Times New Roman;Times;serif"/>
          <w:sz w:val="20"/>
        </w:rPr>
        <w:t xml:space="preserve">”). The portion of this Note subject to redemption pursuant to this </w:t>
      </w:r>
      <w:r>
        <w:rPr>
          <w:rFonts w:ascii="Times New Roman;Times;serif" w:hAnsi="Times New Roman;Times;serif"/>
          <w:sz w:val="20"/>
          <w:u w:val="single"/>
        </w:rPr>
        <w:t>Section 8(a)</w:t>
      </w:r>
      <w:r>
        <w:rPr>
          <w:rFonts w:ascii="Times New Roman;Times;serif" w:hAnsi="Times New Roman;Times;serif"/>
          <w:sz w:val="20"/>
        </w:rPr>
        <w:t xml:space="preserve"> shall be redeemed by the Company in cash at a price (the “</w:t>
      </w:r>
      <w:r>
        <w:rPr>
          <w:rFonts w:ascii="Times New Roman;Times;serif" w:hAnsi="Times New Roman;Times;serif"/>
          <w:b/>
          <w:sz w:val="20"/>
        </w:rPr>
        <w:t>Company Optional Redemption Price</w:t>
      </w:r>
      <w:r>
        <w:rPr>
          <w:rFonts w:ascii="Times New Roman;Times;serif" w:hAnsi="Times New Roman;Times;serif"/>
          <w:sz w:val="20"/>
        </w:rPr>
        <w:t xml:space="preserve">”) equal to 120% of the Conversion Amount being redeemed as of the Company Optional Redemption Date. The Company may exercise its redemption right under this </w:t>
      </w:r>
      <w:r>
        <w:rPr>
          <w:rFonts w:ascii="Times New Roman;Times;serif" w:hAnsi="Times New Roman;Times;serif"/>
          <w:sz w:val="20"/>
          <w:u w:val="single"/>
        </w:rPr>
        <w:t>Section 8(a)</w:t>
      </w:r>
      <w:r>
        <w:rPr>
          <w:rFonts w:ascii="Times New Roman;Times;serif" w:hAnsi="Times New Roman;Times;serif"/>
          <w:sz w:val="20"/>
        </w:rPr>
        <w:t xml:space="preserve"> by delivering a written notice thereof by electronic mail and international courier to the Trustee and all, but not less than all, of the registered holders of Notes (the “</w:t>
      </w:r>
      <w:r>
        <w:rPr>
          <w:rFonts w:ascii="Times New Roman;Times;serif" w:hAnsi="Times New Roman;Times;serif"/>
          <w:b/>
          <w:sz w:val="20"/>
        </w:rPr>
        <w:t>Company Optional Redemption Notice</w:t>
      </w:r>
      <w:r>
        <w:rPr>
          <w:rFonts w:ascii="Times New Roman;Times;serif" w:hAnsi="Times New Roman;Times;serif"/>
          <w:sz w:val="20"/>
        </w:rPr>
        <w:t>” and the date all of the holders of Notes received such notice is referred to as the “</w:t>
      </w:r>
      <w:r>
        <w:rPr>
          <w:rFonts w:ascii="Times New Roman;Times;serif" w:hAnsi="Times New Roman;Times;serif"/>
          <w:b/>
          <w:sz w:val="20"/>
        </w:rPr>
        <w:t>Company Optional Redemption Notice Date</w:t>
      </w:r>
      <w:r>
        <w:rPr>
          <w:rFonts w:ascii="Times New Roman;Times;serif" w:hAnsi="Times New Roman;Times;serif"/>
          <w:sz w:val="20"/>
        </w:rPr>
        <w:t>”). The Company may deliver only one Company Optional Redemption Notice hereunder and such Company Optional Redemption Notice shall be irrevocable. The Company Optional Redemption Notice shall (x) state the date on which the Company Optional Redemption shall occur (the “</w:t>
      </w:r>
      <w:r>
        <w:rPr>
          <w:rFonts w:ascii="Times New Roman;Times;serif" w:hAnsi="Times New Roman;Times;serif"/>
          <w:b/>
          <w:sz w:val="20"/>
        </w:rPr>
        <w:t>Company Optional Redemption Date</w:t>
      </w:r>
      <w:r>
        <w:rPr>
          <w:rFonts w:ascii="Times New Roman;Times;serif" w:hAnsi="Times New Roman;Times;serif"/>
          <w:sz w:val="20"/>
        </w:rPr>
        <w:t xml:space="preserve">”) which date shall not be less than thirty (30) Business Days nor more than forty (40) Business Days following the Company Optional Redemption Notice Date, and (y) state the aggregate Conversion Amount of the Notes which is being redeemed in such Company Optional Redemption from the Holder and all of the other holders of the Notes pursuant to this </w:t>
      </w:r>
      <w:r>
        <w:rPr>
          <w:rFonts w:ascii="Times New Roman;Times;serif" w:hAnsi="Times New Roman;Times;serif"/>
          <w:sz w:val="20"/>
          <w:u w:val="single"/>
        </w:rPr>
        <w:t>Section 8(a)</w:t>
      </w:r>
      <w:r>
        <w:rPr>
          <w:rFonts w:ascii="Times New Roman;Times;serif" w:hAnsi="Times New Roman;Times;serif"/>
          <w:sz w:val="20"/>
        </w:rPr>
        <w:t xml:space="preserve"> (and analogous provisions under the Other Notes) on the Company Optional Redemption Date. Notwithstanding anything herein to the contrary, at any time prior to the date the Company Optional Redemption Price is paid, in full, the Company Optional Redemption Amount may be converted, in whole or in part, by the Holder into ADSs pursuant to </w:t>
      </w:r>
      <w:r>
        <w:rPr>
          <w:rFonts w:ascii="Times New Roman;Times;serif" w:hAnsi="Times New Roman;Times;serif"/>
          <w:sz w:val="20"/>
          <w:u w:val="single"/>
        </w:rPr>
        <w:t>Section 3</w:t>
      </w:r>
      <w:r>
        <w:rPr>
          <w:rFonts w:ascii="Times New Roman;Times;serif" w:hAnsi="Times New Roman;Times;serif"/>
          <w:sz w:val="20"/>
        </w:rPr>
        <w:t xml:space="preserve">. All Conversion Amounts converted by the Holder after the Company Optional Redemption Notice Date shall reduce the Company Optional Redemption Amount of this Note required to be redeemed on the Company Optional Redemption Date. Redemptions made pursuant to this </w:t>
      </w:r>
      <w:r>
        <w:rPr>
          <w:rFonts w:ascii="Times New Roman;Times;serif" w:hAnsi="Times New Roman;Times;serif"/>
          <w:sz w:val="20"/>
          <w:u w:val="single"/>
        </w:rPr>
        <w:t>Section 8(a)</w:t>
      </w:r>
      <w:r>
        <w:rPr>
          <w:rFonts w:ascii="Times New Roman;Times;serif" w:hAnsi="Times New Roman;Times;serif"/>
          <w:sz w:val="20"/>
        </w:rPr>
        <w:t xml:space="preserve"> shall be made in accordance with </w:t>
      </w:r>
      <w:r>
        <w:rPr>
          <w:rFonts w:ascii="Times New Roman;Times;serif" w:hAnsi="Times New Roman;Times;serif"/>
          <w:sz w:val="20"/>
          <w:u w:val="single"/>
        </w:rPr>
        <w:t>Section 12</w:t>
      </w:r>
      <w:r>
        <w:rPr>
          <w:rFonts w:ascii="Times New Roman;Times;serif" w:hAnsi="Times New Roman;Times;serif"/>
          <w:sz w:val="20"/>
        </w:rPr>
        <w:t xml:space="preserve">. In the event of the Company’s redemption of any portion of this Note under this </w:t>
      </w:r>
      <w:r>
        <w:rPr>
          <w:rFonts w:ascii="Times New Roman;Times;serif" w:hAnsi="Times New Roman;Times;serif"/>
          <w:sz w:val="20"/>
          <w:u w:val="single"/>
        </w:rPr>
        <w:t>Section 8(a)</w:t>
      </w:r>
      <w:r>
        <w:rPr>
          <w:rFonts w:ascii="Times New Roman;Times;serif" w:hAnsi="Times New Roman;Times;serif"/>
          <w:sz w:val="20"/>
        </w:rPr>
        <w:t xml:space="preserv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w:t>
      </w:r>
      <w:r>
        <w:rPr>
          <w:rFonts w:ascii="Times New Roman;Times;serif" w:hAnsi="Times New Roman;Times;serif"/>
          <w:sz w:val="20"/>
          <w:u w:val="single"/>
        </w:rPr>
        <w:t>Section 8(a)</w:t>
      </w:r>
      <w:r>
        <w:rPr>
          <w:rFonts w:ascii="Times New Roman;Times;serif" w:hAnsi="Times New Roman;Times;serif"/>
          <w:sz w:val="20"/>
        </w:rPr>
        <w:t xml:space="preserve"> is intended by the parties to be, and shall be deemed, a reasonable estimate of the Holder’s actual loss of its investment opportunity and not as a penalty. For the avoidance of doubt, the Company shall have no right to effect a Company Optional Redemption if any Event of Default has occurred and is continuing, but any Event of Default shall have no effect upon the Holder’s right to convert this Note in its discretion.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Redemption of Other Notes</w:t>
      </w:r>
      <w:r>
        <w:rPr>
          <w:rFonts w:ascii="Times New Roman;Times;serif" w:hAnsi="Times New Roman;Times;serif"/>
          <w:sz w:val="20"/>
        </w:rPr>
        <w:t xml:space="preserve">. If the Company elects to cause a Company Optional Redemption of this Note pursuant to </w:t>
      </w:r>
      <w:r>
        <w:rPr>
          <w:rFonts w:ascii="Times New Roman;Times;serif" w:hAnsi="Times New Roman;Times;serif"/>
          <w:sz w:val="20"/>
          <w:u w:val="single"/>
        </w:rPr>
        <w:t>Section 8(a)</w:t>
      </w:r>
      <w:r>
        <w:rPr>
          <w:rFonts w:ascii="Times New Roman;Times;serif" w:hAnsi="Times New Roman;Times;serif"/>
          <w:sz w:val="20"/>
        </w:rPr>
        <w:t>, then it must simultaneously take the same action with respect to all of the Other Notes.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23" w:type="dxa"/>
        <w:jc w:val="left"/>
        <w:tblInd w:w="0" w:type="dxa"/>
        <w:tblLayout w:type="fixed"/>
        <w:tblCellMar>
          <w:top w:w="0" w:type="dxa"/>
          <w:left w:w="0" w:type="dxa"/>
          <w:bottom w:w="0" w:type="dxa"/>
          <w:right w:w="0" w:type="dxa"/>
        </w:tblCellMar>
      </w:tblPr>
      <w:tblGrid>
        <w:gridCol w:w="23"/>
        <w:gridCol w:w="170"/>
        <w:gridCol w:w="38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38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EQUITY LINE MANDATORY REDEMPTION</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At any time on or after the Issuance Date, if the Company consummates the sale of any Ordinary Shares or ADSs pursuant to the Permitted Equity Line (and each date such sale is consummated, an “</w:t>
      </w:r>
      <w:r>
        <w:rPr>
          <w:rFonts w:ascii="Times New Roman;Times;serif" w:hAnsi="Times New Roman;Times;serif"/>
          <w:b/>
          <w:sz w:val="20"/>
        </w:rPr>
        <w:t>Equity Line Trigger Date</w:t>
      </w:r>
      <w:r>
        <w:rPr>
          <w:rFonts w:ascii="Times New Roman;Times;serif" w:hAnsi="Times New Roman;Times;serif"/>
          <w:sz w:val="20"/>
        </w:rPr>
        <w:t>”, and each such sale, an “</w:t>
      </w:r>
      <w:r>
        <w:rPr>
          <w:rFonts w:ascii="Times New Roman;Times;serif" w:hAnsi="Times New Roman;Times;serif"/>
          <w:b/>
          <w:sz w:val="20"/>
        </w:rPr>
        <w:t>Equity Line Transaction</w:t>
      </w:r>
      <w:r>
        <w:rPr>
          <w:rFonts w:ascii="Times New Roman;Times;serif" w:hAnsi="Times New Roman;Times;serif"/>
          <w:sz w:val="20"/>
        </w:rPr>
        <w:t>”), the Company shall redeem in cash (each, an “</w:t>
      </w:r>
      <w:r>
        <w:rPr>
          <w:rFonts w:ascii="Times New Roman;Times;serif" w:hAnsi="Times New Roman;Times;serif"/>
          <w:b/>
          <w:sz w:val="20"/>
        </w:rPr>
        <w:t>Equity Line Mandatory Redemption</w:t>
      </w:r>
      <w:r>
        <w:rPr>
          <w:rFonts w:ascii="Times New Roman;Times;serif" w:hAnsi="Times New Roman;Times;serif"/>
          <w:sz w:val="20"/>
        </w:rPr>
        <w:t>”) a portion of this Note equal to the lesser of (x) the Conversion Amount of this Note and (y) the Holder’s Holder Pro Rata Amount of 50% of the net proceeds of any such Equity Line Transactions (the “</w:t>
      </w:r>
      <w:r>
        <w:rPr>
          <w:rFonts w:ascii="Times New Roman;Times;serif" w:hAnsi="Times New Roman;Times;serif"/>
          <w:b/>
          <w:sz w:val="20"/>
        </w:rPr>
        <w:t>Equity Line Mandatory Redemption Amount</w:t>
      </w:r>
      <w:r>
        <w:rPr>
          <w:rFonts w:ascii="Times New Roman;Times;serif" w:hAnsi="Times New Roman;Times;serif"/>
          <w:sz w:val="20"/>
        </w:rPr>
        <w:t>”) as set forth below, and shall by no later than 9:00 AM, New York City time on the later of (i) the third (3</w:t>
      </w:r>
      <w:r>
        <w:rPr>
          <w:rFonts w:ascii="Times New Roman;Times;serif" w:hAnsi="Times New Roman;Times;serif"/>
          <w:sz w:val="15"/>
        </w:rPr>
        <w:t>th</w:t>
      </w:r>
      <w:r>
        <w:rPr>
          <w:rFonts w:ascii="Times New Roman;Times;serif" w:hAnsi="Times New Roman;Times;serif"/>
          <w:sz w:val="20"/>
        </w:rPr>
        <w:t>) Trading Day after such applicable Equity Line Trigger Date and (ii) the first (1</w:t>
      </w:r>
      <w:r>
        <w:rPr>
          <w:rFonts w:ascii="Times New Roman;Times;serif" w:hAnsi="Times New Roman;Times;serif"/>
          <w:sz w:val="15"/>
        </w:rPr>
        <w:t>st</w:t>
      </w:r>
      <w:r>
        <w:rPr>
          <w:rFonts w:ascii="Times New Roman;Times;serif" w:hAnsi="Times New Roman;Times;serif"/>
          <w:sz w:val="20"/>
        </w:rPr>
        <w:t>) Business Day of the immediately subsequent calendar week after any such Equity Line Trigger Date (each, a “</w:t>
      </w:r>
      <w:r>
        <w:rPr>
          <w:rFonts w:ascii="Times New Roman;Times;serif" w:hAnsi="Times New Roman;Times;serif"/>
          <w:b/>
          <w:sz w:val="20"/>
        </w:rPr>
        <w:t>Equity Mandatory Redemption Notice Date</w:t>
      </w:r>
      <w:r>
        <w:rPr>
          <w:rFonts w:ascii="Times New Roman;Times;serif" w:hAnsi="Times New Roman;Times;serif"/>
          <w:sz w:val="20"/>
        </w:rPr>
        <w:t>”), the Company shall deliver written notice to the Holder (each, an “</w:t>
      </w:r>
      <w:r>
        <w:rPr>
          <w:rFonts w:ascii="Times New Roman;Times;serif" w:hAnsi="Times New Roman;Times;serif"/>
          <w:b/>
          <w:sz w:val="20"/>
        </w:rPr>
        <w:t>Equity Line Mandatory Redemption Notice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Equity Line Mandatory Redemption Notice shall specify (i) the aggregate net proceeds (less any reasonable and documented legal fees and expenses) of all Equity Line Transactions in the prior calendar week (each, an “</w:t>
      </w:r>
      <w:r>
        <w:rPr>
          <w:rFonts w:ascii="Times New Roman;Times;serif" w:hAnsi="Times New Roman;Times;serif"/>
          <w:b/>
          <w:sz w:val="20"/>
        </w:rPr>
        <w:t>Equity Line Proceeds Amount</w:t>
      </w:r>
      <w:r>
        <w:rPr>
          <w:rFonts w:ascii="Times New Roman;Times;serif" w:hAnsi="Times New Roman;Times;serif"/>
          <w:sz w:val="20"/>
        </w:rPr>
        <w:t>”), (ii) the Holder’s Holder Pro Rata Amount of 50% of such Equity Line Proceeds Amount, (iii) the date of such Equity Line Mandatory Redemption (each, an “</w:t>
      </w:r>
      <w:r>
        <w:rPr>
          <w:rFonts w:ascii="Times New Roman;Times;serif" w:hAnsi="Times New Roman;Times;serif"/>
          <w:b/>
          <w:sz w:val="20"/>
        </w:rPr>
        <w:t>Equity Line Mandatory Redemption Date</w:t>
      </w:r>
      <w:r>
        <w:rPr>
          <w:rFonts w:ascii="Times New Roman;Times;serif" w:hAnsi="Times New Roman;Times;serif"/>
          <w:sz w:val="20"/>
        </w:rPr>
        <w:t xml:space="preserve">”), which shall be the first (1st) Business Day after such applicable Equity Mandatory Redemption Notice Date, and (iv) the Conversion Amount of this Note (with an Equity Line Mandatory Redemption Price not in excess of such applicable Equity Line Mandatory Redemption Amount) subject to such Equity Line Mandatory Redemption and the Equity Line Mandatory Redemption Price with respect thereto (including reasonable calculations with respect thereto). Unless waived in writing by the Holder, on the applicable Equity Line Mandatory Redemption Date, the portion of the Conversion Amount of this Note subject to redemption pursuant to this </w:t>
      </w:r>
      <w:r>
        <w:rPr>
          <w:rFonts w:ascii="Times New Roman;Times;serif" w:hAnsi="Times New Roman;Times;serif"/>
          <w:sz w:val="20"/>
          <w:u w:val="single"/>
        </w:rPr>
        <w:t>Section 9</w:t>
      </w:r>
      <w:r>
        <w:rPr>
          <w:rFonts w:ascii="Times New Roman;Times;serif" w:hAnsi="Times New Roman;Times;serif"/>
          <w:sz w:val="20"/>
        </w:rPr>
        <w:t xml:space="preserve"> shall be redeemed by the Company in cash at a price equal to the Equity Line Mandatory Redemption Amount (the “</w:t>
      </w:r>
      <w:r>
        <w:rPr>
          <w:rFonts w:ascii="Times New Roman;Times;serif" w:hAnsi="Times New Roman;Times;serif"/>
          <w:b/>
          <w:sz w:val="20"/>
        </w:rPr>
        <w:t>Equity Line Mandatory Redemption Price</w:t>
      </w:r>
      <w:r>
        <w:rPr>
          <w:rFonts w:ascii="Times New Roman;Times;serif" w:hAnsi="Times New Roman;Times;serif"/>
          <w:sz w:val="20"/>
        </w:rPr>
        <w:t xml:space="preserve">”), without the requirement for any notice or demand or other action by the Holder or any other Person. Redemptions required by this </w:t>
      </w:r>
      <w:r>
        <w:rPr>
          <w:rFonts w:ascii="Times New Roman;Times;serif" w:hAnsi="Times New Roman;Times;serif"/>
          <w:sz w:val="20"/>
          <w:u w:val="single"/>
        </w:rPr>
        <w:t>Section 9</w:t>
      </w:r>
      <w:r>
        <w:rPr>
          <w:rFonts w:ascii="Times New Roman;Times;serif" w:hAnsi="Times New Roman;Times;serif"/>
          <w:sz w:val="20"/>
        </w:rPr>
        <w:t xml:space="preserve"> shall be made in accordance with the provisions of </w:t>
      </w:r>
      <w:r>
        <w:rPr>
          <w:rFonts w:ascii="Times New Roman;Times;serif" w:hAnsi="Times New Roman;Times;serif"/>
          <w:sz w:val="20"/>
          <w:u w:val="single"/>
        </w:rPr>
        <w:t>Section 12</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u w:val="single"/>
        </w:rPr>
        <w:t>NONCIRCUMVENTION</w:t>
      </w:r>
      <w:r>
        <w:rPr>
          <w:rFonts w:ascii="Times New Roman;Times;serif" w:hAnsi="Times New Roman;Times;serif"/>
          <w:sz w:val="20"/>
        </w:rPr>
        <w:t xml:space="preserve">. The Company hereby covenants and agrees that the Company will not, by amendment of its Articles of Association (as defined in the Securities Purchase Agreement) or Memorandum of Association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Ordinary Shares or change the ratio of Ordinary Shares to ADSs, as applicable, such that the par value of the Ordinary Shares underlying an ADS receivable upon conversion of this Note would exceed the Conversion Price then in effect, and (b) shall take all such actions as may be necessary or appropriate in order that the Company may validly and legally issue fully paid and nonassessable Ordinary Shares and ADSs upon the conversion of this Note. Notwithstanding anything herein to the contrary, if after the sixty (60) calendar day anniversary of the Issuance Date, the Holder is not permitted to convert this Note in full for any reason (other than pursuant to restrictions set forth in </w:t>
      </w:r>
      <w:r>
        <w:rPr>
          <w:rFonts w:ascii="Times New Roman;Times;serif" w:hAnsi="Times New Roman;Times;serif"/>
          <w:sz w:val="20"/>
          <w:u w:val="single"/>
        </w:rPr>
        <w:t>Section 3(d)</w:t>
      </w:r>
      <w:r>
        <w:rPr>
          <w:rFonts w:ascii="Times New Roman;Times;serif" w:hAnsi="Times New Roman;Times;serif"/>
          <w:sz w:val="20"/>
        </w:rPr>
        <w:t xml:space="preserve"> hereof), the Company shall use its best efforts to promptly remedy such failure, including, without limitation, obtaining such consents or approvals as necessary to permit such conversion into Ordinary Shares and/or ADSs, as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38" w:type="dxa"/>
        <w:jc w:val="left"/>
        <w:tblInd w:w="0" w:type="dxa"/>
        <w:tblLayout w:type="fixed"/>
        <w:tblCellMar>
          <w:top w:w="0" w:type="dxa"/>
          <w:left w:w="0" w:type="dxa"/>
          <w:bottom w:w="0" w:type="dxa"/>
          <w:right w:w="0" w:type="dxa"/>
        </w:tblCellMar>
      </w:tblPr>
      <w:tblGrid>
        <w:gridCol w:w="23"/>
        <w:gridCol w:w="275"/>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w:t>
            </w:r>
          </w:p>
        </w:tc>
        <w:tc>
          <w:tcPr>
            <w:tcW w:w="37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RESERVATION OF AUTHORIZED SHARES</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Reservation</w:t>
      </w:r>
      <w:r>
        <w:rPr>
          <w:rFonts w:ascii="Times New Roman;Times;serif" w:hAnsi="Times New Roman;Times;serif"/>
          <w:sz w:val="20"/>
        </w:rPr>
        <w:t>. So long as any Notes remain outstanding, the Company shall at all times reserve at least 100% of the number of Ordinary Shares (and shall keep available under the ADS Registration Statements 100% of such aggregate number of ADSs), in each case, as shall from time to time be necessary to effect the conversion, including without limitation, Alternate Conversions, of all of the Notes then outstanding (without regard to any limitations on conversions and assuming such Notes remain outstanding until the Maturity Date) at the Floor Price then in effect (the “</w:t>
      </w:r>
      <w:r>
        <w:rPr>
          <w:rFonts w:ascii="Times New Roman;Times;serif" w:hAnsi="Times New Roman;Times;serif"/>
          <w:b/>
          <w:sz w:val="20"/>
        </w:rPr>
        <w:t>Required Reserve Amount</w:t>
      </w:r>
      <w:r>
        <w:rPr>
          <w:rFonts w:ascii="Times New Roman;Times;serif" w:hAnsi="Times New Roman;Times;serif"/>
          <w:sz w:val="20"/>
        </w:rPr>
        <w:t>”). The Required Reserve Amount (including, without limitation, each increase in the number of shares so reserved) shall be allocated pro rata among the holders of the Notes based on the original principal amount of the Notes held by each holder on the Closing Date or increase in the number of reserved shares, as the case may be (the “</w:t>
      </w:r>
      <w:r>
        <w:rPr>
          <w:rFonts w:ascii="Times New Roman;Times;serif" w:hAnsi="Times New Roman;Times;serif"/>
          <w:b/>
          <w:sz w:val="20"/>
        </w:rPr>
        <w:t>Authorized Share Allocation</w:t>
      </w:r>
      <w:r>
        <w:rPr>
          <w:rFonts w:ascii="Times New Roman;Times;serif" w:hAnsi="Times New Roman;Times;serif"/>
          <w:sz w:val="20"/>
        </w:rPr>
        <w:t>”). In the event that a holder shall sell or otherwise transfer any of such holder’s Notes, each transferee shall be allocated a pro rata portion of such holder’s Authorized Share Allocation. Any Ordinary Shares reserved and allocated to any Person which ceases to hold any Notes shall be allocated to the remaining holders of Notes, pro rata based on the principal amount of the Notes then held by such holders.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Insufficient Authorized Shares</w:t>
      </w:r>
      <w:r>
        <w:rPr>
          <w:rFonts w:ascii="Times New Roman;Times;serif" w:hAnsi="Times New Roman;Times;serif"/>
          <w:sz w:val="20"/>
        </w:rPr>
        <w:t xml:space="preserve">. If, notwithstanding </w:t>
      </w:r>
      <w:r>
        <w:rPr>
          <w:rFonts w:ascii="Times New Roman;Times;serif" w:hAnsi="Times New Roman;Times;serif"/>
          <w:sz w:val="20"/>
          <w:u w:val="single"/>
        </w:rPr>
        <w:t>Section 11(a)</w:t>
      </w:r>
      <w:r>
        <w:rPr>
          <w:rFonts w:ascii="Times New Roman;Times;serif" w:hAnsi="Times New Roman;Times;serif"/>
          <w:sz w:val="20"/>
        </w:rPr>
        <w:t>, and not in limitation thereof, at any time while any of the Notes remain outstanding the Company does not have a sufficient number of authorized and unreserved Ordinary Shares equal to the Required Reserve Amount (an “</w:t>
      </w:r>
      <w:r>
        <w:rPr>
          <w:rFonts w:ascii="Times New Roman;Times;serif" w:hAnsi="Times New Roman;Times;serif"/>
          <w:b/>
          <w:sz w:val="20"/>
        </w:rPr>
        <w:t>Authorized Share Failure</w:t>
      </w:r>
      <w:r>
        <w:rPr>
          <w:rFonts w:ascii="Times New Roman;Times;serif" w:hAnsi="Times New Roman;Times;serif"/>
          <w:sz w:val="20"/>
        </w:rPr>
        <w:t>”) (and/or have available ADSs under one or more effective registration statements on Form F-6, which may be the ADS Registration Statements, as applicable, to cover 100% of the Conversion ADSs issuable upon conversion of the Notes outstanding), then the Company shall immediately take all action necessary to increase the Company’s authorized Ordinary Shares to an amount equal to the Required Reserve Amount and/or to either file an amendment to the ADS Registration Statements or file a new Registration Statement on Form F-6, as necessary, to cure such failure. Without limiting the generality of the foregoing sentence, as soon as practicable after the date of the occurrence of an Authorized Share Failure, but in no event later than sixty (60) days after the occurrence of such Authorized Share Failure, (i) if with respect to Ordinary Shares, the Company shall hold a meeting of its shareholders for the approval of an increase in the number of authorized Ordinary Shares or (ii) if with respect to ADSs, the Company shall either file an amendment to the ADS Registration Statements to increase the aggregate number of ADSs issuable thereunder or file a new Registration Statement on Form F-6, as necessary. In connection with any such shareholder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 In the event that the Company is prohibited from issuing Ordinary Shares or ADSs pursuant to the terms of this Note due to the failure by the Company to have sufficient Ordinary Shares available out of the authorized but unissued Ordinary Shares or ADSs available for issuance pursuant to the Deposit Agreement then in effect (such unavailable number of ADSs related thereto, the “</w:t>
      </w:r>
      <w:r>
        <w:rPr>
          <w:rFonts w:ascii="Times New Roman;Times;serif" w:hAnsi="Times New Roman;Times;serif"/>
          <w:b/>
          <w:sz w:val="20"/>
        </w:rPr>
        <w:t>Authorized Failure Shares</w:t>
      </w:r>
      <w:r>
        <w:rPr>
          <w:rFonts w:ascii="Times New Roman;Times;serif" w:hAnsi="Times New Roman;Times;serif"/>
          <w:sz w:val="20"/>
        </w:rPr>
        <w:t xml:space="preserve">”), as applicable,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ADSs on any Trading Day during the period commencing on the date the Holder delivers the applicable Conversion Notice with respect to such Authorized Failure Shares to the Company and ending on the date of such issuance and payment under this </w:t>
      </w:r>
      <w:r>
        <w:rPr>
          <w:rFonts w:ascii="Times New Roman;Times;serif" w:hAnsi="Times New Roman;Times;serif"/>
          <w:sz w:val="20"/>
          <w:u w:val="single"/>
        </w:rPr>
        <w:t>Section 11(a)</w:t>
      </w:r>
      <w:r>
        <w:rPr>
          <w:rFonts w:ascii="Times New Roman;Times;serif" w:hAnsi="Times New Roman;Times;serif"/>
          <w:sz w:val="20"/>
        </w:rPr>
        <w:t xml:space="preserve">; and (ii) to the extent the Holder purchases (in an open market transaction or otherwise) ADSs to deliver in satisfaction of a sale by the Holder of Authorized Failure Shares, any brokerage commissions and other out-of-pocket expenses, if any, of the Holder incurred in connection therewith. Nothing contained in </w:t>
      </w:r>
      <w:r>
        <w:rPr>
          <w:rFonts w:ascii="Times New Roman;Times;serif" w:hAnsi="Times New Roman;Times;serif"/>
          <w:sz w:val="20"/>
          <w:u w:val="single"/>
        </w:rPr>
        <w:t>Section 11(a)</w:t>
      </w:r>
      <w:r>
        <w:rPr>
          <w:rFonts w:ascii="Times New Roman;Times;serif" w:hAnsi="Times New Roman;Times;serif"/>
          <w:sz w:val="20"/>
        </w:rPr>
        <w:t xml:space="preserve"> or this </w:t>
      </w:r>
      <w:r>
        <w:rPr>
          <w:rFonts w:ascii="Times New Roman;Times;serif" w:hAnsi="Times New Roman;Times;serif"/>
          <w:sz w:val="20"/>
          <w:u w:val="single"/>
        </w:rPr>
        <w:t>Section 11(b)</w:t>
      </w:r>
      <w:r>
        <w:rPr>
          <w:rFonts w:ascii="Times New Roman;Times;serif" w:hAnsi="Times New Roman;Times;serif"/>
          <w:sz w:val="20"/>
        </w:rPr>
        <w:t xml:space="preserve"> shall limit any obligations of the Company under any provision of the Securities Purchase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713" w:type="dxa"/>
        <w:jc w:val="left"/>
        <w:tblInd w:w="0" w:type="dxa"/>
        <w:tblLayout w:type="fixed"/>
        <w:tblCellMar>
          <w:top w:w="0" w:type="dxa"/>
          <w:left w:w="0" w:type="dxa"/>
          <w:bottom w:w="0" w:type="dxa"/>
          <w:right w:w="0" w:type="dxa"/>
        </w:tblCellMar>
      </w:tblPr>
      <w:tblGrid>
        <w:gridCol w:w="23"/>
        <w:gridCol w:w="27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w:t>
            </w:r>
          </w:p>
        </w:tc>
        <w:tc>
          <w:tcPr>
            <w:tcW w:w="14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REDEMPTIONS</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Mechanics</w:t>
      </w:r>
      <w:r>
        <w:rPr>
          <w:rFonts w:ascii="Times New Roman;Times;serif" w:hAnsi="Times New Roman;Times;serif"/>
          <w:sz w:val="20"/>
        </w:rPr>
        <w:t xml:space="preserve">. The Company, or at the Company’s direction, the Trustee, shall deliver the applicable Event of Default Redemption Price to the Holder in cash within five (5) Business Days after the Company’s receipt of the Holder’s Event of Default Redemption Notice. If the Holder has submitted a Change of Control Redemption Notice in accordance with </w:t>
      </w:r>
      <w:r>
        <w:rPr>
          <w:rFonts w:ascii="Times New Roman;Times;serif" w:hAnsi="Times New Roman;Times;serif"/>
          <w:sz w:val="20"/>
          <w:u w:val="single"/>
        </w:rPr>
        <w:t>Section 5(b)</w:t>
      </w:r>
      <w:r>
        <w:rPr>
          <w:rFonts w:ascii="Times New Roman;Times;serif" w:hAnsi="Times New Roman;Times;serif"/>
          <w:sz w:val="20"/>
        </w:rPr>
        <w:t xml:space="preserve">, the Company, or at the Company’s direction, the Trustee,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or at the Company’s direction, the Trustee, shall deliver the applicable Company Optional Redemption Price to the Holder in cash on the applicable Company Optional Redemption Date. The Company shall deliver the applicable Equity Line Mandatory Redemption Price to the Holder in cash on the applicable Equity Line Mandatory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w:t>
      </w:r>
      <w:r>
        <w:rPr>
          <w:rFonts w:ascii="Times New Roman;Times;serif" w:hAnsi="Times New Roman;Times;serif"/>
          <w:sz w:val="20"/>
          <w:u w:val="single"/>
        </w:rPr>
        <w:t>Section 18(d)</w:t>
      </w:r>
      <w:r>
        <w:rPr>
          <w:rFonts w:ascii="Times New Roman;Times;serif" w:hAnsi="Times New Roman;Times;serif"/>
          <w:sz w:val="20"/>
        </w:rPr>
        <w:t xml:space="preserve">)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w:t>
      </w:r>
      <w:r>
        <w:rPr>
          <w:rFonts w:ascii="Times New Roman;Times;serif" w:hAnsi="Times New Roman;Times;serif"/>
          <w:sz w:val="20"/>
          <w:u w:val="single"/>
        </w:rPr>
        <w:t>Section 18(d)</w:t>
      </w:r>
      <w:r>
        <w:rPr>
          <w:rFonts w:ascii="Times New Roman;Times;serif" w:hAnsi="Times New Roman;Times;serif"/>
          <w:sz w:val="20"/>
        </w:rPr>
        <w:t xml:space="preserve">), to the Holder, and in each case the principal amount of this Note or such new Note (as the case may be) shall be increased by an amount equal to the difference between (1) the applicable Redemption Price (as the case may be, and as adjusted pursuant to this </w:t>
      </w:r>
      <w:r>
        <w:rPr>
          <w:rFonts w:ascii="Times New Roman;Times;serif" w:hAnsi="Times New Roman;Times;serif"/>
          <w:sz w:val="20"/>
          <w:u w:val="single"/>
        </w:rPr>
        <w:t>Section 12</w:t>
      </w:r>
      <w:r>
        <w:rPr>
          <w:rFonts w:ascii="Times New Roman;Times;serif" w:hAnsi="Times New Roman;Times;serif"/>
          <w:sz w:val="20"/>
        </w:rPr>
        <w:t>, if applicable)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75% of the lowest Closing Bid Price of the ADSs during the period beginning on and including the date on which the applicable Redemption Notice is delivered to the Company and ending on and including the date on which the applicable Redemption Notice is voided and (C) 75% of the quotient of (I) the sum of the five (5) lowest VWAPs of the ADSs during the twenty (20) consecutive Trading Day period ending and including the applicable Conversion Date divided by (II) five (5) (it being understood and agreed that all such determinations shall be appropriately adjusted for any share dividend, share split, share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Redemption by Other Holders</w:t>
      </w:r>
      <w:r>
        <w:rPr>
          <w:rFonts w:ascii="Times New Roman;Times;serif" w:hAnsi="Times New Roman;Times;serif"/>
          <w:sz w:val="20"/>
        </w:rPr>
        <w:t xml:space="preserve">. Upon the Company’s receipt of notice from any of the holders of the Other Notes for redemption or repayment as a result of an event or occurrence substantially similar to the events or occurrences described in </w:t>
      </w:r>
      <w:r>
        <w:rPr>
          <w:rFonts w:ascii="Times New Roman;Times;serif" w:hAnsi="Times New Roman;Times;serif"/>
          <w:sz w:val="20"/>
          <w:u w:val="single"/>
        </w:rPr>
        <w:t>Section 4(b)</w:t>
      </w:r>
      <w:r>
        <w:rPr>
          <w:rFonts w:ascii="Times New Roman;Times;serif" w:hAnsi="Times New Roman;Times;serif"/>
          <w:sz w:val="20"/>
        </w:rPr>
        <w:t xml:space="preserve"> or </w:t>
      </w:r>
      <w:r>
        <w:rPr>
          <w:rFonts w:ascii="Times New Roman;Times;serif" w:hAnsi="Times New Roman;Times;serif"/>
          <w:sz w:val="20"/>
          <w:u w:val="single"/>
        </w:rPr>
        <w:t>Section 5(b)</w:t>
      </w:r>
      <w:r>
        <w:rPr>
          <w:rFonts w:ascii="Times New Roman;Times;serif" w:hAnsi="Times New Roman;Times;serif"/>
          <w:sz w:val="20"/>
        </w:rPr>
        <w:t xml:space="preserve"> (each, an “</w:t>
      </w:r>
      <w:r>
        <w:rPr>
          <w:rFonts w:ascii="Times New Roman;Times;serif" w:hAnsi="Times New Roman;Times;serif"/>
          <w:b/>
          <w:sz w:val="20"/>
        </w:rPr>
        <w:t>Other Redemption Notice</w:t>
      </w:r>
      <w:r>
        <w:rPr>
          <w:rFonts w:ascii="Times New Roman;Times;serif" w:hAnsi="Times New Roman;Times;serif"/>
          <w:sz w:val="20"/>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VOTING RIGHTS</w:t>
      </w:r>
      <w:r>
        <w:rPr>
          <w:rFonts w:ascii="Times New Roman;Times;serif" w:hAnsi="Times New Roman;Times;serif"/>
          <w:sz w:val="20"/>
        </w:rPr>
        <w:t>. The Holder shall have no voting rights as the holder of this Note, except as required by law (including, without limitation, the Companies Act (As Revised) of the Cayman Islands) and as expressly provided in this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u w:val="single"/>
        </w:rPr>
        <w:t>COVENANTS</w:t>
      </w:r>
      <w:r>
        <w:rPr>
          <w:rFonts w:ascii="Times New Roman;Times;serif" w:hAnsi="Times New Roman;Times;serif"/>
          <w:sz w:val="20"/>
        </w:rPr>
        <w:t>.Until all of the Notes have been converted, redeemed or otherwise satisfied in accordance with their terms: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Incurrence of Indebtedness</w:t>
      </w:r>
      <w:r>
        <w:rPr>
          <w:rFonts w:ascii="Times New Roman;Times;serif" w:hAnsi="Times New Roman;Times;serif"/>
          <w:sz w:val="20"/>
        </w:rPr>
        <w:t>. At any time any Initial Notes (as defined in the Securities Purchase Agreement) remain outstanding, the Company shall not issue any Indebtedness senior to the Initial Notes.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Restriction on Cash Dividends</w:t>
      </w:r>
      <w:r>
        <w:rPr>
          <w:rFonts w:ascii="Times New Roman;Times;serif" w:hAnsi="Times New Roman;Times;serif"/>
          <w:sz w:val="20"/>
        </w:rPr>
        <w:t>. The Company shall not, and the Company shall cause each of its Subsidiaries to not, declare or pay any cash dividend during the period commencing from the Initial Closing Date (as defined in the Securities Purchase Agreement) until the last Closing to occur under the Securities Purchase Agreement on any of its share capital without the prior written consent of the Holder.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Restriction on Transfer of Assets</w:t>
      </w:r>
      <w:r>
        <w:rPr>
          <w:rFonts w:ascii="Times New Roman;Times;serif" w:hAnsi="Times New Roman;Times;serif"/>
          <w:sz w:val="20"/>
        </w:rPr>
        <w:t>. Except in connection with the Lotus UK Acquisition,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or is otherwise not material to the operation of the Company as a whole, and (ii) sales of inventory and product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Acceleration of Indebtedness</w:t>
      </w:r>
      <w:r>
        <w:rPr>
          <w:rFonts w:ascii="Times New Roman;Times;serif" w:hAnsi="Times New Roman;Times;serif"/>
          <w:sz w:val="20"/>
        </w:rPr>
        <w:t>. The Company shall not, and the Company shall cause each of its Subsidiaries to not, directly or indirectly, permit any Indebtedness of the Company or any of its Subsidiaries to accelerate prior to the Maturity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Change in Nature of Business</w:t>
      </w:r>
      <w:r>
        <w:rPr>
          <w:rFonts w:ascii="Times New Roman;Times;serif" w:hAnsi="Times New Roman;Times;serif"/>
          <w:sz w:val="20"/>
        </w:rPr>
        <w:t>. The Company shall not, and the Company shall cause each of its Significant Subsidiaries to not, directly or indirectly, engage in any material line of business substantially different from those lines of business conducted by or publicly contemplated to be conducted by the Company and each of its Significant Subsidiaries on the Subscription Date or any business substantially related or incidental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Preservation of Existence, Etc.</w:t>
      </w:r>
      <w:r>
        <w:rPr>
          <w:rFonts w:ascii="Times New Roman;Times;serif" w:hAnsi="Times New Roman;Times;serif"/>
          <w:sz w:val="20"/>
        </w:rPr>
        <w:t xml:space="preserve"> The Company shall maintain and preserve, and cause each of its Significant Subsidiaries to maintain and preserve, its existence, rights and privileges, and become or remain, and cause each of its Significant Subsidiaries to become or remain, duly qualified and in good standing in each jurisdiction in which the character of the properties owned or leased by it or in which the transaction of its business makes such qualification necessary, except in the case such qualification would not cause a Material Adverse Effect (as defined in the Securities Purchase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Maintenance of Intellectual Property</w:t>
      </w:r>
      <w:r>
        <w:rPr>
          <w:rFonts w:ascii="Times New Roman;Times;serif" w:hAnsi="Times New Roman;Times;serif"/>
          <w:sz w:val="20"/>
        </w:rPr>
        <w:t>.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Maintenance of Insurance</w:t>
      </w:r>
      <w:r>
        <w:rPr>
          <w:rFonts w:ascii="Times New Roman;Times;serif" w:hAnsi="Times New Roman;Times;serif"/>
          <w:sz w:val="20"/>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Transactions with Affiliates</w:t>
      </w:r>
      <w:r>
        <w:rPr>
          <w:rFonts w:ascii="Times New Roman;Times;serif" w:hAnsi="Times New Roman;Times;serif"/>
          <w:sz w:val="20"/>
        </w:rPr>
        <w:t>. Except in connection with the Lotus UK Acquisition,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Affiliate Transactions and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Restricted Issuances</w:t>
      </w:r>
      <w:r>
        <w:rPr>
          <w:rFonts w:ascii="Times New Roman;Times;serif" w:hAnsi="Times New Roman;Times;serif"/>
          <w:sz w:val="20"/>
        </w:rPr>
        <w:t>. The Company shall not, directly or indirectly, without the prior written consent of the holders of a majority in aggregate principal amount of the Notes then outstanding, (i) issue any Notes (other than as contemplated by the Securities Purchase Agreement and the Notes) or (ii) issue any other securities that would cause a breach or default under the Notes.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Stay, Extension and Usury Laws</w:t>
      </w:r>
      <w:r>
        <w:rPr>
          <w:rFonts w:ascii="Times New Roman;Times;serif" w:hAnsi="Times New Roman;Times;serif"/>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Taxes</w:t>
      </w:r>
      <w:r>
        <w:rPr>
          <w:rFonts w:ascii="Times New Roman;Times;serif" w:hAnsi="Times New Roman;Times;serif"/>
          <w:sz w:val="20"/>
        </w:rPr>
        <w:t>. The Company and its Significant Subsidiaries shall pay when due all taxes, fees or other charges of any nature whatsoever (together with any related interest or penalties) now or hereafter imposed or assessed against the Company and its Significant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Significant Subsidiaries). The Company and its Significant Subsidiaries shall file on or before the due date therefor all personal property tax returns (except where the failure to file would not, individually or in the aggregate, have a material effect on the Company or any of its Significant Subsidiaries). Notwithstanding the foregoing, the Company and its Significant Subsidiaries may contest, in good faith and by appropriate proceedings, taxes for which they maintain adequate reserves therefor in accordance with GAAP.</w:t>
      </w:r>
    </w:p>
    <w:tbl>
      <w:tblPr>
        <w:tblW w:w="5118" w:type="dxa"/>
        <w:jc w:val="left"/>
        <w:tblInd w:w="0" w:type="dxa"/>
        <w:tblLayout w:type="fixed"/>
        <w:tblCellMar>
          <w:top w:w="0" w:type="dxa"/>
          <w:left w:w="0" w:type="dxa"/>
          <w:bottom w:w="0" w:type="dxa"/>
          <w:right w:w="0" w:type="dxa"/>
        </w:tblCellMar>
      </w:tblPr>
      <w:tblGrid>
        <w:gridCol w:w="23"/>
        <w:gridCol w:w="290"/>
        <w:gridCol w:w="480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w:t>
            </w:r>
          </w:p>
        </w:tc>
        <w:tc>
          <w:tcPr>
            <w:tcW w:w="48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Financial Covenants; Announcement of Operating Results</w:t>
            </w:r>
            <w:r>
              <w:rPr>
                <w:rFonts w:ascii="Times New Roman;Times;serif" w:hAnsi="Times New Roman;Times;serif"/>
                <w:sz w:val="20"/>
              </w:rPr>
              <w:t>.</w:t>
            </w:r>
          </w:p>
        </w:tc>
      </w:tr>
    </w:tbl>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(i)The Company shall maintain, as of the end of each Fiscal Quarter (and/or Fiscal Year, as applicable) a balance of Available Cash in an aggregate amount equal to or exceed, as applicable, $20,000,000 (the “</w:t>
      </w:r>
      <w:r>
        <w:rPr>
          <w:rFonts w:ascii="Times New Roman;Times;serif" w:hAnsi="Times New Roman;Times;serif"/>
          <w:b/>
          <w:sz w:val="20"/>
        </w:rPr>
        <w:t>Financial Test</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Operating Results Announcement</w:t>
      </w:r>
      <w:r>
        <w:rPr>
          <w:rFonts w:ascii="Times New Roman;Times;serif" w:hAnsi="Times New Roman;Times;serif"/>
          <w:sz w:val="20"/>
        </w:rPr>
        <w:t>. Commencing on the Issuance Date, the Company shall publicly disclose and disseminate (such date, the “</w:t>
      </w:r>
      <w:r>
        <w:rPr>
          <w:rFonts w:ascii="Times New Roman;Times;serif" w:hAnsi="Times New Roman;Times;serif"/>
          <w:b/>
          <w:sz w:val="20"/>
        </w:rPr>
        <w:t>Announcement Date</w:t>
      </w:r>
      <w:r>
        <w:rPr>
          <w:rFonts w:ascii="Times New Roman;Times;serif" w:hAnsi="Times New Roman;Times;serif"/>
          <w:sz w:val="20"/>
        </w:rPr>
        <w:t>”), if the Financial Test fails to be satisfied (each such failure, a “</w:t>
      </w:r>
      <w:r>
        <w:rPr>
          <w:rFonts w:ascii="Times New Roman;Times;serif" w:hAnsi="Times New Roman;Times;serif"/>
          <w:b/>
          <w:sz w:val="20"/>
        </w:rPr>
        <w:t>Financial Covenant Failure</w:t>
      </w:r>
      <w:r>
        <w:rPr>
          <w:rFonts w:ascii="Times New Roman;Times;serif" w:hAnsi="Times New Roman;Times;serif"/>
          <w:sz w:val="20"/>
        </w:rPr>
        <w:t>”), a statement to that effect no later than the thirtieth (30</w:t>
      </w:r>
      <w:r>
        <w:rPr>
          <w:rFonts w:ascii="Times New Roman;Times;serif" w:hAnsi="Times New Roman;Times;serif"/>
          <w:sz w:val="15"/>
        </w:rPr>
        <w:t>th</w:t>
      </w:r>
      <w:r>
        <w:rPr>
          <w:rFonts w:ascii="Times New Roman;Times;serif" w:hAnsi="Times New Roman;Times;serif"/>
          <w:sz w:val="20"/>
        </w:rPr>
        <w:t>) day after the end of such Fiscal Quarter or Fiscal Year, as applicable, and such announcement shall include a statement to the effect that a Financial Covenant Failure by the Company exists (or does not exist, as applicable) for such Fiscal Quarter. On the Announcement Date, the Company shall also provide to the Holder a certification, executed on behalf of the Company by the Chief Financial Officer of the Company, certifying that the Company satisfied the Financial Test for such Fiscal Quarter or Fiscal Year, as applicable, if that is the case. If a Financial Covenant Failure by the Company exists for a Fiscal Quarter, the Company shall provide to the Holders a written certification on or prior to the Announcement Date, executed on behalf of the Company by the Chief Financial Officer of the Company, certifying that a Financial Covenant Failure exists for such Fiscal Quarter or Fiscal Year, as applicable (a “</w:t>
      </w:r>
      <w:r>
        <w:rPr>
          <w:rFonts w:ascii="Times New Roman;Times;serif" w:hAnsi="Times New Roman;Times;serif"/>
          <w:b/>
          <w:sz w:val="20"/>
        </w:rPr>
        <w:t>Financial Covenant Event Notice</w:t>
      </w:r>
      <w:r>
        <w:rPr>
          <w:rFonts w:ascii="Times New Roman;Times;serif" w:hAnsi="Times New Roman;Times;serif"/>
          <w:sz w:val="20"/>
        </w:rPr>
        <w:t>”). Concurrently with the delivery of each Financial Covenant Event Notice to the Holders, the Company shall also make publicly available (as part of an Annual Report on Form 20-F or on a Report of Foreign Issuer on Form 6-K, or otherwise) the Financial Covenant Event Notice and the fact that an Event of Default has occurred under the Notes.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Most Favored Terms</w:t>
      </w:r>
      <w:r>
        <w:rPr>
          <w:rFonts w:ascii="Times New Roman;Times;serif" w:hAnsi="Times New Roman;Times;serif"/>
          <w:sz w:val="20"/>
        </w:rPr>
        <w:t>. As long as any Notes remain outstanding, no term or condition in any Convertible Securities and/or Options and/or any agreement to acquire Ordinary Shares, Convertible Securities and/or Options or other securities by any Person (each an “</w:t>
      </w:r>
      <w:r>
        <w:rPr>
          <w:rFonts w:ascii="Times New Roman;Times;serif" w:hAnsi="Times New Roman;Times;serif"/>
          <w:b/>
          <w:sz w:val="20"/>
        </w:rPr>
        <w:t>Other Purchaser</w:t>
      </w:r>
      <w:r>
        <w:rPr>
          <w:rFonts w:ascii="Times New Roman;Times;serif" w:hAnsi="Times New Roman;Times;serif"/>
          <w:sz w:val="20"/>
        </w:rPr>
        <w:t>”) of the Company (but excluding any Excluded Securities) or any other related document or agreement with respect thereto (each, a “</w:t>
      </w:r>
      <w:r>
        <w:rPr>
          <w:rFonts w:ascii="Times New Roman;Times;serif" w:hAnsi="Times New Roman;Times;serif"/>
          <w:b/>
          <w:sz w:val="20"/>
        </w:rPr>
        <w:t>Subsequent Document</w:t>
      </w:r>
      <w:r>
        <w:rPr>
          <w:rFonts w:ascii="Times New Roman;Times;serif" w:hAnsi="Times New Roman;Times;serif"/>
          <w:sz w:val="20"/>
        </w:rPr>
        <w:t xml:space="preserve">,” and which, for the avoidance of doubt, shall exclude those entered into prior to the Subscription Date), shall, directly or indirectly, be more favorable to such Other Purchaser than the terms and conditions in </w:t>
      </w:r>
      <w:r>
        <w:rPr>
          <w:rFonts w:ascii="Times New Roman;Times;serif" w:hAnsi="Times New Roman;Times;serif"/>
          <w:sz w:val="20"/>
          <w:u w:val="single"/>
        </w:rPr>
        <w:t>Section 14(m)</w:t>
      </w:r>
      <w:r>
        <w:rPr>
          <w:rFonts w:ascii="Times New Roman;Times;serif" w:hAnsi="Times New Roman;Times;serif"/>
          <w:sz w:val="20"/>
        </w:rPr>
        <w:t xml:space="preserve"> of this Note with respect to financial covenants or similar provisions. If, and whenever on or after the date hereof, the Company enters into a Subsequent Document that contains financial covenants or similar provisions, then (i) the Company shall provide notice thereof to the Holder immediately following the occurrence thereof and (ii) in addition to any other remedies of the Holder in law or equity, </w:t>
      </w:r>
      <w:r>
        <w:rPr>
          <w:rFonts w:ascii="Times New Roman;Times;serif" w:hAnsi="Times New Roman;Times;serif"/>
          <w:sz w:val="20"/>
          <w:u w:val="single"/>
        </w:rPr>
        <w:t>Section 14(m)</w:t>
      </w:r>
      <w:r>
        <w:rPr>
          <w:rFonts w:ascii="Times New Roman;Times;serif" w:hAnsi="Times New Roman;Times;serif"/>
          <w:sz w:val="20"/>
        </w:rPr>
        <w:t xml:space="preserve"> of this Note shall be, without any further action by the Holder or the Company, automatically amended and modified in an economically and legally equivalent manner such that the Holder shall receive the benefit of the more favorable terms and/or conditions (as the case may be) set forth in such Subsequent Document, provided that upon written notice to the Company at any time the Holder may elect not to accept the benefit of any such amended or modified term or condition, in which event the term or condition contained in </w:t>
      </w:r>
      <w:r>
        <w:rPr>
          <w:rFonts w:ascii="Times New Roman;Times;serif" w:hAnsi="Times New Roman;Times;serif"/>
          <w:sz w:val="20"/>
          <w:u w:val="single"/>
        </w:rPr>
        <w:t>Section 14(m)</w:t>
      </w:r>
      <w:r>
        <w:rPr>
          <w:rFonts w:ascii="Times New Roman;Times;serif" w:hAnsi="Times New Roman;Times;serif"/>
          <w:sz w:val="20"/>
        </w:rPr>
        <w:t xml:space="preserve"> of this Note shall apply to the Holder as it was in effect immediately prior to such amendment or modification as if such amendment or modification never occurred with respect to the Holder. The provisions of this </w:t>
      </w:r>
      <w:r>
        <w:rPr>
          <w:rFonts w:ascii="Times New Roman;Times;serif" w:hAnsi="Times New Roman;Times;serif"/>
          <w:sz w:val="20"/>
          <w:u w:val="single"/>
        </w:rPr>
        <w:t>Section 14(n)</w:t>
      </w:r>
      <w:r>
        <w:rPr>
          <w:rFonts w:ascii="Times New Roman;Times;serif" w:hAnsi="Times New Roman;Times;serif"/>
          <w:sz w:val="20"/>
        </w:rPr>
        <w:t xml:space="preserve"> shall apply similarly and equally to each Subsequent Document.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Independent Investigation</w:t>
      </w:r>
      <w:r>
        <w:rPr>
          <w:rFonts w:ascii="Times New Roman;Times;serif" w:hAnsi="Times New Roman;Times;serif"/>
          <w:sz w:val="20"/>
        </w:rPr>
        <w:t>. At the written request of the Holder either (x) at the cost of the Company and at any time when an Event of Default has occurred and is continuing, or (y) at the cost of the Company and at any time (but not more than once per year) the Holder reasonably believes an Event of Default may have occurred and is continuing, the Company shall hire an independent, reputable investment bank selected by the Company and approved by the Holder (such approval not to be unreasonably withheld, conditioned or delayed) to investigate as to whether any Event of Default has occurred (the “</w:t>
      </w:r>
      <w:r>
        <w:rPr>
          <w:rFonts w:ascii="Times New Roman;Times;serif" w:hAnsi="Times New Roman;Times;serif"/>
          <w:b/>
          <w:sz w:val="20"/>
        </w:rPr>
        <w:t>Independent Investigator</w:t>
      </w:r>
      <w:r>
        <w:rPr>
          <w:rFonts w:ascii="Times New Roman;Times;serif" w:hAnsi="Times New Roman;Times;serif"/>
          <w:sz w:val="20"/>
        </w:rPr>
        <w:t>”), provided that if the Independent Investigator determines that an Event of Default has not occurred and such request for an investigation by the Holder was unreasonable, the Holder shall bear all reasonable costs incurred in respect of such investigation.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and upon no less than three (3) Business Days’ prior written notice to the Company, inspect all contracts, books, records, personnel, offices and other facilities and properties of the Company and its Subsidiaries as the Independent Investigator reasonably determines as necessary to its investigation.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u w:val="single"/>
        </w:rPr>
        <w:t>DISTRIBUTION OF ASSETS</w:t>
      </w:r>
      <w:r>
        <w:rPr>
          <w:rFonts w:ascii="Times New Roman;Times;serif" w:hAnsi="Times New Roman;Times;serif"/>
          <w:sz w:val="20"/>
        </w:rPr>
        <w:t xml:space="preserve">. In addition to any adjustments pursuant to </w:t>
      </w:r>
      <w:r>
        <w:rPr>
          <w:rFonts w:ascii="Times New Roman;Times;serif" w:hAnsi="Times New Roman;Times;serif"/>
          <w:sz w:val="20"/>
          <w:u w:val="single"/>
        </w:rPr>
        <w:t>Sections 6</w:t>
      </w:r>
      <w:r>
        <w:rPr>
          <w:rFonts w:ascii="Times New Roman;Times;serif" w:hAnsi="Times New Roman;Times;serif"/>
          <w:sz w:val="20"/>
        </w:rPr>
        <w:t xml:space="preserve"> and </w:t>
      </w:r>
      <w:r>
        <w:rPr>
          <w:rFonts w:ascii="Times New Roman;Times;serif" w:hAnsi="Times New Roman;Times;serif"/>
          <w:sz w:val="20"/>
          <w:u w:val="single"/>
        </w:rPr>
        <w:t>7</w:t>
      </w:r>
      <w:r>
        <w:rPr>
          <w:rFonts w:ascii="Times New Roman;Times;serif" w:hAnsi="Times New Roman;Times;serif"/>
          <w:sz w:val="20"/>
        </w:rPr>
        <w:t>, if the Company shall declare or make any dividend or other distributions of its assets (or rights to acquire its assets) to any or all holders of Ordinary Shares or ADSs, as applicable, by way of return of capital or otherwise (including without limitation, any distribution of cash, shares or other securities, property or options by way of a dividend, spin off, reclassification, corporate rearrangement, scheme of arrangement or other similar transaction) (the “</w:t>
      </w:r>
      <w:r>
        <w:rPr>
          <w:rFonts w:ascii="Times New Roman;Times;serif" w:hAnsi="Times New Roman;Times;serif"/>
          <w:b/>
          <w:sz w:val="20"/>
        </w:rPr>
        <w:t>Distributions</w:t>
      </w:r>
      <w:r>
        <w:rPr>
          <w:rFonts w:ascii="Times New Roman;Times;serif" w:hAnsi="Times New Roman;Times;serif"/>
          <w:sz w:val="20"/>
        </w:rPr>
        <w:t>”), then the Holder will be entitled to such Distributions as if the Holder had held the number of ADSs (or underlying Ordinary Shares, as applicable)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Ordinary Shares or ADSs, as applicable,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ADSs or Ordinary Shares, as applicable,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u w:val="single"/>
        </w:rPr>
        <w:t>AMENDING THE TERMS OF THIS NOTE</w:t>
      </w:r>
      <w:r>
        <w:rPr>
          <w:rFonts w:ascii="Times New Roman;Times;serif" w:hAnsi="Times New Roman;Times;serif"/>
          <w:sz w:val="20"/>
        </w:rPr>
        <w:t xml:space="preserve">. Except for </w:t>
      </w:r>
      <w:r>
        <w:rPr>
          <w:rFonts w:ascii="Times New Roman;Times;serif" w:hAnsi="Times New Roman;Times;serif"/>
          <w:sz w:val="20"/>
          <w:u w:val="single"/>
        </w:rPr>
        <w:t>Section 3(d)</w:t>
      </w:r>
      <w:r>
        <w:rPr>
          <w:rFonts w:ascii="Times New Roman;Times;serif" w:hAnsi="Times New Roman;Times;serif"/>
          <w:sz w:val="20"/>
        </w:rPr>
        <w:t xml:space="preserve"> and this </w:t>
      </w:r>
      <w:r>
        <w:rPr>
          <w:rFonts w:ascii="Times New Roman;Times;serif" w:hAnsi="Times New Roman;Times;serif"/>
          <w:sz w:val="20"/>
          <w:u w:val="single"/>
        </w:rPr>
        <w:t>Section 16</w:t>
      </w:r>
      <w:r>
        <w:rPr>
          <w:rFonts w:ascii="Times New Roman;Times;serif" w:hAnsi="Times New Roman;Times;serif"/>
          <w:sz w:val="20"/>
        </w:rPr>
        <w:t>, which may not be amended, modified or waived by the parties hereto, the prior written consent of the Holder shall be required for any change, waiver or amendment to this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u w:val="single"/>
        </w:rPr>
        <w:t>TRANSFER</w:t>
      </w:r>
      <w:r>
        <w:rPr>
          <w:rFonts w:ascii="Times New Roman;Times;serif" w:hAnsi="Times New Roman;Times;serif"/>
          <w:sz w:val="20"/>
        </w:rPr>
        <w:t>. Any Ordinary Shares and/or ADSs issued upon conversion of this Note may be offered, sold, assigned or transferred by the Holder without the consent of the Company. This Note may not be transferred by the Holder to any Person (other than an affiliate, partner, limited partner or member) without the prior written consent of the Company and only upon the execution and delivery to the Company by the transferee of the Leak-Out Agreement as a “Holder” (if not already a Party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u w:val="single"/>
        </w:rPr>
        <w:t>REISSUANCE OF THIS NOTE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Transfer</w:t>
      </w:r>
      <w:r>
        <w:rPr>
          <w:rFonts w:ascii="Times New Roman;Times;serif" w:hAnsi="Times New Roman;Times;serif"/>
          <w:sz w:val="20"/>
        </w:rPr>
        <w:t xml:space="preserve">. If this Note is to be transferred, the Holder shall surrender this Note to the Company, whereupon the Company will forthwith issue and deliver upon the order of the Holder a new Note (in accordance with </w:t>
      </w:r>
      <w:r>
        <w:rPr>
          <w:rFonts w:ascii="Times New Roman;Times;serif" w:hAnsi="Times New Roman;Times;serif"/>
          <w:sz w:val="20"/>
          <w:u w:val="single"/>
        </w:rPr>
        <w:t>Section 18(d)</w:t>
      </w:r>
      <w:r>
        <w:rPr>
          <w:rFonts w:ascii="Times New Roman;Times;serif" w:hAnsi="Times New Roman;Times;serif"/>
          <w:sz w:val="20"/>
        </w:rPr>
        <w:t xml:space="preserve">), registered as the Holder may request, representing the outstanding Principal being transferred by the Holder and, if less than the entire outstanding Principal is being transferred, a new Note (in accordance with </w:t>
      </w:r>
      <w:r>
        <w:rPr>
          <w:rFonts w:ascii="Times New Roman;Times;serif" w:hAnsi="Times New Roman;Times;serif"/>
          <w:sz w:val="20"/>
          <w:u w:val="single"/>
        </w:rPr>
        <w:t>Section 18(d)</w:t>
      </w:r>
      <w:r>
        <w:rPr>
          <w:rFonts w:ascii="Times New Roman;Times;serif" w:hAnsi="Times New Roman;Times;serif"/>
          <w:sz w:val="20"/>
        </w:rPr>
        <w:t xml:space="preserve">) to the Holder representing the outstanding Principal not being transferred. The Holder and any assignee, by acceptance of this Note, acknowledge and agree that, by reason of the provisions of </w:t>
      </w:r>
      <w:r>
        <w:rPr>
          <w:rFonts w:ascii="Times New Roman;Times;serif" w:hAnsi="Times New Roman;Times;serif"/>
          <w:sz w:val="20"/>
          <w:u w:val="single"/>
        </w:rPr>
        <w:t>Section 3(c)(iii)</w:t>
      </w:r>
      <w:r>
        <w:rPr>
          <w:rFonts w:ascii="Times New Roman;Times;serif" w:hAnsi="Times New Roman;Times;serif"/>
          <w:sz w:val="20"/>
        </w:rPr>
        <w:t xml:space="preserve"> following conversion or redemption of any portion of this Note, the outstanding Principal represented by this Note may be less than the Principal stated on the face of this Note.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Lost, Stolen or Mutilated Note</w:t>
      </w:r>
      <w:r>
        <w:rPr>
          <w:rFonts w:ascii="Times New Roman;Times;serif" w:hAnsi="Times New Roman;Times;serif"/>
          <w:sz w:val="20"/>
        </w:rPr>
        <w:t xml:space="preserve">.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upon compliance with Section 2.07 of the Indenture, the Company shall execute and, following authentication of such new Note, deliver to the Holder a new Note (in accordance with </w:t>
      </w:r>
      <w:r>
        <w:rPr>
          <w:rFonts w:ascii="Times New Roman;Times;serif" w:hAnsi="Times New Roman;Times;serif"/>
          <w:sz w:val="20"/>
          <w:u w:val="single"/>
        </w:rPr>
        <w:t>Section 18(d)</w:t>
      </w:r>
      <w:r>
        <w:rPr>
          <w:rFonts w:ascii="Times New Roman;Times;serif" w:hAnsi="Times New Roman;Times;serif"/>
          <w:sz w:val="20"/>
        </w:rPr>
        <w:t>) representing the outstanding Principal.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Note Exchangeable for Different Denominations</w:t>
      </w:r>
      <w:r>
        <w:rPr>
          <w:rFonts w:ascii="Times New Roman;Times;serif" w:hAnsi="Times New Roman;Times;serif"/>
          <w:sz w:val="20"/>
        </w:rPr>
        <w:t xml:space="preserve">. This Note is exchangeable, upon the surrender hereof by the Holder at the principal office of the Company, for a new Note or Notes (in accordance with </w:t>
      </w:r>
      <w:r>
        <w:rPr>
          <w:rFonts w:ascii="Times New Roman;Times;serif" w:hAnsi="Times New Roman;Times;serif"/>
          <w:sz w:val="20"/>
          <w:u w:val="single"/>
        </w:rPr>
        <w:t>Section 18(d)</w:t>
      </w:r>
      <w:r>
        <w:rPr>
          <w:rFonts w:ascii="Times New Roman;Times;serif" w:hAnsi="Times New Roman;Times;serif"/>
          <w:sz w:val="20"/>
        </w:rPr>
        <w:t xml:space="preserve"> and in principal amounts of at least $1,000)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Issuance of New Notes</w:t>
      </w:r>
      <w:r>
        <w:rPr>
          <w:rFonts w:ascii="Times New Roman;Times;serif" w:hAnsi="Times New Roman;Times;serif"/>
          <w:sz w:val="20"/>
        </w:rPr>
        <w:t xml:space="preserve">.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w:t>
      </w:r>
      <w:r>
        <w:rPr>
          <w:rFonts w:ascii="Times New Roman;Times;serif" w:hAnsi="Times New Roman;Times;serif"/>
          <w:sz w:val="20"/>
          <w:u w:val="single"/>
        </w:rPr>
        <w:t>Section 18(a)</w:t>
      </w:r>
      <w:r>
        <w:rPr>
          <w:rFonts w:ascii="Times New Roman;Times;serif" w:hAnsi="Times New Roman;Times;serif"/>
          <w:sz w:val="20"/>
        </w:rPr>
        <w:t xml:space="preserve"> or </w:t>
      </w:r>
      <w:r>
        <w:rPr>
          <w:rFonts w:ascii="Times New Roman;Times;serif" w:hAnsi="Times New Roman;Times;serif"/>
          <w:sz w:val="20"/>
          <w:u w:val="single"/>
        </w:rPr>
        <w:t>Section 18(c)</w:t>
      </w:r>
      <w:r>
        <w:rPr>
          <w:rFonts w:ascii="Times New Roman;Times;serif" w:hAnsi="Times New Roman;Times;serif"/>
          <w:sz w:val="20"/>
        </w:rPr>
        <w:t>,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(v) shall be duly authenticated in accordance with the Indenture and (vi) shall represent accrued and unpaid Interest and Late Charges on the Principal and Interest of this Note, from the Issuance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u w:val="single"/>
        </w:rPr>
        <w:t>REMEDIES, CHARACTERIZATIONS, OTHER OBLIGATIONS, BREACHES AND INJUNCTIVE RELIEF</w:t>
      </w:r>
      <w:r>
        <w:rPr>
          <w:rFonts w:ascii="Times New Roman;Times;serif" w:hAnsi="Times New Roman;Times;serif"/>
          <w:sz w:val="20"/>
        </w:rPr>
        <w:t xml:space="preserve">.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reasonably requested by the Holder to enable the Holder to confirm the Company’s compliance with the terms and conditions of this Note (including, without limitation, compliance with </w:t>
      </w:r>
      <w:r>
        <w:rPr>
          <w:rFonts w:ascii="Times New Roman;Times;serif" w:hAnsi="Times New Roman;Times;serif"/>
          <w:sz w:val="20"/>
          <w:u w:val="single"/>
        </w:rPr>
        <w:t>Section 7</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u w:val="single"/>
        </w:rPr>
        <w:t>PAYMENT OF COLLECTION, ENFORCEMENT AND OTHER COSTS</w:t>
      </w:r>
      <w:r>
        <w:rPr>
          <w:rFonts w:ascii="Times New Roman;Times;serif" w:hAnsi="Times New Roman;Times;serif"/>
          <w:sz w:val="20"/>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u w:val="single"/>
        </w:rPr>
        <w:t>CONSTRUCTION; HEADINGS</w:t>
      </w:r>
      <w:r>
        <w:rPr>
          <w:rFonts w:ascii="Times New Roman;Times;serif" w:hAnsi="Times New Roman;Times;serif"/>
          <w:sz w:val="20"/>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u w:val="single"/>
        </w:rPr>
        <w:t>FAILURE OR INDULGENCE NOT WAIVER</w:t>
      </w:r>
      <w:r>
        <w:rPr>
          <w:rFonts w:ascii="Times New Roman;Times;serif" w:hAnsi="Times New Roman;Times;serif"/>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w:t>
      </w:r>
      <w:r>
        <w:rPr>
          <w:rFonts w:ascii="Times New Roman;Times;serif" w:hAnsi="Times New Roman;Times;serif"/>
          <w:sz w:val="20"/>
          <w:u w:val="single"/>
        </w:rPr>
        <w:t>Section 22</w:t>
      </w:r>
      <w:r>
        <w:rPr>
          <w:rFonts w:ascii="Times New Roman;Times;serif" w:hAnsi="Times New Roman;Times;serif"/>
          <w:sz w:val="20"/>
        </w:rPr>
        <w:t xml:space="preserve"> shall permit any waiver of any provision of </w:t>
      </w:r>
      <w:r>
        <w:rPr>
          <w:rFonts w:ascii="Times New Roman;Times;serif" w:hAnsi="Times New Roman;Times;serif"/>
          <w:sz w:val="20"/>
          <w:u w:val="single"/>
        </w:rPr>
        <w:t>Section 3(d)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u w:val="single"/>
        </w:rPr>
        <w:t>DISPUTE RESOLUTION</w:t>
      </w:r>
      <w:r>
        <w:rPr>
          <w:rFonts w:ascii="Times New Roman;Times;serif" w:hAnsi="Times New Roman;Times;serif"/>
          <w:sz w:val="20"/>
        </w:rPr>
        <w:t>.</w:t>
      </w:r>
    </w:p>
    <w:tbl>
      <w:tblPr>
        <w:tblW w:w="3093" w:type="dxa"/>
        <w:jc w:val="left"/>
        <w:tblInd w:w="0" w:type="dxa"/>
        <w:tblLayout w:type="fixed"/>
        <w:tblCellMar>
          <w:top w:w="0" w:type="dxa"/>
          <w:left w:w="0" w:type="dxa"/>
          <w:bottom w:w="0" w:type="dxa"/>
          <w:right w:w="0" w:type="dxa"/>
        </w:tblCellMar>
      </w:tblPr>
      <w:tblGrid>
        <w:gridCol w:w="23"/>
        <w:gridCol w:w="230"/>
        <w:gridCol w:w="28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28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Submission to Dispute Resolution</w:t>
            </w:r>
            <w:r>
              <w:rPr>
                <w:rFonts w:ascii="Times New Roman;Times;serif" w:hAnsi="Times New Roman;Times;serif"/>
                <w:sz w:val="20"/>
              </w:rPr>
              <w:t>.</w:t>
            </w:r>
          </w:p>
        </w:tc>
      </w:tr>
    </w:tbl>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(i)In the case of a dispute relating to a Closing Bid Price, a Closing Sale Price, a Conversion Price, an Alternate Conversion Price, a Market Price, a Black-Scholes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Market Price, such Black-Scholes Consideration Value, such VWAP or such fair market value, or the arithmetic calculation of such Conversion Rate or such applicable Redemption Price (as the case may be), at any time after the second (2</w:t>
      </w:r>
      <w:r>
        <w:rPr>
          <w:rFonts w:ascii="Times New Roman;Times;serif" w:hAnsi="Times New Roman;Times;serif"/>
          <w:sz w:val="15"/>
        </w:rPr>
        <w:t>nd</w:t>
      </w:r>
      <w:r>
        <w:rPr>
          <w:rFonts w:ascii="Times New Roman;Times;serif" w:hAnsi="Times New Roman;Times;serif"/>
          <w:sz w:val="20"/>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 xml:space="preserve">(ii)The Holder and the Company shall each deliver to such investment bank (A) a copy of the initial dispute submission so delivered in accordance with the first sentence of this </w:t>
      </w:r>
      <w:r>
        <w:rPr>
          <w:rFonts w:ascii="Times New Roman;Times;serif" w:hAnsi="Times New Roman;Times;serif"/>
          <w:sz w:val="20"/>
          <w:u w:val="single"/>
        </w:rPr>
        <w:t>Section 23</w:t>
      </w:r>
      <w:r>
        <w:rPr>
          <w:rFonts w:ascii="Times New Roman;Times;serif" w:hAnsi="Times New Roman;Times;serif"/>
          <w:sz w:val="20"/>
        </w:rPr>
        <w:t xml:space="preserve"> and (B) written documentation supporting its position with respect to such dispute, in each case, no later than 5:00 p.m. (New York time) by the fifth (5</w:t>
      </w:r>
      <w:r>
        <w:rPr>
          <w:rFonts w:ascii="Times New Roman;Times;serif" w:hAnsi="Times New Roman;Times;serif"/>
          <w:sz w:val="15"/>
        </w:rPr>
        <w:t>th</w:t>
      </w:r>
      <w:r>
        <w:rPr>
          <w:rFonts w:ascii="Times New Roman;Times;serif" w:hAnsi="Times New Roman;Times;serif"/>
          <w:sz w:val="20"/>
        </w:rPr>
        <w:t>) Business Day immediately following the date on which the Holder selected such investment bank (the “</w:t>
      </w:r>
      <w:r>
        <w:rPr>
          <w:rFonts w:ascii="Times New Roman;Times;serif" w:hAnsi="Times New Roman;Times;serif"/>
          <w:b/>
          <w:sz w:val="20"/>
        </w:rPr>
        <w:t>Dispute Submission Deadline</w:t>
      </w:r>
      <w:r>
        <w:rPr>
          <w:rFonts w:ascii="Times New Roman;Times;serif" w:hAnsi="Times New Roman;Times;serif"/>
          <w:sz w:val="20"/>
        </w:rPr>
        <w:t>”) (the documents referred to in the immediately preceding clauses (A) and (B) are collectively referred to herein as the “</w:t>
      </w:r>
      <w:r>
        <w:rPr>
          <w:rFonts w:ascii="Times New Roman;Times;serif" w:hAnsi="Times New Roman;Times;serif"/>
          <w:b/>
          <w:sz w:val="20"/>
        </w:rPr>
        <w:t>Required Dispute Documentation</w:t>
      </w:r>
      <w:r>
        <w:rPr>
          <w:rFonts w:ascii="Times New Roman;Times;serif" w:hAnsi="Times New Roman;Times;serif"/>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Miscellaneous</w:t>
      </w:r>
      <w:r>
        <w:rPr>
          <w:rFonts w:ascii="Times New Roman;Times;serif" w:hAnsi="Times New Roman;Times;serif"/>
          <w:sz w:val="20"/>
        </w:rPr>
        <w:t xml:space="preserve">. The Company expressly acknowledges and agrees that (i) this </w:t>
      </w:r>
      <w:r>
        <w:rPr>
          <w:rFonts w:ascii="Times New Roman;Times;serif" w:hAnsi="Times New Roman;Times;serif"/>
          <w:sz w:val="20"/>
          <w:u w:val="single"/>
        </w:rPr>
        <w:t>Section 23</w:t>
      </w:r>
      <w:r>
        <w:rPr>
          <w:rFonts w:ascii="Times New Roman;Times;serif" w:hAnsi="Times New Roman;Times;serif"/>
          <w:sz w:val="20"/>
        </w:rPr>
        <w:t xml:space="preserve"> constitutes an agreement to arbitrate between the Company and the Holder (and constitutes an arbitration agreement) under § 7501, et seq. of the New York Civil Practice Law and Rules (“CPLR”) and that the Holder is authorized to apply for an order to compel arbitration pursuant to CPLR § 7503(a) in order to compel compliance with this </w:t>
      </w:r>
      <w:r>
        <w:rPr>
          <w:rFonts w:ascii="Times New Roman;Times;serif" w:hAnsi="Times New Roman;Times;serif"/>
          <w:sz w:val="20"/>
          <w:u w:val="single"/>
        </w:rPr>
        <w:t>Section 23</w:t>
      </w:r>
      <w:r>
        <w:rPr>
          <w:rFonts w:ascii="Times New Roman;Times;serif" w:hAnsi="Times New Roman;Times;serif"/>
          <w:sz w:val="20"/>
        </w:rPr>
        <w:t xml:space="preserve">, (ii) a dispute relating to a Conversion Price includes, without limitation, disputes as to (A) whether an issuance or sale or deemed issuance or sale of ADSs occurred under </w:t>
      </w:r>
      <w:r>
        <w:rPr>
          <w:rFonts w:ascii="Times New Roman;Times;serif" w:hAnsi="Times New Roman;Times;serif"/>
          <w:sz w:val="20"/>
          <w:u w:val="single"/>
        </w:rPr>
        <w:t>Section 7(a),</w:t>
      </w:r>
      <w:r>
        <w:rPr>
          <w:rFonts w:ascii="Times New Roman;Times;serif" w:hAnsi="Times New Roman;Times;serif"/>
          <w:sz w:val="20"/>
        </w:rPr>
        <w:t xml:space="preserve"> (B) the consideration per share at which an issuance or deemed issuance of ADSs occurred, (C) whether any issuance or sale or deemed issuance or sale of ADSs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w:t>
      </w:r>
      <w:r>
        <w:rPr>
          <w:rFonts w:ascii="Times New Roman;Times;serif" w:hAnsi="Times New Roman;Times;serif"/>
          <w:sz w:val="20"/>
          <w:u w:val="single"/>
        </w:rPr>
        <w:t>Section 23</w:t>
      </w:r>
      <w:r>
        <w:rPr>
          <w:rFonts w:ascii="Times New Roman;Times;serif" w:hAnsi="Times New Roman;Times;serif"/>
          <w:sz w:val="20"/>
        </w:rPr>
        <w:t xml:space="preserve"> to any state or federal court sitting in The City of New York, Borough of Manhattan in lieu of utilizing the procedures set forth in this </w:t>
      </w:r>
      <w:r>
        <w:rPr>
          <w:rFonts w:ascii="Times New Roman;Times;serif" w:hAnsi="Times New Roman;Times;serif"/>
          <w:sz w:val="20"/>
          <w:u w:val="single"/>
        </w:rPr>
        <w:t>Section 23</w:t>
      </w:r>
      <w:r>
        <w:rPr>
          <w:rFonts w:ascii="Times New Roman;Times;serif" w:hAnsi="Times New Roman;Times;serif"/>
          <w:sz w:val="20"/>
        </w:rPr>
        <w:t xml:space="preserve"> and (v) nothing in this </w:t>
      </w:r>
      <w:r>
        <w:rPr>
          <w:rFonts w:ascii="Times New Roman;Times;serif" w:hAnsi="Times New Roman;Times;serif"/>
          <w:sz w:val="20"/>
          <w:u w:val="single"/>
        </w:rPr>
        <w:t>Section 23</w:t>
      </w:r>
      <w:r>
        <w:rPr>
          <w:rFonts w:ascii="Times New Roman;Times;serif" w:hAnsi="Times New Roman;Times;serif"/>
          <w:sz w:val="20"/>
        </w:rPr>
        <w:t xml:space="preserve"> shall limit the Holder from obtaining any injunctive relief or other equitable remedies (including, without limitation, with respect to any matters described in this </w:t>
      </w:r>
      <w:r>
        <w:rPr>
          <w:rFonts w:ascii="Times New Roman;Times;serif" w:hAnsi="Times New Roman;Times;serif"/>
          <w:sz w:val="20"/>
          <w:u w:val="single"/>
        </w:rPr>
        <w:t>Section 23</w:t>
      </w:r>
      <w:r>
        <w:rPr>
          <w:rFonts w:ascii="Times New Roman;Times;serif" w:hAnsi="Times New Roman;Times;serif"/>
          <w:sz w:val="20"/>
        </w:rPr>
        <w:t>).</w:t>
      </w:r>
    </w:p>
    <w:tbl>
      <w:tblPr>
        <w:tblW w:w="3483" w:type="dxa"/>
        <w:jc w:val="left"/>
        <w:tblInd w:w="0" w:type="dxa"/>
        <w:tblLayout w:type="fixed"/>
        <w:tblCellMar>
          <w:top w:w="0" w:type="dxa"/>
          <w:left w:w="0" w:type="dxa"/>
          <w:bottom w:w="0" w:type="dxa"/>
          <w:right w:w="0" w:type="dxa"/>
        </w:tblCellMar>
      </w:tblPr>
      <w:tblGrid>
        <w:gridCol w:w="23"/>
        <w:gridCol w:w="275"/>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24.</w:t>
            </w:r>
          </w:p>
        </w:tc>
        <w:tc>
          <w:tcPr>
            <w:tcW w:w="3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NOTICES; CURRENCY; PAYMENTS</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Notices</w:t>
      </w:r>
      <w:r>
        <w:rPr>
          <w:rFonts w:ascii="Times New Roman;Times;serif" w:hAnsi="Times New Roman;Times;serif"/>
          <w:sz w:val="20"/>
        </w:rPr>
        <w:t>. Whenever notice is required to be given under this Note, unless otherwise provided herein, such notice shall be given in accordance with Section 9(f) of the Securities Purchase Agreement. The Company shall provide the Holder and the Trustee with prompt written notice of all actions taken pursuant to this Note, including in reasonable detail a description of such action and the reason therefore. Without limiting the generality of the foregoing, the Company will give written notice to the Holder and the Trustee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ADSs, (B) with respect to any grant, issuances, or sales of any Options, Convertible Securities or rights to purchase shares, warrants, securities or other property to holders of ADSs or (C)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Currency</w:t>
      </w:r>
      <w:r>
        <w:rPr>
          <w:rFonts w:ascii="Times New Roman;Times;serif" w:hAnsi="Times New Roman;Times;serif"/>
          <w:sz w:val="20"/>
        </w:rPr>
        <w:t>. All dollar amounts referred to in this Note are in United States Dollars (“</w:t>
      </w:r>
      <w:r>
        <w:rPr>
          <w:rFonts w:ascii="Times New Roman;Times;serif" w:hAnsi="Times New Roman;Times;serif"/>
          <w:b/>
          <w:sz w:val="20"/>
        </w:rPr>
        <w:t>U.S. Dollars</w:t>
      </w:r>
      <w:r>
        <w:rPr>
          <w:rFonts w:ascii="Times New Roman;Times;serif" w:hAnsi="Times New Roman;Times;serif"/>
          <w:sz w:val="20"/>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sz w:val="20"/>
        </w:rPr>
        <w:t>Exchange Rate</w:t>
      </w:r>
      <w:r>
        <w:rPr>
          <w:rFonts w:ascii="Times New Roman;Times;serif" w:hAnsi="Times New Roman;Times;serif"/>
          <w:sz w:val="20"/>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Payments</w:t>
      </w:r>
      <w:r>
        <w:rPr>
          <w:rFonts w:ascii="Times New Roman;Times;serif" w:hAnsi="Times New Roman;Times;serif"/>
          <w:sz w:val="20"/>
        </w:rPr>
        <w:t>. Whenever any payment of cash is to be made by the Company to any Person pursuant to this Note, unless otherwise expressly set forth herein, such payment shall be made in lawful money of the United States of America in cash via wire transfer of immediately available funds and the Holder shall provide the Company with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(x) with respect to Principal, when due or (y) with respect to Interest, Late Charges or any other amounts, within two (2) Trading Days, as applicable, shall result in a late charge being incurred and payable by the Company in an amount equal to interest on such amount at the rate of fourteen (14%) per annum from the date such amount was due until the same is paid in full (“</w:t>
      </w:r>
      <w:r>
        <w:rPr>
          <w:rFonts w:ascii="Times New Roman;Times;serif" w:hAnsi="Times New Roman;Times;serif"/>
          <w:b/>
          <w:sz w:val="20"/>
        </w:rPr>
        <w:t>Late Charge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25.</w:t>
      </w:r>
      <w:r>
        <w:rPr>
          <w:rFonts w:ascii="Times New Roman;Times;serif" w:hAnsi="Times New Roman;Times;serif"/>
          <w:sz w:val="20"/>
          <w:u w:val="single"/>
        </w:rPr>
        <w:t>CANCELLATION</w:t>
      </w:r>
      <w:r>
        <w:rPr>
          <w:rFonts w:ascii="Times New Roman;Times;serif" w:hAnsi="Times New Roman;Times;serif"/>
          <w:sz w:val="20"/>
        </w:rPr>
        <w:t>. After all Principal, accrued Interest, Late Charges and other amounts at any time owed on this Note have been paid in full, this Note shall automatically be deemed canceled, shall be surrendered to the Company for cancellation and shall not be reissued.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w:t>
      </w:r>
      <w:r>
        <w:rPr>
          <w:rFonts w:ascii="Times New Roman;Times;serif" w:hAnsi="Times New Roman;Times;serif"/>
          <w:sz w:val="20"/>
          <w:u w:val="single"/>
        </w:rPr>
        <w:t>WAIVER OF NOTICE</w:t>
      </w:r>
      <w:r>
        <w:rPr>
          <w:rFonts w:ascii="Times New Roman;Times;serif" w:hAnsi="Times New Roman;Times;serif"/>
          <w:sz w:val="20"/>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27.</w:t>
      </w:r>
      <w:r>
        <w:rPr>
          <w:rFonts w:ascii="Times New Roman;Times;serif" w:hAnsi="Times New Roman;Times;serif"/>
          <w:sz w:val="20"/>
          <w:u w:val="single"/>
        </w:rPr>
        <w:t>GOVERNING LAW</w:t>
      </w:r>
      <w:r>
        <w:rPr>
          <w:rFonts w:ascii="Times New Roman;Times;serif" w:hAnsi="Times New Roman;Times;serif"/>
          <w:sz w:val="20"/>
        </w:rPr>
        <w:t xml:space="preserve">. This Note shall be construed and enforced in accordance with, and all questions concerning the construction, validity, interpretation and performance of this Note shall be governed by, the internal laws of the State of New York, without giving effect to any provision or rule (whether of the State of New York or any other jurisdictions) that would cause the application of the laws of any jurisdictions other than the State of New York. Except as otherwise required by </w:t>
      </w:r>
      <w:r>
        <w:rPr>
          <w:rFonts w:ascii="Times New Roman;Times;serif" w:hAnsi="Times New Roman;Times;serif"/>
          <w:sz w:val="20"/>
          <w:u w:val="single"/>
        </w:rPr>
        <w:t>Section 23</w:t>
      </w:r>
      <w:r>
        <w:rPr>
          <w:rFonts w:ascii="Times New Roman;Times;serif" w:hAnsi="Times New Roman;Times;serif"/>
          <w:sz w:val="20"/>
        </w:rPr>
        <w:t xml:space="preserve"> above,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23. The Company (on behalf of itself and each of its Subsidiaries) hereby appoints the agent for service of process listed in Schedule 9(a) to the Securities Purchase Agreement, as its agent for service of process in New York. </w:t>
      </w:r>
      <w:r>
        <w:rPr>
          <w:rFonts w:ascii="Times New Roman;Times;serif" w:hAnsi="Times New Roman;Times;serif"/>
          <w:b/>
          <w:sz w:val="20"/>
        </w:rPr>
        <w:t xml:space="preserve">THE COMPANY HEREBY IRREVOCABLY WAIVES ANY RIGHT IT MAY HAVE TO, AND AGREES NOT TO REQUEST, A JURY TRIAL FOR THE ADJUDICATION OF ANY DISPUTE HEREUNDER OR IN CONNECTION WITH OR ARISING OUT OF THIS NOTE OR ANY TRANSACTION CONTEMPLATED HEREBY. </w:t>
      </w:r>
      <w:r>
        <w:rPr>
          <w:rFonts w:ascii="Times New Roman;Times;serif" w:hAnsi="Times New Roman;Times;serif"/>
          <w:sz w:val="20"/>
        </w:rPr>
        <w:t>The choice of the laws of the State of New York as the governing law of this Note is a valid choice of law and would be recognized and given effect to in any action brought before a court of competent jurisdiction in the Cayman Islands, except for those laws (i) which such court considers to be procedural in nature, (ii) which are revenue or penal laws or (iii) the application of which would be inconsistent with public policy, as such term is interpreted under the laws of the Cayman Islands. The choice of laws of the State of New York as the governing law of this Note will be honored by competent courts in the PRC, subject to compliance with relevant PRC civil procedural requirements. The Company or any of their respective properties, assets or revenues does not have any right of immunity under Cayman Islands, the PRC or New York law, from any legal action, suit or proceeding, from the giving of any relief in any such legal action, suit or proceeding, from set-off or counterclaim, from the jurisdiction of any Cayman Islands and the PRC, New York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Note;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Note and the other Transaction Documents.</w:t>
      </w:r>
    </w:p>
    <w:tbl>
      <w:tblPr>
        <w:tblW w:w="2508" w:type="dxa"/>
        <w:jc w:val="left"/>
        <w:tblInd w:w="0" w:type="dxa"/>
        <w:tblLayout w:type="fixed"/>
        <w:tblCellMar>
          <w:top w:w="0" w:type="dxa"/>
          <w:left w:w="0" w:type="dxa"/>
          <w:bottom w:w="0" w:type="dxa"/>
          <w:right w:w="0" w:type="dxa"/>
        </w:tblCellMar>
      </w:tblPr>
      <w:tblGrid>
        <w:gridCol w:w="23"/>
        <w:gridCol w:w="275"/>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28.</w:t>
            </w:r>
          </w:p>
        </w:tc>
        <w:tc>
          <w:tcPr>
            <w:tcW w:w="2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JUDGMENT CURRENCY</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If for the purpose of obtaining or enforcing judgment against the Company in any court in any jurisdiction it becomes necessary to convert into any other currency (such other currency being hereinafter in this </w:t>
      </w:r>
      <w:r>
        <w:rPr>
          <w:rFonts w:ascii="Times New Roman;Times;serif" w:hAnsi="Times New Roman;Times;serif"/>
          <w:sz w:val="20"/>
          <w:u w:val="single"/>
        </w:rPr>
        <w:t>Section 29</w:t>
      </w:r>
      <w:r>
        <w:rPr>
          <w:rFonts w:ascii="Times New Roman;Times;serif" w:hAnsi="Times New Roman;Times;serif"/>
          <w:sz w:val="20"/>
        </w:rPr>
        <w:t xml:space="preserve"> referred to as the “</w:t>
      </w:r>
      <w:r>
        <w:rPr>
          <w:rFonts w:ascii="Times New Roman;Times;serif" w:hAnsi="Times New Roman;Times;serif"/>
          <w:b/>
          <w:sz w:val="20"/>
        </w:rPr>
        <w:t>Judgment Currency</w:t>
      </w:r>
      <w:r>
        <w:rPr>
          <w:rFonts w:ascii="Times New Roman;Times;serif" w:hAnsi="Times New Roman;Times;serif"/>
          <w:sz w:val="20"/>
        </w:rPr>
        <w:t>”) an amount due in U.S. dollars under this Note, the conversion shall be made at the Exchange Rate prevailing on the Trading Day immediately preceding: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(i)the date actual payment of the amount due, in the case of any proceeding in the courts of New York or in the courts of any other jurisdiction that will give effect to such conversion being made on such date: or</w:t>
      </w:r>
    </w:p>
    <w:p>
      <w:pPr>
        <w:pStyle w:val="TextBody"/>
        <w:bidi w:val="0"/>
        <w:spacing w:before="0" w:after="240"/>
        <w:ind w:left="1080" w:right="0" w:firstLine="1080"/>
        <w:jc w:val="both"/>
        <w:rPr>
          <w:rFonts w:ascii="Times New Roman;Times;serif" w:hAnsi="Times New Roman;Times;serif"/>
          <w:sz w:val="20"/>
        </w:rPr>
      </w:pPr>
      <w:r>
        <w:rPr>
          <w:rFonts w:ascii="Times New Roman;Times;serif" w:hAnsi="Times New Roman;Times;serif"/>
          <w:sz w:val="20"/>
        </w:rPr>
        <w:t xml:space="preserve">(ii)the date on which the foreign court determines, in the case of any proceeding in the courts of any other jurisdiction (the date as of which such conversion is made pursuant to this </w:t>
      </w:r>
      <w:r>
        <w:rPr>
          <w:rFonts w:ascii="Times New Roman;Times;serif" w:hAnsi="Times New Roman;Times;serif"/>
          <w:sz w:val="20"/>
          <w:u w:val="single"/>
        </w:rPr>
        <w:t>Section 28(a)(ii)</w:t>
      </w:r>
      <w:r>
        <w:rPr>
          <w:rFonts w:ascii="Times New Roman;Times;serif" w:hAnsi="Times New Roman;Times;serif"/>
          <w:sz w:val="20"/>
        </w:rPr>
        <w:t xml:space="preserve"> being hereinafter referred to as the “</w:t>
      </w:r>
      <w:r>
        <w:rPr>
          <w:rFonts w:ascii="Times New Roman;Times;serif" w:hAnsi="Times New Roman;Times;serif"/>
          <w:b/>
          <w:sz w:val="20"/>
        </w:rPr>
        <w:t>Judgment Conversion Date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If in the case of any proceeding in the court of any jurisdiction referred to in </w:t>
      </w:r>
      <w:r>
        <w:rPr>
          <w:rFonts w:ascii="Times New Roman;Times;serif" w:hAnsi="Times New Roman;Times;serif"/>
          <w:sz w:val="20"/>
          <w:u w:val="single"/>
        </w:rPr>
        <w:t>Section 28(a)(ii)</w:t>
      </w:r>
      <w:r>
        <w:rPr>
          <w:rFonts w:ascii="Times New Roman;Times;serif" w:hAnsi="Times New Roman;Times;serif"/>
          <w:sz w:val="20"/>
        </w:rPr>
        <w:t xml:space="preserve">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amount due from the Company under this provision shall be due as a separate debt and shall not be affected by judgment being obtained for any other amounts due under or in respect of this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29.</w:t>
      </w:r>
      <w:r>
        <w:rPr>
          <w:rFonts w:ascii="Times New Roman;Times;serif" w:hAnsi="Times New Roman;Times;serif"/>
          <w:sz w:val="20"/>
          <w:u w:val="single"/>
        </w:rPr>
        <w:t>SEVERABILITY</w:t>
      </w:r>
      <w:r>
        <w:rPr>
          <w:rFonts w:ascii="Times New Roman;Times;serif" w:hAnsi="Times New Roman;Times;serif"/>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w:t>
      </w:r>
      <w:r>
        <w:rPr>
          <w:rFonts w:ascii="Times New Roman;Times;serif" w:hAnsi="Times New Roman;Times;serif"/>
          <w:sz w:val="20"/>
          <w:u w:val="single"/>
        </w:rPr>
        <w:t>MAXIMUM PAYMENTS</w:t>
      </w:r>
      <w:r>
        <w:rPr>
          <w:rFonts w:ascii="Times New Roman;Times;serif" w:hAnsi="Times New Roman;Times;serif"/>
          <w:sz w:val="20"/>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u w:val="single"/>
        </w:rPr>
        <w:t>CERTAIN DEFINITIONS</w:t>
      </w:r>
      <w:r>
        <w:rPr>
          <w:rFonts w:ascii="Times New Roman;Times;serif" w:hAnsi="Times New Roman;Times;serif"/>
          <w:sz w:val="20"/>
        </w:rPr>
        <w:t>. For purposes of this Note, the following terms shall have the following meanings: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1933 Act</w:t>
      </w:r>
      <w:r>
        <w:rPr>
          <w:rFonts w:ascii="Times New Roman;Times;serif" w:hAnsi="Times New Roman;Times;serif"/>
          <w:sz w:val="20"/>
        </w:rPr>
        <w:t>” means the Securities Act of 1933, as amended, and the rules and regulations thereunder.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1934 Act</w:t>
      </w:r>
      <w:r>
        <w:rPr>
          <w:rFonts w:ascii="Times New Roman;Times;serif" w:hAnsi="Times New Roman;Times;serif"/>
          <w:sz w:val="20"/>
        </w:rPr>
        <w:t>” means the Securities Exchange Act of 1934, as amended, and the rules and regulations thereunder.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Additional Closing Price Failure</w:t>
      </w:r>
      <w:r>
        <w:rPr>
          <w:rFonts w:ascii="Times New Roman;Times;serif" w:hAnsi="Times New Roman;Times;serif"/>
          <w:sz w:val="20"/>
        </w:rPr>
        <w:t>” means, with respect to a particular date of determination, the VWAP of the ADSs on the Principal Market on (x) any four (4) of the Trading Days during the twenty-three (23) Trading Day period ending on the Trading Day immediately preceding such date of determination (such period, the “</w:t>
      </w:r>
      <w:r>
        <w:rPr>
          <w:rFonts w:ascii="Times New Roman;Times;serif" w:hAnsi="Times New Roman;Times;serif"/>
          <w:b/>
          <w:sz w:val="20"/>
        </w:rPr>
        <w:t>Additional Closing Price Failure Measuring Period</w:t>
      </w:r>
      <w:r>
        <w:rPr>
          <w:rFonts w:ascii="Times New Roman;Times;serif" w:hAnsi="Times New Roman;Times;serif"/>
          <w:sz w:val="20"/>
        </w:rPr>
        <w:t>”) or (y) any of the last three Trading Days during the Additional Closing Price Failure Measuring Period, as applicable, fails to exceed $1.00 (as adjusted for share splits, share dividends, share combinations, recapitalizations or other similar transactions (including, without limitation, any transaction or other event that proportionately decreases or increases the ratio of an Ordinary Share per ADS) occurring after the Subscription Date). All such determinations to be appropriately adjusted for any share splits, share dividends, share combinations, recapitalizations or other similar transactions (including, without limitation, any transaction or other event that proportionately decreases or increases the ratio of an Ordinary Share per ADS) during any such measuring period.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Additional Closing Volume Failure</w:t>
      </w:r>
      <w:r>
        <w:rPr>
          <w:rFonts w:ascii="Times New Roman;Times;serif" w:hAnsi="Times New Roman;Times;serif"/>
          <w:sz w:val="20"/>
        </w:rPr>
        <w:t>” means, with respect to a particular date of determination, the aggregate daily dollar trading volume (as reported on Bloomberg) of the ADS on the Principal Market on (x) any four (4) of the Trading Days during the twenty-three (23) Trading Day period ending on the Trading Day immediately preceding such date of determination (such period, the “</w:t>
      </w:r>
      <w:r>
        <w:rPr>
          <w:rFonts w:ascii="Times New Roman;Times;serif" w:hAnsi="Times New Roman;Times;serif"/>
          <w:b/>
          <w:sz w:val="20"/>
        </w:rPr>
        <w:t>Additional Closing Volume Failure Measuring Period</w:t>
      </w:r>
      <w:r>
        <w:rPr>
          <w:rFonts w:ascii="Times New Roman;Times;serif" w:hAnsi="Times New Roman;Times;serif"/>
          <w:sz w:val="20"/>
        </w:rPr>
        <w:t>”) or (y) any of the last three Trading Days during the Additional Closing Volume Failure Measuring Period, as applicable, is less than $1,250,000.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Adjusted Floor Price</w:t>
      </w:r>
      <w:r>
        <w:rPr>
          <w:rFonts w:ascii="Times New Roman;Times;serif" w:hAnsi="Times New Roman;Times;serif"/>
          <w:sz w:val="20"/>
        </w:rPr>
        <w:t>” means as determined on each six month anniversary of the Issuance Date (each, a “</w:t>
      </w:r>
      <w:r>
        <w:rPr>
          <w:rFonts w:ascii="Times New Roman;Times;serif" w:hAnsi="Times New Roman;Times;serif"/>
          <w:b/>
          <w:sz w:val="20"/>
        </w:rPr>
        <w:t>Six Month Anniversary Date</w:t>
      </w:r>
      <w:r>
        <w:rPr>
          <w:rFonts w:ascii="Times New Roman;Times;serif" w:hAnsi="Times New Roman;Times;serif"/>
          <w:sz w:val="20"/>
        </w:rPr>
        <w:t>”) hereunder, the lower of (i) the Floor Price then in effect and (ii) 20% of the lower of (x) the closing price of the ADSs of the Principal Market (as reported by the Principal Market) as of the Trading Day ended immediately prior to such applicable Six Month Anniversary Date and (y) the quotient of (I) the sum of each the closing price of the ADSs of the Principal Market (as reported by the Principal Market) on each Trading Day of the five (5) Trading Day period ended on, and including, the Trading Day ended immediately prior to such applicable Six Month Anniversary Date, divided by (II) five (5). All such determinations to be appropriately adjusted for any stock split, stock dividend, stock combination or other similar transaction during any such measuring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w:t>
      </w:r>
      <w:r>
        <w:rPr>
          <w:rFonts w:ascii="Times New Roman;Times;serif" w:hAnsi="Times New Roman;Times;serif"/>
          <w:b/>
          <w:sz w:val="20"/>
        </w:rPr>
        <w:t>Adjustment Right</w:t>
      </w:r>
      <w:r>
        <w:rPr>
          <w:rFonts w:ascii="Times New Roman;Times;serif" w:hAnsi="Times New Roman;Times;serif"/>
          <w:sz w:val="20"/>
        </w:rPr>
        <w:t xml:space="preserve">” means any right granted with respect to any securities issued in connection with, or with respect to, any issuance or sale (or deemed issuance or sale in accordance with </w:t>
      </w:r>
      <w:r>
        <w:rPr>
          <w:rFonts w:ascii="Times New Roman;Times;serif" w:hAnsi="Times New Roman;Times;serif"/>
          <w:sz w:val="20"/>
          <w:u w:val="single"/>
        </w:rPr>
        <w:t>Section 7</w:t>
      </w:r>
      <w:r>
        <w:rPr>
          <w:rFonts w:ascii="Times New Roman;Times;serif" w:hAnsi="Times New Roman;Times;serif"/>
          <w:sz w:val="20"/>
        </w:rPr>
        <w:t xml:space="preserve">) of ADSs (other than rights of the type described in </w:t>
      </w:r>
      <w:r>
        <w:rPr>
          <w:rFonts w:ascii="Times New Roman;Times;serif" w:hAnsi="Times New Roman;Times;serif"/>
          <w:sz w:val="20"/>
          <w:u w:val="single"/>
        </w:rPr>
        <w:t>Section 6(a)</w:t>
      </w:r>
      <w:r>
        <w:rPr>
          <w:rFonts w:ascii="Times New Roman;Times;serif" w:hAnsi="Times New Roman;Times;serif"/>
          <w:sz w:val="20"/>
        </w:rPr>
        <w:t xml:space="preserve">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w:t>
      </w:r>
      <w:r>
        <w:rPr>
          <w:rFonts w:ascii="Times New Roman;Times;serif" w:hAnsi="Times New Roman;Times;serif"/>
          <w:b/>
          <w:sz w:val="20"/>
        </w:rPr>
        <w:t>ADSs</w:t>
      </w:r>
      <w:r>
        <w:rPr>
          <w:rFonts w:ascii="Times New Roman;Times;serif" w:hAnsi="Times New Roman;Times;serif"/>
          <w:sz w:val="20"/>
        </w:rPr>
        <w:t>” means (i) the American Depositary Shares of the Company, each ADS as of the Issuance Date represents one (1) Ordinary Share or (ii) any share capital into which such ADSs shall have been changed or any share capital resulting from any exchange, modification, restructuring or reclassification of such ADSs.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t>
      </w:r>
      <w:r>
        <w:rPr>
          <w:rFonts w:ascii="Times New Roman;Times;serif" w:hAnsi="Times New Roman;Times;serif"/>
          <w:b/>
          <w:sz w:val="20"/>
        </w:rPr>
        <w:t>ADRs</w:t>
      </w:r>
      <w:r>
        <w:rPr>
          <w:rFonts w:ascii="Times New Roman;Times;serif" w:hAnsi="Times New Roman;Times;serif"/>
          <w:sz w:val="20"/>
        </w:rPr>
        <w:t>” means the American Depositary Receipts of the Company evidencing ADSs.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t>
      </w:r>
      <w:r>
        <w:rPr>
          <w:rFonts w:ascii="Times New Roman;Times;serif" w:hAnsi="Times New Roman;Times;serif"/>
          <w:b/>
          <w:sz w:val="20"/>
        </w:rPr>
        <w:t>Affiliate</w:t>
      </w:r>
      <w:r>
        <w:rPr>
          <w:rFonts w:ascii="Times New Roman;Times;serif" w:hAnsi="Times New Roman;Times;serif"/>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shares having ordinary voting power for the election of directors of such Person or direct or cause the direction of the management and policies of such Person whether by contract or otherwise.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w:t>
      </w:r>
      <w:r>
        <w:rPr>
          <w:rFonts w:ascii="Times New Roman;Times;serif" w:hAnsi="Times New Roman;Times;serif"/>
          <w:b/>
          <w:sz w:val="20"/>
        </w:rPr>
        <w:t>Affiliate Transaction</w:t>
      </w:r>
      <w:r>
        <w:rPr>
          <w:rFonts w:ascii="Times New Roman;Times;serif" w:hAnsi="Times New Roman;Times;serif"/>
          <w:sz w:val="20"/>
        </w:rPr>
        <w:t>” means any actual, proposed, or contemplated transaction, arrangement, agreement, understanding, or series of related transactions or arrangements (including, without limitation, any purchase, sale, lease, license, transfer, disposition, acquisition, pledge, loan, guarantee, investment, joint venture, or exchange of property, assets, rights, or interests of any kind, or the provision or receipt of services, benefits, or advantages of any kind), whether written, oral, or implied, directly or indirectly, between (a) the Company or any Subsidiary, and (b) any Affiliate of the Company or any Subsidiary, including any transaction effected through one or more intermediaries or for the benefit of an Affiliate.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w:t>
      </w:r>
      <w:r>
        <w:rPr>
          <w:rFonts w:ascii="Times New Roman;Times;serif" w:hAnsi="Times New Roman;Times;serif"/>
          <w:b/>
          <w:sz w:val="20"/>
        </w:rPr>
        <w:t>Alternate Conversion Price</w:t>
      </w:r>
      <w:r>
        <w:rPr>
          <w:rFonts w:ascii="Times New Roman;Times;serif" w:hAnsi="Times New Roman;Times;serif"/>
          <w:sz w:val="20"/>
        </w:rPr>
        <w:t>” means, with respect to any Alternate Conversion on any Alternate Conversion Date, that price which shall be the lower of (i) the applicable Conversion Price as in effect on the applicable Conversion Date of the applicable Alternate Conversion and (ii) either (I) if no Event of Default then exists, the greater of the (x) Floor Price and (y) the Market Price, or (II) if an Event of Default then exists, the greater of (x) the Floor Price and (y) 80% of the Market Price (any such applicable measuring period or applicable measuring date in clauses (i) and (ii) above, each an “</w:t>
      </w:r>
      <w:r>
        <w:rPr>
          <w:rFonts w:ascii="Times New Roman;Times;serif" w:hAnsi="Times New Roman;Times;serif"/>
          <w:b/>
          <w:sz w:val="20"/>
        </w:rPr>
        <w:t>Alternate Conversion Measuring Period</w:t>
      </w:r>
      <w:r>
        <w:rPr>
          <w:rFonts w:ascii="Times New Roman;Times;serif" w:hAnsi="Times New Roman;Times;serif"/>
          <w:sz w:val="20"/>
        </w:rPr>
        <w:t>”). All such determinations to be appropriately adjusted for any share dividend, share subdivision, share split, share combination and consolidation, reclassification or similar transaction (including, without limitation, any transaction or other event that proportionately decreases or increases the ratio of an Ordinary Share per ADS) during such Alternate Conversion Measuring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w:t>
      </w:r>
      <w:r>
        <w:rPr>
          <w:rFonts w:ascii="Times New Roman;Times;serif" w:hAnsi="Times New Roman;Times;serif"/>
          <w:b/>
          <w:sz w:val="20"/>
        </w:rPr>
        <w:t>Applicable Date</w:t>
      </w:r>
      <w:r>
        <w:rPr>
          <w:rFonts w:ascii="Times New Roman;Times;serif" w:hAnsi="Times New Roman;Times;serif"/>
          <w:sz w:val="20"/>
        </w:rPr>
        <w:t>” means the twentieth (20</w:t>
      </w:r>
      <w:r>
        <w:rPr>
          <w:rFonts w:ascii="Times New Roman;Times;serif" w:hAnsi="Times New Roman;Times;serif"/>
          <w:sz w:val="15"/>
        </w:rPr>
        <w:t>th</w:t>
      </w:r>
      <w:r>
        <w:rPr>
          <w:rFonts w:ascii="Times New Roman;Times;serif" w:hAnsi="Times New Roman;Times;serif"/>
          <w:sz w:val="20"/>
        </w:rPr>
        <w:t>) Trading Day after the Initial Closing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w:t>
      </w:r>
      <w:r>
        <w:rPr>
          <w:rFonts w:ascii="Times New Roman;Times;serif" w:hAnsi="Times New Roman;Times;serif"/>
          <w:b/>
          <w:sz w:val="20"/>
        </w:rPr>
        <w:t>Approved Share Plan</w:t>
      </w:r>
      <w:r>
        <w:rPr>
          <w:rFonts w:ascii="Times New Roman;Times;serif" w:hAnsi="Times New Roman;Times;serif"/>
          <w:sz w:val="20"/>
        </w:rPr>
        <w:t>” means any employee benefit plan which has been or will be approved by the board of directors of the Company prior to or subsequent to the Subscription Date pursuant to which Ordinary Shares, ADSs, standard options to purchase Ordinary Shares and/or ADSs and other types of awards may be issued to any employee, officer, director or consultant for services provided to the Company or its Affiliates in their capacity as such.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w:t>
      </w:r>
      <w:r>
        <w:rPr>
          <w:rFonts w:ascii="Times New Roman;Times;serif" w:hAnsi="Times New Roman;Times;serif"/>
          <w:b/>
          <w:sz w:val="20"/>
        </w:rPr>
        <w:t>Attribution Parties</w:t>
      </w:r>
      <w:r>
        <w:rPr>
          <w:rFonts w:ascii="Times New Roman;Times;serif" w:hAnsi="Times New Roman;Times;serif"/>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ADSs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w:t>
      </w:r>
      <w:r>
        <w:rPr>
          <w:rFonts w:ascii="Times New Roman;Times;serif" w:hAnsi="Times New Roman;Times;serif"/>
          <w:b/>
          <w:sz w:val="20"/>
        </w:rPr>
        <w:t>Available Cash</w:t>
      </w:r>
      <w:r>
        <w:rPr>
          <w:rFonts w:ascii="Times New Roman;Times;serif" w:hAnsi="Times New Roman;Times;serif"/>
          <w:sz w:val="20"/>
        </w:rPr>
        <w:t>” means, with respect to any date of determination, an amount equal to the aggregate amount of the Cash of the Company and its Subsidiaries (excluding for this purpose cash held in restricted accounts (other than (i) accounts that are restricted solely as a result of the existence of control agreements in favor of the Collateral Agent, or (ii) cash otherwise unavailable for unrestricted use by the Company or any of its Subsidiaries for any reason) as of such date of determination held in bank accounts of financial banking institutions.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w:t>
      </w:r>
      <w:r>
        <w:rPr>
          <w:rFonts w:ascii="Times New Roman;Times;serif" w:hAnsi="Times New Roman;Times;serif"/>
          <w:b/>
          <w:sz w:val="20"/>
        </w:rPr>
        <w:t>Black Scholes Consideration Value</w:t>
      </w:r>
      <w:r>
        <w:rPr>
          <w:rFonts w:ascii="Times New Roman;Times;serif" w:hAnsi="Times New Roman;Times;serif"/>
          <w:sz w:val="20"/>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ADSs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tbl>
      <w:tblPr>
        <w:tblW w:w="3363" w:type="dxa"/>
        <w:jc w:val="left"/>
        <w:tblInd w:w="0" w:type="dxa"/>
        <w:tblLayout w:type="fixed"/>
        <w:tblCellMar>
          <w:top w:w="0" w:type="dxa"/>
          <w:left w:w="0" w:type="dxa"/>
          <w:bottom w:w="0" w:type="dxa"/>
          <w:right w:w="0" w:type="dxa"/>
        </w:tblCellMar>
      </w:tblPr>
      <w:tblGrid>
        <w:gridCol w:w="23"/>
        <w:gridCol w:w="245"/>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(q)</w:t>
            </w:r>
          </w:p>
        </w:tc>
        <w:tc>
          <w:tcPr>
            <w:tcW w:w="3095" w:type="dxa"/>
            <w:tcBorders/>
            <w:vAlign w:val="center"/>
          </w:tcPr>
          <w:p>
            <w:pPr>
              <w:pStyle w:val="TableContents"/>
              <w:bidi w:val="0"/>
              <w:spacing w:before="0" w:after="240"/>
              <w:jc w:val="left"/>
              <w:rPr/>
            </w:pPr>
            <w:r>
              <w:rPr/>
              <w:t>“</w:t>
            </w:r>
            <w:r>
              <w:rPr>
                <w:rFonts w:ascii="Times New Roman;Times;serif" w:hAnsi="Times New Roman;Times;serif"/>
                <w:b/>
                <w:sz w:val="20"/>
              </w:rPr>
              <w:t>Bloomberg</w:t>
            </w:r>
            <w:r>
              <w:rPr>
                <w:rFonts w:ascii="Times New Roman;Times;serif" w:hAnsi="Times New Roman;Times;serif"/>
                <w:sz w:val="20"/>
              </w:rPr>
              <w:t>” means Bloomberg, L.P.</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rPr>
        <w:t>“</w:t>
      </w:r>
      <w:r>
        <w:rPr>
          <w:rFonts w:ascii="Times New Roman;Times;serif" w:hAnsi="Times New Roman;Times;serif"/>
          <w:b/>
          <w:sz w:val="20"/>
        </w:rPr>
        <w:t>Business Day</w:t>
      </w:r>
      <w:r>
        <w:rPr>
          <w:rFonts w:ascii="Times New Roman;Times;serif" w:hAnsi="Times New Roman;Times;serif"/>
          <w:sz w:val="20"/>
        </w:rPr>
        <w:t xml:space="preserve">” means any day other than Saturday, Sunday or other day on which commercial banks in The City of New York or mainland China are authorized or required by law to remain closed;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or mainland China, as applicable, generally are open for use by customers on such day.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sz w:val="20"/>
        </w:rPr>
        <w:t>“</w:t>
      </w:r>
      <w:r>
        <w:rPr>
          <w:rFonts w:ascii="Times New Roman;Times;serif" w:hAnsi="Times New Roman;Times;serif"/>
          <w:b/>
          <w:sz w:val="20"/>
        </w:rPr>
        <w:t>Cash</w:t>
      </w:r>
      <w:r>
        <w:rPr>
          <w:rFonts w:ascii="Times New Roman;Times;serif" w:hAnsi="Times New Roman;Times;serif"/>
          <w:sz w:val="20"/>
        </w:rPr>
        <w:t>” of the Company and its Subsidiaries on any date shall be determined from such Persons’ books maintained in accordance with GAAP, and means, without duplication, the cash, cash equivalents and Eligible Marketable Securities accrued by the Company and its wholly owned Subsidiaries on a consolidated basis on such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sz w:val="20"/>
        </w:rPr>
        <w:t>“</w:t>
      </w:r>
      <w:r>
        <w:rPr>
          <w:rFonts w:ascii="Times New Roman;Times;serif" w:hAnsi="Times New Roman;Times;serif"/>
          <w:b/>
          <w:sz w:val="20"/>
        </w:rPr>
        <w:t>Change of Control</w:t>
      </w:r>
      <w:r>
        <w:rPr>
          <w:rFonts w:ascii="Times New Roman;Times;serif" w:hAnsi="Times New Roman;Times;serif"/>
          <w:sz w:val="20"/>
        </w:rPr>
        <w:t>” means (i) any Going-Private Change of Control and (ii) any Fundamental Transaction which results in the Company’s Ordinary Shares, ADSs, or other comparable securities, as applicable, ceasing to be listed on an Eligible Market.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sz w:val="20"/>
        </w:rPr>
        <w:t>“</w:t>
      </w:r>
      <w:r>
        <w:rPr>
          <w:rFonts w:ascii="Times New Roman;Times;serif" w:hAnsi="Times New Roman;Times;serif"/>
          <w:b/>
          <w:sz w:val="20"/>
        </w:rPr>
        <w:t>Closing Bid Price</w:t>
      </w:r>
      <w:r>
        <w:rPr>
          <w:rFonts w:ascii="Times New Roman;Times;serif" w:hAnsi="Times New Roman;Times;serif"/>
          <w:sz w:val="20"/>
        </w:rPr>
        <w:t>” and “</w:t>
      </w:r>
      <w:r>
        <w:rPr>
          <w:rFonts w:ascii="Times New Roman;Times;serif" w:hAnsi="Times New Roman;Times;serif"/>
          <w:b/>
          <w:sz w:val="20"/>
        </w:rPr>
        <w:t>Closing Sale Price</w:t>
      </w:r>
      <w:r>
        <w:rPr>
          <w:rFonts w:ascii="Times New Roman;Times;serif" w:hAnsi="Times New Roman;Times;serif"/>
          <w:sz w:val="20"/>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w:t>
      </w:r>
      <w:r>
        <w:rPr>
          <w:rFonts w:ascii="Times New Roman;Times;serif" w:hAnsi="Times New Roman;Times;serif"/>
          <w:sz w:val="20"/>
          <w:u w:val="single"/>
        </w:rPr>
        <w:t>Section 23</w:t>
      </w:r>
      <w:r>
        <w:rPr>
          <w:rFonts w:ascii="Times New Roman;Times;serif" w:hAnsi="Times New Roman;Times;serif"/>
          <w:sz w:val="20"/>
        </w:rPr>
        <w:t>. All such determinations shall be appropriately adjusted for any share splits, share dividends, share combinations, recapitalizations or other similar transactions (including, without limitation, any transaction or other event that proportionately decreases or increases the ratio of an Ordinary Share per ADS, if applicable) during such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w:t>
      </w:r>
      <w:r>
        <w:rPr>
          <w:rFonts w:ascii="Times New Roman;Times;serif" w:hAnsi="Times New Roman;Times;serif"/>
          <w:b/>
          <w:sz w:val="20"/>
        </w:rPr>
        <w:t>Convertible Securities</w:t>
      </w:r>
      <w:r>
        <w:rPr>
          <w:rFonts w:ascii="Times New Roman;Times;serif" w:hAnsi="Times New Roman;Times;serif"/>
          <w:sz w:val="20"/>
        </w:rPr>
        <w:t>” means any shares or other security (other than Options) that is at any time and under any circumstances, directly or indirectly, convertible into, exercisable or exchangeable for, or which otherwise entitles the holder thereof to acquire, any ADSs and/or Ordinary Shares.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sz w:val="20"/>
        </w:rPr>
        <w:t>“</w:t>
      </w:r>
      <w:r>
        <w:rPr>
          <w:rFonts w:ascii="Times New Roman;Times;serif" w:hAnsi="Times New Roman;Times;serif"/>
          <w:b/>
          <w:sz w:val="20"/>
        </w:rPr>
        <w:t>Current Public Information Failure</w:t>
      </w:r>
      <w:r>
        <w:rPr>
          <w:rFonts w:ascii="Times New Roman;Times;serif" w:hAnsi="Times New Roman;Times;serif"/>
          <w:sz w:val="20"/>
        </w:rPr>
        <w:t>” means the Company’s failure,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Company’s failure to satisfy any condition set forth in Rule 144(i)(2).</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w:t>
      </w:r>
      <w:r>
        <w:rPr>
          <w:rFonts w:ascii="Times New Roman;Times;serif" w:hAnsi="Times New Roman;Times;serif"/>
          <w:b/>
          <w:sz w:val="20"/>
        </w:rPr>
        <w:t>Depositary</w:t>
      </w:r>
      <w:r>
        <w:rPr>
          <w:rFonts w:ascii="Times New Roman;Times;serif" w:hAnsi="Times New Roman;Times;serif"/>
          <w:sz w:val="20"/>
        </w:rPr>
        <w:t>” means Deutsche Bank Trust Company Americas, as Depositary appointed by the Company via the Deposit Agreement dated as of January 29, 2024.</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w:t>
      </w:r>
      <w:r>
        <w:rPr>
          <w:rFonts w:ascii="Times New Roman;Times;serif" w:hAnsi="Times New Roman;Times;serif"/>
          <w:sz w:val="20"/>
        </w:rPr>
        <w:t>“</w:t>
      </w:r>
      <w:r>
        <w:rPr>
          <w:rFonts w:ascii="Times New Roman;Times;serif" w:hAnsi="Times New Roman;Times;serif"/>
          <w:b/>
          <w:sz w:val="20"/>
        </w:rPr>
        <w:t>Eligible Market</w:t>
      </w:r>
      <w:r>
        <w:rPr>
          <w:rFonts w:ascii="Times New Roman;Times;serif" w:hAnsi="Times New Roman;Times;serif"/>
          <w:sz w:val="20"/>
        </w:rPr>
        <w:t>” means The New York Stock Exchange, the NYSE American, the Nasdaq Capital Market, the Nasdaq Global Select Market or the Nasdaq Global Market.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(z)</w:t>
      </w:r>
      <w:r>
        <w:rPr>
          <w:rFonts w:ascii="Times New Roman;Times;serif" w:hAnsi="Times New Roman;Times;serif"/>
          <w:sz w:val="20"/>
        </w:rPr>
        <w:t>“</w:t>
      </w:r>
      <w:r>
        <w:rPr>
          <w:rFonts w:ascii="Times New Roman;Times;serif" w:hAnsi="Times New Roman;Times;serif"/>
          <w:b/>
          <w:sz w:val="20"/>
        </w:rPr>
        <w:t>Eligible Marketable Securities</w:t>
      </w:r>
      <w:r>
        <w:rPr>
          <w:rFonts w:ascii="Times New Roman;Times;serif" w:hAnsi="Times New Roman;Times;serif"/>
          <w:sz w:val="20"/>
        </w:rPr>
        <w:t>” as of any date means marketable securities which would be reflected on a consolidated balance sheet of the Company and its Subsidiaries prepared as of such date in accordance with GAAP, and which are permitted under the Company’s investment policies as in effect on the Issuance Date or approved thereafter by the Company’s Board of Directors.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(aa)</w:t>
      </w:r>
      <w:r>
        <w:rPr>
          <w:rFonts w:ascii="Times New Roman;Times;serif" w:hAnsi="Times New Roman;Times;serif"/>
          <w:sz w:val="20"/>
        </w:rPr>
        <w:t>“</w:t>
      </w:r>
      <w:r>
        <w:rPr>
          <w:rFonts w:ascii="Times New Roman;Times;serif" w:hAnsi="Times New Roman;Times;serif"/>
          <w:b/>
          <w:sz w:val="20"/>
        </w:rPr>
        <w:t>Equity Conditions</w:t>
      </w:r>
      <w:r>
        <w:rPr>
          <w:rFonts w:ascii="Times New Roman;Times;serif" w:hAnsi="Times New Roman;Times;serif"/>
          <w:sz w:val="20"/>
        </w:rPr>
        <w:t>” means, with respect to an given date of determination: (i) on each day during the period beginning twenty (20) Trading Days prior to the applicable date of determination and ending on and including the applicable date of determination (the “</w:t>
      </w:r>
      <w:r>
        <w:rPr>
          <w:rFonts w:ascii="Times New Roman;Times;serif" w:hAnsi="Times New Roman;Times;serif"/>
          <w:b/>
          <w:sz w:val="20"/>
        </w:rPr>
        <w:t>Equity Conditions Measuring Period</w:t>
      </w:r>
      <w:r>
        <w:rPr>
          <w:rFonts w:ascii="Times New Roman;Times;serif" w:hAnsi="Times New Roman;Times;serif"/>
          <w:sz w:val="20"/>
        </w:rPr>
        <w:t xml:space="preserve">”), the ADSs (including all ADSs issuable upon conversion of this Note) are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ADSs are then listed or designated for quotation (as applicable); (ii) during the Equity Conditions Measuring Period, the Company shall have delivered all ADSs issuable upon conversion of this Note on a timely basis as set forth in </w:t>
      </w:r>
      <w:r>
        <w:rPr>
          <w:rFonts w:ascii="Times New Roman;Times;serif" w:hAnsi="Times New Roman;Times;serif"/>
          <w:sz w:val="20"/>
          <w:u w:val="single"/>
        </w:rPr>
        <w:t>Section 3</w:t>
      </w:r>
      <w:r>
        <w:rPr>
          <w:rFonts w:ascii="Times New Roman;Times;serif" w:hAnsi="Times New Roman;Times;serif"/>
          <w:sz w:val="20"/>
        </w:rPr>
        <w:t xml:space="preserve"> hereof and all other shares required to be delivered by the Company on a timely basis as set forth in the other Transaction Documents; (iii) any ADSs to be issued in connection with the event requiring determination (or issuable upon conversion of the Conversion Amount being redeemed in the event requiring this determination) may be issued in full without violating </w:t>
      </w:r>
      <w:r>
        <w:rPr>
          <w:rFonts w:ascii="Times New Roman;Times;serif" w:hAnsi="Times New Roman;Times;serif"/>
          <w:sz w:val="20"/>
          <w:u w:val="single"/>
        </w:rPr>
        <w:t>Section 3(d)</w:t>
      </w:r>
      <w:r>
        <w:rPr>
          <w:rFonts w:ascii="Times New Roman;Times;serif" w:hAnsi="Times New Roman;Times;serif"/>
          <w:sz w:val="20"/>
        </w:rPr>
        <w:t xml:space="preserve"> hereof; (iv) any ADSs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ADSs are then listed or designated for quotation (as applicable); (v) on each day during the Equity Conditions Measuring Period, no public announcement of a pending, proposed or intended Fundamental Transaction shall have occurred which has not been abandoned, terminated or consummated; (vi) no Current Public Information Failure then exists and is continuing; (vii) the Holder shall not be in (and no other holder of Notes shall be in) possession of any material, non-public information provided to any of them by the Company, any of its Subsidiaries or any of their respective affiliates, employees, officers, representatives, agents or the like; (viii)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(ix) on the applicable date of determination (A) no Authorized Share Failure shall exist or be continuing and all Ordinary Shares to be issued in connection with the event requiring this determination (or issuable upon conversion of the Conversion Amount being redeemed in the event requiring this determination at the Alternate Conversion Price thein in effect (without regard to any limitations on conversion set forth herein)) (each, a “</w:t>
      </w:r>
      <w:r>
        <w:rPr>
          <w:rFonts w:ascii="Times New Roman;Times;serif" w:hAnsi="Times New Roman;Times;serif"/>
          <w:b/>
          <w:sz w:val="20"/>
        </w:rPr>
        <w:t>Required Minimum Securities Amount</w:t>
      </w:r>
      <w:r>
        <w:rPr>
          <w:rFonts w:ascii="Times New Roman;Times;serif" w:hAnsi="Times New Roman;Times;serif"/>
          <w:sz w:val="20"/>
        </w:rPr>
        <w:t>”) are available under the certificate of incorporation of the Company and reserved by the Company to be issued pursuant to the Notes and (B) all ADSs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 on each day during the Equity Conditions Measuring Period, there shall not have occurred and there shall not exist an Event of Default or an event that with the passage of time or giving of notice would constitute an Event of Default; (xi) no bone fide dispute shall exist, by and between any of holder of Notes, the Company, the Principal Market (or such applicable Eligible Market in which the ADSs of the Company is then principally trading) and/or FINRA with respect to any term or provision of any Note or any other Transaction Document; (xii) the ADSs issuable pursuant the event requiring the satisfaction of the Equity Conditions are duly authorized and listed and eligible for trading without restriction on an Eligible Market; (xiii) solely with respect to any determination pursuant to Section 2(a), no Price Failure shall exist; and (xiv) solely with respect to any determination pursuant to Section 1(b)(ii) of the Securities Purchase Agreement, no Additional Closing Price Failure or Additional Closing Volume Failure exists, and not with respect to Section 2(a) of this Note.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(bb)</w:t>
      </w:r>
      <w:r>
        <w:rPr>
          <w:rFonts w:ascii="Times New Roman;Times;serif" w:hAnsi="Times New Roman;Times;serif"/>
          <w:sz w:val="20"/>
        </w:rPr>
        <w:t>“</w:t>
      </w:r>
      <w:r>
        <w:rPr>
          <w:rFonts w:ascii="Times New Roman;Times;serif" w:hAnsi="Times New Roman;Times;serif"/>
          <w:b/>
          <w:sz w:val="20"/>
        </w:rPr>
        <w:t>Equity Conditions Failure</w:t>
      </w:r>
      <w:r>
        <w:rPr>
          <w:rFonts w:ascii="Times New Roman;Times;serif" w:hAnsi="Times New Roman;Times;serif"/>
          <w:sz w:val="20"/>
        </w:rPr>
        <w:t>” means on such date of determination the Equity Conditions have not been satisfied (or waived in writing by the Holder).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(cc)</w:t>
      </w:r>
      <w:r>
        <w:rPr>
          <w:rFonts w:ascii="Times New Roman;Times;serif" w:hAnsi="Times New Roman;Times;serif"/>
          <w:sz w:val="20"/>
        </w:rPr>
        <w:t>“</w:t>
      </w:r>
      <w:r>
        <w:rPr>
          <w:rFonts w:ascii="Times New Roman;Times;serif" w:hAnsi="Times New Roman;Times;serif"/>
          <w:b/>
          <w:sz w:val="20"/>
        </w:rPr>
        <w:t>Excluded Securities</w:t>
      </w:r>
      <w:r>
        <w:rPr>
          <w:rFonts w:ascii="Times New Roman;Times;serif" w:hAnsi="Times New Roman;Times;serif"/>
          <w:sz w:val="20"/>
        </w:rPr>
        <w:t>” means (i) Ordinary Shares or ADSs, including restricted shares units, restricted shares, Options and performance share awards, to purchase Ordinary Shares, ADSs, or equity-like grants including phantom shares, share appreciation rights issued or may be issued to directors, officers, consultants or employees of the Company for services rendered to the Company in their capacity as such pursuant to an Approved Share Plan (as defined above),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Ordinary Shares or ADSs issued upon the conversion or exercise of Convertible Securities or Options (other than securities covered by clause (i) above) issued or issuable pursuant to any arrangement entered into prior to the Subscription Date, provided that the conversion price of any such Convertible Securities (other than securities covered by clause (i) above) is not lowered, none of such Convertible Securities or Options (other than securities covered by clause (i) above) are amended to increase the number of shares issuable thereunder and none of the terms or conditions of any such Convertible Securities or Options (other than standard options to purchase Ordinary Shares or ADSs issued pursuant to an Approved Share Plan that are covered by clause (i) above) are otherwise materially changed in any manner that adversely affects any of the Buyers; (iii) Ordinary Shares or ADSs issued or issuable upon conversion of the Notes or otherwise pursuant to the terms of the Notes, (iv) Ordinary Shares or ADSs issued or issuable pursuant to any Strategic Investment and/or Affiliate Transaction (but, in either case, excluding any Variable Rate Transaction (as defined in the Securities Purchase Agreement)); (v) Ordinary Shares or ADSs issued in connection with any Permitted Affiliate-Strategic VRTs (as defined in the Securities Purchase Agreement), (vi) Ordinary Shares or ADSs issued or issuable pursuant to the Securities Purchase Agreement entered into between the Company and Westwood Capital Group LLC on September 16, 2025 (the “</w:t>
      </w:r>
      <w:r>
        <w:rPr>
          <w:rFonts w:ascii="Times New Roman;Times;serif" w:hAnsi="Times New Roman;Times;serif"/>
          <w:b/>
          <w:sz w:val="20"/>
        </w:rPr>
        <w:t>Westwood Equity Line</w:t>
      </w:r>
      <w:r>
        <w:rPr>
          <w:rFonts w:ascii="Times New Roman;Times;serif" w:hAnsi="Times New Roman;Times;serif"/>
          <w:sz w:val="20"/>
        </w:rPr>
        <w:t>”), and (vii) Ordinary Shares or ADSs issued or issuable pursuant to equity line of credit from the Holder or any of its affiliates or any other providers approved by the Holder to the Company (the “</w:t>
      </w:r>
      <w:r>
        <w:rPr>
          <w:rFonts w:ascii="Times New Roman;Times;serif" w:hAnsi="Times New Roman;Times;serif"/>
          <w:b/>
          <w:sz w:val="20"/>
        </w:rPr>
        <w:t>Permitted Equity Line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(dd)</w:t>
      </w:r>
      <w:r>
        <w:rPr>
          <w:rFonts w:ascii="Times New Roman;Times;serif" w:hAnsi="Times New Roman;Times;serif"/>
          <w:sz w:val="20"/>
        </w:rPr>
        <w:t>“</w:t>
      </w:r>
      <w:r>
        <w:rPr>
          <w:rFonts w:ascii="Times New Roman;Times;serif" w:hAnsi="Times New Roman;Times;serif"/>
          <w:b/>
          <w:sz w:val="20"/>
        </w:rPr>
        <w:t>Fiscal Quarter</w:t>
      </w:r>
      <w:r>
        <w:rPr>
          <w:rFonts w:ascii="Times New Roman;Times;serif" w:hAnsi="Times New Roman;Times;serif"/>
          <w:sz w:val="20"/>
        </w:rPr>
        <w:t>” means each of the fiscal quarters adopted by the Company for financial reporting purposes that correspond to the Company’s fiscal year as of the date hereof that ends on December 31.</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(ee)</w:t>
      </w:r>
      <w:r>
        <w:rPr>
          <w:rFonts w:ascii="Times New Roman;Times;serif" w:hAnsi="Times New Roman;Times;serif"/>
          <w:sz w:val="20"/>
        </w:rPr>
        <w:t>“</w:t>
      </w:r>
      <w:r>
        <w:rPr>
          <w:rFonts w:ascii="Times New Roman;Times;serif" w:hAnsi="Times New Roman;Times;serif"/>
          <w:b/>
          <w:sz w:val="20"/>
        </w:rPr>
        <w:t>Fiscal Year</w:t>
      </w:r>
      <w:r>
        <w:rPr>
          <w:rFonts w:ascii="Times New Roman;Times;serif" w:hAnsi="Times New Roman;Times;serif"/>
          <w:sz w:val="20"/>
        </w:rPr>
        <w:t>” means the fiscal year adopted by the Company for financial reporting purposes as of the date hereof that ends on December 31.</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(ff)</w:t>
      </w:r>
      <w:r>
        <w:rPr>
          <w:rFonts w:ascii="Times New Roman;Times;serif" w:hAnsi="Times New Roman;Times;serif"/>
          <w:sz w:val="20"/>
        </w:rPr>
        <w:t>“</w:t>
      </w:r>
      <w:r>
        <w:rPr>
          <w:rFonts w:ascii="Times New Roman;Times;serif" w:hAnsi="Times New Roman;Times;serif"/>
          <w:b/>
          <w:sz w:val="20"/>
        </w:rPr>
        <w:t>Floor Price</w:t>
      </w:r>
      <w:r>
        <w:rPr>
          <w:rFonts w:ascii="Times New Roman;Times;serif" w:hAnsi="Times New Roman;Times;serif"/>
          <w:sz w:val="20"/>
        </w:rPr>
        <w:t>” means $0.41 (as adjusted for share subdivision, share dividends, share combinations and consolidations, recapitalizations and similar events);provided that (i) if on the six month anniversary of the Issuance Date (the “</w:t>
      </w:r>
      <w:r>
        <w:rPr>
          <w:rFonts w:ascii="Times New Roman;Times;serif" w:hAnsi="Times New Roman;Times;serif"/>
          <w:b/>
          <w:sz w:val="20"/>
        </w:rPr>
        <w:t>Adjustment Date</w:t>
      </w:r>
      <w:r>
        <w:rPr>
          <w:rFonts w:ascii="Times New Roman;Times;serif" w:hAnsi="Times New Roman;Times;serif"/>
          <w:sz w:val="20"/>
        </w:rPr>
        <w:t>”), the Floor Price then in effect is higher than the Adjusted Floor Price with respect to the Adjustment Date, on the Adjustment Date the Floor Price shall be automatically lowered to such applicable Adjusted Floor Price and (ii) the Company may, at any time, subject to the rules and regulations of the Principal Market, lower the Floor Price to any lower amount deemed appropriate by the board of directors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(gg)</w:t>
      </w:r>
      <w:r>
        <w:rPr>
          <w:rFonts w:ascii="Times New Roman;Times;serif" w:hAnsi="Times New Roman;Times;serif"/>
          <w:sz w:val="20"/>
        </w:rPr>
        <w:t>“</w:t>
      </w:r>
      <w:r>
        <w:rPr>
          <w:rFonts w:ascii="Times New Roman;Times;serif" w:hAnsi="Times New Roman;Times;serif"/>
          <w:b/>
          <w:sz w:val="20"/>
        </w:rPr>
        <w:t>Fundamental Transaction</w:t>
      </w:r>
      <w:r>
        <w:rPr>
          <w:rFonts w:ascii="Times New Roman;Times;serif" w:hAnsi="Times New Roman;Times;serif"/>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to one or more Subject Entities, or (iii) make, or allow one or more Subject Entities to make, or allow the Company to be subject to or have its Ordinary Shares and/or ADSs, as applicable, be subject to or party to one or more Subject Entities making, a purchase, tender or exchange offer that is accepted by the holders of at least either (x) 50% of the outstanding Ordinary Shares and/or ADSs, as applicable, (y) 50% of the outstanding Ordinary Shares and/or ADSs, as applicable, calculated as if any Ordinary Shares and/or ADSs, as applicable, held by all Subject Entities making or party to, or Affiliated with any Subject Entities making or party to, such purchase, tender or exchange offer were not outstanding; or (z) such number of Ordinary Shares and/or ADSs, as applicable, such that all Subject Entities making or party to, or Affiliated with any Subject Entity making or party to, such purchase, tender or exchange offer, become collectively the beneficial owners (as defined in Rule 13d-3 under the 1934 Act) of at least 50% of the outstanding Ordinary Shares and/or ADSs, as applicable,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Ordinary Shares and/or ADSs, as applicable, (y) at least 50% of the outstanding Ordinary Shares and/or ADSs, as applicable, calculated as if any Ordinary Shares and/or ADSs, as applicable, held by all the Subject Entities making or party to, or Affiliated with any Subject Entity making or party to, such stock or share purchase agreement or other business combination were not outstanding; or (z) such number of Ordinary Shares and/or ADSs, as applicable, such that the Subject Entities become collectively the beneficial owners (as defined in Rule 13d-3 under the 1934 Act) of at least 50% of the outstanding Ordinary Shares and/or ADSs, as applicable, or (v) reorganize, recapitalize or reclassify its Ordinary Shares and/or ADSs, as applicable,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Ordinary Shares and/or ADSs, as applicable,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Ordinary Shares and/or ADSs, as applicable, (y) at least 50% of the aggregate ordinary voting power represented by issued and outstanding Ordinary Shares and/or ADSs, as applicable, not held by all such Subject Entities as of the date of this Note calculated as if any Ordinary Shares and/or ADSs, as applicable, held by all such Subject Entities were not outstanding, or (z) a percentage of the aggregate ordinary voting power represented by issued and outstanding Ordinary Shares and/or ADSs, as applicable, or other equity securities of the Company sufficient to allow such Subject Entities to effect a statutory short form merger or other transaction requiring other shareholders of the Company to surrender their Ordinary Shares and/or ADSs, as applicable,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(hh)</w:t>
      </w:r>
      <w:r>
        <w:rPr>
          <w:rFonts w:ascii="Times New Roman;Times;serif" w:hAnsi="Times New Roman;Times;serif"/>
          <w:sz w:val="20"/>
        </w:rPr>
        <w:t>“</w:t>
      </w:r>
      <w:r>
        <w:rPr>
          <w:rFonts w:ascii="Times New Roman;Times;serif" w:hAnsi="Times New Roman;Times;serif"/>
          <w:b/>
          <w:sz w:val="20"/>
        </w:rPr>
        <w:t>GAAP</w:t>
      </w:r>
      <w:r>
        <w:rPr>
          <w:rFonts w:ascii="Times New Roman;Times;serif" w:hAnsi="Times New Roman;Times;serif"/>
          <w:sz w:val="20"/>
        </w:rPr>
        <w:t>” means United States generally accepted accounting principles, consistently applied.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w:t>
      </w:r>
      <w:r>
        <w:rPr>
          <w:rFonts w:ascii="Times New Roman;Times;serif" w:hAnsi="Times New Roman;Times;serif"/>
          <w:b/>
          <w:sz w:val="20"/>
        </w:rPr>
        <w:t>Going-Private Change of Control</w:t>
      </w:r>
      <w:r>
        <w:rPr>
          <w:rFonts w:ascii="Times New Roman;Times;serif" w:hAnsi="Times New Roman;Times;serif"/>
          <w:sz w:val="20"/>
        </w:rPr>
        <w:t>” means any transaction or series of transactions that, directly or indirectly, results in the Company and/or the Successor Entity not having Ordinary Share, ADSs or comparable securities, as applicable, registered under the 1934 Act and listed on an Eligible Market.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(jj)</w:t>
      </w:r>
      <w:r>
        <w:rPr>
          <w:rFonts w:ascii="Times New Roman;Times;serif" w:hAnsi="Times New Roman;Times;serif"/>
          <w:sz w:val="20"/>
        </w:rPr>
        <w:t>“</w:t>
      </w:r>
      <w:r>
        <w:rPr>
          <w:rFonts w:ascii="Times New Roman;Times;serif" w:hAnsi="Times New Roman;Times;serif"/>
          <w:b/>
          <w:sz w:val="20"/>
        </w:rPr>
        <w:t>Group</w:t>
      </w:r>
      <w:r>
        <w:rPr>
          <w:rFonts w:ascii="Times New Roman;Times;serif" w:hAnsi="Times New Roman;Times;serif"/>
          <w:sz w:val="20"/>
        </w:rPr>
        <w:t>” means a “group” as that term is used in Section 13(d) of the 1934 Act and as defined in Rule 13d-5 thereunder.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(kk)</w:t>
      </w:r>
      <w:r>
        <w:rPr>
          <w:rFonts w:ascii="Times New Roman;Times;serif" w:hAnsi="Times New Roman;Times;serif"/>
          <w:sz w:val="20"/>
        </w:rPr>
        <w:t>“</w:t>
      </w:r>
      <w:r>
        <w:rPr>
          <w:rFonts w:ascii="Times New Roman;Times;serif" w:hAnsi="Times New Roman;Times;serif"/>
          <w:b/>
          <w:sz w:val="20"/>
        </w:rPr>
        <w:t>Holder Pro Rata Amount</w:t>
      </w:r>
      <w:r>
        <w:rPr>
          <w:rFonts w:ascii="Times New Roman;Times;serif" w:hAnsi="Times New Roman;Times;serif"/>
          <w:sz w:val="20"/>
        </w:rPr>
        <w:t>” means a fraction (i) the numerator of which is the original Principal amount of this Note on the Closing Date and (ii) the denominator of which is the aggregate original principal amount of all Notes issued to the initial purchasers pursuant to the Securities Purchase Agreement on the Closing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(ll)</w:t>
      </w:r>
      <w:r>
        <w:rPr>
          <w:rFonts w:ascii="Times New Roman;Times;serif" w:hAnsi="Times New Roman;Times;serif"/>
          <w:sz w:val="20"/>
        </w:rPr>
        <w:t>“</w:t>
      </w:r>
      <w:r>
        <w:rPr>
          <w:rFonts w:ascii="Times New Roman;Times;serif" w:hAnsi="Times New Roman;Times;serif"/>
          <w:b/>
          <w:sz w:val="20"/>
        </w:rPr>
        <w:t>Indebtedness</w:t>
      </w:r>
      <w:r>
        <w:rPr>
          <w:rFonts w:ascii="Times New Roman;Times;serif" w:hAnsi="Times New Roman;Times;serif"/>
          <w:sz w:val="20"/>
        </w:rPr>
        <w:t>” shall have the meaning ascribed to such term in the Securities Purchase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(mm)</w:t>
      </w:r>
      <w:r>
        <w:rPr>
          <w:rFonts w:ascii="Times New Roman;Times;serif" w:hAnsi="Times New Roman;Times;serif"/>
          <w:sz w:val="20"/>
        </w:rPr>
        <w:t>“</w:t>
      </w:r>
      <w:r>
        <w:rPr>
          <w:rFonts w:ascii="Times New Roman;Times;serif" w:hAnsi="Times New Roman;Times;serif"/>
          <w:b/>
          <w:sz w:val="20"/>
        </w:rPr>
        <w:t>Indenture</w:t>
      </w:r>
      <w:r>
        <w:rPr>
          <w:rFonts w:ascii="Times New Roman;Times;serif" w:hAnsi="Times New Roman;Times;serif"/>
          <w:sz w:val="20"/>
        </w:rPr>
        <w:t>” means that certain Indenture for Debt Securities dated as of August 19, 2025, by and between the Company and the Trustee, as may be amended, modified or supplemented from time to time, including, without limitation, by any Supplemental Indenture (as defined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(nn)</w:t>
      </w:r>
      <w:r>
        <w:rPr>
          <w:rFonts w:ascii="Times New Roman;Times;serif" w:hAnsi="Times New Roman;Times;serif"/>
          <w:sz w:val="20"/>
        </w:rPr>
        <w:t>“</w:t>
      </w:r>
      <w:r>
        <w:rPr>
          <w:rFonts w:ascii="Times New Roman;Times;serif" w:hAnsi="Times New Roman;Times;serif"/>
          <w:b/>
          <w:sz w:val="20"/>
        </w:rPr>
        <w:t>Initial Closing Date</w:t>
      </w:r>
      <w:r>
        <w:rPr>
          <w:rFonts w:ascii="Times New Roman;Times;serif" w:hAnsi="Times New Roman;Times;serif"/>
          <w:sz w:val="20"/>
        </w:rPr>
        <w:t>” shall have the meaning set forth in the Securities Purchase Agreement, which date is the date the Company initially issued Notes pursuant to the terms of the Indenture, the initial Supplemental Indenture and the Securities Purchase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(oo)</w:t>
      </w:r>
      <w:r>
        <w:rPr>
          <w:rFonts w:ascii="Times New Roman;Times;serif" w:hAnsi="Times New Roman;Times;serif"/>
          <w:sz w:val="20"/>
        </w:rPr>
        <w:t>“</w:t>
      </w:r>
      <w:r>
        <w:rPr>
          <w:rFonts w:ascii="Times New Roman;Times;serif" w:hAnsi="Times New Roman;Times;serif"/>
          <w:b/>
          <w:sz w:val="20"/>
        </w:rPr>
        <w:t>Interest Conversion Price</w:t>
      </w:r>
      <w:r>
        <w:rPr>
          <w:rFonts w:ascii="Times New Roman;Times;serif" w:hAnsi="Times New Roman;Times;serif"/>
          <w:sz w:val="20"/>
        </w:rPr>
        <w:t>” means, with respect to any given Interest Date or Conversion Date, as applicable, that price which shall be the lowest of (i) the applicable Conversion Price as in effect on the applicable Interest Date or Conversion Date, (ii) 95% of the lowest VWAP of the ADSs during the ten (10) consecutive Trading Day period ending and including the Trading Day immediately preceding the applicable Interest Date or Conversion Date (such period, the “</w:t>
      </w:r>
      <w:r>
        <w:rPr>
          <w:rFonts w:ascii="Times New Roman;Times;serif" w:hAnsi="Times New Roman;Times;serif"/>
          <w:b/>
          <w:sz w:val="20"/>
        </w:rPr>
        <w:t>Interest Conversion Measuring Period</w:t>
      </w:r>
      <w:r>
        <w:rPr>
          <w:rFonts w:ascii="Times New Roman;Times;serif" w:hAnsi="Times New Roman;Times;serif"/>
          <w:sz w:val="20"/>
        </w:rPr>
        <w:t>”). All such determinations to be appropriately adjusted for any share subdivision, share split, share combination and consolidation, reclassification or similar transaction (including, without limitation, any transaction or other event that proportionately decreases or increases the ratio of an Ordinary Share per ADS) during such Interest Conversion Measuring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(pp)</w:t>
      </w:r>
      <w:r>
        <w:rPr>
          <w:rFonts w:ascii="Times New Roman;Times;serif" w:hAnsi="Times New Roman;Times;serif"/>
          <w:sz w:val="20"/>
        </w:rPr>
        <w:t>“</w:t>
      </w:r>
      <w:r>
        <w:rPr>
          <w:rFonts w:ascii="Times New Roman;Times;serif" w:hAnsi="Times New Roman;Times;serif"/>
          <w:b/>
          <w:sz w:val="20"/>
        </w:rPr>
        <w:t>Interest Rate</w:t>
      </w:r>
      <w:r>
        <w:rPr>
          <w:rFonts w:ascii="Times New Roman;Times;serif" w:hAnsi="Times New Roman;Times;serif"/>
          <w:sz w:val="20"/>
        </w:rPr>
        <w:t>” means, as of any date of determination, the sum of (A) SOFR as of such Business Day (or if such date is not a Business Day, the Business Day immediately preceding such date of determination, as applicable) and (B) six and a three-quarters percent (6.75%) per annum (with four and a quarter percent (4.25%) per annum, subject to the satisfaction of Equity Conditions, eligible to be satisfied in ADSs and/or Ordinary Shares hereunder (with respect to any given Interest Date, each an “</w:t>
      </w:r>
      <w:r>
        <w:rPr>
          <w:rFonts w:ascii="Times New Roman;Times;serif" w:hAnsi="Times New Roman;Times;serif"/>
          <w:b/>
          <w:sz w:val="20"/>
        </w:rPr>
        <w:t>Interest ADS Eligible Amount</w:t>
      </w:r>
      <w:r>
        <w:rPr>
          <w:rFonts w:ascii="Times New Roman;Times;serif" w:hAnsi="Times New Roman;Times;serif"/>
          <w:sz w:val="20"/>
        </w:rPr>
        <w:t>” and such remaining portion of Interest to be paid in cash with respect to any given Interest Date, each an “</w:t>
      </w:r>
      <w:r>
        <w:rPr>
          <w:rFonts w:ascii="Times New Roman;Times;serif" w:hAnsi="Times New Roman;Times;serif"/>
          <w:b/>
          <w:sz w:val="20"/>
        </w:rPr>
        <w:t>Interest Minimum Cash Amount</w:t>
      </w:r>
      <w:r>
        <w:rPr>
          <w:rFonts w:ascii="Times New Roman;Times;serif" w:hAnsi="Times New Roman;Times;serif"/>
          <w:sz w:val="20"/>
        </w:rPr>
        <w:t xml:space="preserve">”); provided, further, that each of the forgoing rates shall be subject to adjustment from time to time in accordance with </w:t>
      </w:r>
      <w:r>
        <w:rPr>
          <w:rFonts w:ascii="Times New Roman;Times;serif" w:hAnsi="Times New Roman;Times;serif"/>
          <w:sz w:val="20"/>
          <w:u w:val="single"/>
        </w:rPr>
        <w:t>Section 2</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(qq)</w:t>
      </w:r>
      <w:r>
        <w:rPr>
          <w:rFonts w:ascii="Times New Roman;Times;serif" w:hAnsi="Times New Roman;Times;serif"/>
          <w:sz w:val="20"/>
        </w:rPr>
        <w:t>“</w:t>
      </w:r>
      <w:r>
        <w:rPr>
          <w:rFonts w:ascii="Times New Roman;Times;serif" w:hAnsi="Times New Roman;Times;serif"/>
          <w:b/>
          <w:sz w:val="20"/>
        </w:rPr>
        <w:t>Investment</w:t>
      </w:r>
      <w:r>
        <w:rPr>
          <w:rFonts w:ascii="Times New Roman;Times;serif" w:hAnsi="Times New Roman;Times;serif"/>
          <w:sz w:val="20"/>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(rr)</w:t>
      </w:r>
      <w:r>
        <w:rPr>
          <w:rFonts w:ascii="Times New Roman;Times;serif" w:hAnsi="Times New Roman;Times;serif"/>
          <w:sz w:val="20"/>
        </w:rPr>
        <w:t>“</w:t>
      </w:r>
      <w:r>
        <w:rPr>
          <w:rFonts w:ascii="Times New Roman;Times;serif" w:hAnsi="Times New Roman;Times;serif"/>
          <w:b/>
          <w:sz w:val="20"/>
        </w:rPr>
        <w:t>Lotus UK Acquisition and Consolidation</w:t>
      </w:r>
      <w:r>
        <w:rPr>
          <w:rFonts w:ascii="Times New Roman;Times;serif" w:hAnsi="Times New Roman;Times;serif"/>
          <w:sz w:val="20"/>
        </w:rPr>
        <w:t>” means the acquisition to be made by the Company of 100% of the equity interest in Lotus Advance Technologies Sdn Bhd pursuant to the Put Option Agreements dated January 31, 2023 between the Company and Etika Automotive Sdn Bhd and Geely International (Hong Kong) Limited and such other agreements that maybe entered into as contemplated thereby and consolidation of Lotus Advance Technologies Sdn Bhd and/or the business of Lotus Advance Technologies Sdn Bhd into the Company subsequent to such acquisition.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(ss)</w:t>
      </w:r>
      <w:r>
        <w:rPr>
          <w:rFonts w:ascii="Times New Roman;Times;serif" w:hAnsi="Times New Roman;Times;serif"/>
          <w:sz w:val="20"/>
        </w:rPr>
        <w:t>“</w:t>
      </w:r>
      <w:r>
        <w:rPr>
          <w:rFonts w:ascii="Times New Roman;Times;serif" w:hAnsi="Times New Roman;Times;serif"/>
          <w:b/>
          <w:sz w:val="20"/>
        </w:rPr>
        <w:t>Market Price</w:t>
      </w:r>
      <w:r>
        <w:rPr>
          <w:rFonts w:ascii="Times New Roman;Times;serif" w:hAnsi="Times New Roman;Times;serif"/>
          <w:sz w:val="20"/>
        </w:rPr>
        <w:t>” means, with respect to any date of determination, that price which shall be the lower of (i) the applicable Conversion Price as in effect on the applicable Conversion Date of the applicable Alternate Conversion and (ii) the greater of (x) the Floor Price and (y) the lower of (A) 99% of the lowest daily VWAP of the ADSs during the seven (7) consecutive Trading Day period ending and including such date of determination (such applicable measuring period, each an “</w:t>
      </w:r>
      <w:r>
        <w:rPr>
          <w:rFonts w:ascii="Times New Roman;Times;serif" w:hAnsi="Times New Roman;Times;serif"/>
          <w:b/>
          <w:sz w:val="20"/>
        </w:rPr>
        <w:t>Alternate Conversion Measuring Period</w:t>
      </w:r>
      <w:r>
        <w:rPr>
          <w:rFonts w:ascii="Times New Roman;Times;serif" w:hAnsi="Times New Roman;Times;serif"/>
          <w:sz w:val="20"/>
        </w:rPr>
        <w:t>”) and (B) the lowest trading price of the ADSs traded on such date of determination. All such determinations to be appropriately adjusted for any share dividend, share subdivision, share combination and consolidation, reclassification or similar transaction (including, without limitation, any transaction or other event that proportionately decreases or increases the ratio of an Ordinary Share per ADS) during such Alternate Conversion Measuring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(tt)</w:t>
      </w:r>
      <w:r>
        <w:rPr>
          <w:rFonts w:ascii="Times New Roman;Times;serif" w:hAnsi="Times New Roman;Times;serif"/>
          <w:sz w:val="20"/>
        </w:rPr>
        <w:t>“</w:t>
      </w:r>
      <w:r>
        <w:rPr>
          <w:rFonts w:ascii="Times New Roman;Times;serif" w:hAnsi="Times New Roman;Times;serif"/>
          <w:b/>
          <w:sz w:val="20"/>
        </w:rPr>
        <w:t>Maturity Date</w:t>
      </w:r>
      <w:r>
        <w:rPr>
          <w:rFonts w:ascii="Times New Roman;Times;serif" w:hAnsi="Times New Roman;Times;serif"/>
          <w:sz w:val="20"/>
        </w:rPr>
        <w:t xml:space="preserve">” shall mean August 19, 2027;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w:t>
      </w:r>
      <w:r>
        <w:rPr>
          <w:rFonts w:ascii="Times New Roman;Times;serif" w:hAnsi="Times New Roman;Times;serif"/>
          <w:sz w:val="20"/>
          <w:u w:val="single"/>
        </w:rPr>
        <w:t>Section 3</w:t>
      </w:r>
      <w:r>
        <w:rPr>
          <w:rFonts w:ascii="Times New Roman;Times;serif" w:hAnsi="Times New Roman;Times;serif"/>
          <w:sz w:val="20"/>
        </w:rPr>
        <w:t xml:space="preserve"> hereof, and the Conversion Amount would be limited pursuant to </w:t>
      </w:r>
      <w:r>
        <w:rPr>
          <w:rFonts w:ascii="Times New Roman;Times;serif" w:hAnsi="Times New Roman;Times;serif"/>
          <w:sz w:val="20"/>
          <w:u w:val="single"/>
        </w:rPr>
        <w:t>Section 3(d)</w:t>
      </w:r>
      <w:r>
        <w:rPr>
          <w:rFonts w:ascii="Times New Roman;Times;serif" w:hAnsi="Times New Roman;Times;serif"/>
          <w:sz w:val="20"/>
        </w:rPr>
        <w:t xml:space="preserve"> hereunder, the Maturity Date shall automatically be extended until such time as such provision shall not limit the conversion of this Note.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(uu)</w:t>
      </w:r>
      <w:r>
        <w:rPr>
          <w:rFonts w:ascii="Times New Roman;Times;serif" w:hAnsi="Times New Roman;Times;serif"/>
          <w:sz w:val="20"/>
        </w:rPr>
        <w:t>“</w:t>
      </w:r>
      <w:r>
        <w:rPr>
          <w:rFonts w:ascii="Times New Roman;Times;serif" w:hAnsi="Times New Roman;Times;serif"/>
          <w:b/>
          <w:sz w:val="20"/>
        </w:rPr>
        <w:t>Options</w:t>
      </w:r>
      <w:r>
        <w:rPr>
          <w:rFonts w:ascii="Times New Roman;Times;serif" w:hAnsi="Times New Roman;Times;serif"/>
          <w:sz w:val="20"/>
        </w:rPr>
        <w:t>” means any rights, warrants or options to subscribe for or purchase Ordinary Shares, ADSs and/or Convertible Securities.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(vv)</w:t>
      </w:r>
      <w:r>
        <w:rPr>
          <w:rFonts w:ascii="Times New Roman;Times;serif" w:hAnsi="Times New Roman;Times;serif"/>
          <w:sz w:val="20"/>
        </w:rPr>
        <w:t>“</w:t>
      </w:r>
      <w:r>
        <w:rPr>
          <w:rFonts w:ascii="Times New Roman;Times;serif" w:hAnsi="Times New Roman;Times;serif"/>
          <w:b/>
          <w:sz w:val="20"/>
        </w:rPr>
        <w:t>Ordinary Shares</w:t>
      </w:r>
      <w:r>
        <w:rPr>
          <w:rFonts w:ascii="Times New Roman;Times;serif" w:hAnsi="Times New Roman;Times;serif"/>
          <w:sz w:val="20"/>
        </w:rPr>
        <w:t>” means (i) the Company’s ordinary shares, $0.00001 par value per share, and (ii) any share capital into which such ordinary shares shall have been changed or any share capital resulting from a reclassification of such ordinary shares.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w:t>
      </w:r>
      <w:r>
        <w:rPr>
          <w:rFonts w:ascii="Times New Roman;Times;serif" w:hAnsi="Times New Roman;Times;serif"/>
          <w:sz w:val="20"/>
        </w:rPr>
        <w:t>“</w:t>
      </w:r>
      <w:r>
        <w:rPr>
          <w:rFonts w:ascii="Times New Roman;Times;serif" w:hAnsi="Times New Roman;Times;serif"/>
          <w:b/>
          <w:sz w:val="20"/>
        </w:rPr>
        <w:t>Parent Entity</w:t>
      </w:r>
      <w:r>
        <w:rPr>
          <w:rFonts w:ascii="Times New Roman;Times;serif" w:hAnsi="Times New Roman;Times;serif"/>
          <w:sz w:val="20"/>
        </w:rPr>
        <w:t>” of a Person means an entity that, directly or indirectly, controls the applicable Person and whose ordinary shares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(xx)</w:t>
      </w:r>
      <w:r>
        <w:rPr>
          <w:rFonts w:ascii="Times New Roman;Times;serif" w:hAnsi="Times New Roman;Times;serif"/>
          <w:sz w:val="20"/>
        </w:rPr>
        <w:t>“</w:t>
      </w:r>
      <w:r>
        <w:rPr>
          <w:rFonts w:ascii="Times New Roman;Times;serif" w:hAnsi="Times New Roman;Times;serif"/>
          <w:b/>
          <w:sz w:val="20"/>
        </w:rPr>
        <w:t>Person</w:t>
      </w:r>
      <w:r>
        <w:rPr>
          <w:rFonts w:ascii="Times New Roman;Times;serif" w:hAnsi="Times New Roman;Times;serif"/>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(yy)</w:t>
      </w:r>
      <w:r>
        <w:rPr>
          <w:rFonts w:ascii="Times New Roman;Times;serif" w:hAnsi="Times New Roman;Times;serif"/>
          <w:sz w:val="20"/>
        </w:rPr>
        <w:t>“</w:t>
      </w:r>
      <w:r>
        <w:rPr>
          <w:rFonts w:ascii="Times New Roman;Times;serif" w:hAnsi="Times New Roman;Times;serif"/>
          <w:b/>
          <w:sz w:val="20"/>
        </w:rPr>
        <w:t>Price Failure</w:t>
      </w:r>
      <w:r>
        <w:rPr>
          <w:rFonts w:ascii="Times New Roman;Times;serif" w:hAnsi="Times New Roman;Times;serif"/>
          <w:sz w:val="20"/>
        </w:rPr>
        <w:t>” means, with respect to a particular date of determination, the VWAP of the ADSs on the Principal Market on (x) any four (4) of the Trading Days during the twenty-three (23) Trading Day period ending on the Trading Day immediately preceding such date of determination (such period, the “</w:t>
      </w:r>
      <w:r>
        <w:rPr>
          <w:rFonts w:ascii="Times New Roman;Times;serif" w:hAnsi="Times New Roman;Times;serif"/>
          <w:b/>
          <w:sz w:val="20"/>
        </w:rPr>
        <w:t>Price Failure Measuring Period</w:t>
      </w:r>
      <w:r>
        <w:rPr>
          <w:rFonts w:ascii="Times New Roman;Times;serif" w:hAnsi="Times New Roman;Times;serif"/>
          <w:sz w:val="20"/>
        </w:rPr>
        <w:t>”) or (y) any of the last ten (10) Trading Days during the Price Failure Measuring Period, as applicable, fails to exceed $1.00 (as adjusted for share splits, share dividends, share combinations, recapitalizations or other similar transactions (including, without limitation, any transaction or other event that proportionately decreases or increases the ratio of an Ordinary Share per ADS) occurring after the Subscription Date). All such determinations to be appropriately adjusted for any share splits, share dividends, share combinations, recapitalizations or other similar transactions (including, without limitation, any transaction or other event that proportionately decreases or increases the ratio of an Ordinary Share per ADS) during any such measuring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(zz)</w:t>
      </w:r>
      <w:r>
        <w:rPr>
          <w:rFonts w:ascii="Times New Roman;Times;serif" w:hAnsi="Times New Roman;Times;serif"/>
          <w:sz w:val="20"/>
        </w:rPr>
        <w:t>“</w:t>
      </w:r>
      <w:r>
        <w:rPr>
          <w:rFonts w:ascii="Times New Roman;Times;serif" w:hAnsi="Times New Roman;Times;serif"/>
          <w:b/>
          <w:sz w:val="20"/>
        </w:rPr>
        <w:t>Principal Market</w:t>
      </w:r>
      <w:r>
        <w:rPr>
          <w:rFonts w:ascii="Times New Roman;Times;serif" w:hAnsi="Times New Roman;Times;serif"/>
          <w:sz w:val="20"/>
        </w:rPr>
        <w:t>” means the Nasdaq Global Select Market.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(aaa)</w:t>
      </w:r>
      <w:r>
        <w:rPr>
          <w:rFonts w:ascii="Times New Roman;Times;serif" w:hAnsi="Times New Roman;Times;serif"/>
          <w:sz w:val="20"/>
        </w:rPr>
        <w:t>“</w:t>
      </w:r>
      <w:r>
        <w:rPr>
          <w:rFonts w:ascii="Times New Roman;Times;serif" w:hAnsi="Times New Roman;Times;serif"/>
          <w:b/>
          <w:sz w:val="20"/>
        </w:rPr>
        <w:t>Redemption Notices</w:t>
      </w:r>
      <w:r>
        <w:rPr>
          <w:rFonts w:ascii="Times New Roman;Times;serif" w:hAnsi="Times New Roman;Times;serif"/>
          <w:sz w:val="20"/>
        </w:rPr>
        <w:t>” means, collectively, the Event of Default Redemption Notices, the Company Optional Redemption Notices, the Change of Control Redemption Notices, and the Equity Line Mandatory Redemption Notices and each of the foregoing, individually, a “</w:t>
      </w:r>
      <w:r>
        <w:rPr>
          <w:rFonts w:ascii="Times New Roman;Times;serif" w:hAnsi="Times New Roman;Times;serif"/>
          <w:b/>
          <w:sz w:val="20"/>
        </w:rPr>
        <w:t>Redemption Notice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(bbb)</w:t>
      </w:r>
      <w:r>
        <w:rPr>
          <w:rFonts w:ascii="Times New Roman;Times;serif" w:hAnsi="Times New Roman;Times;serif"/>
          <w:sz w:val="20"/>
        </w:rPr>
        <w:t>“</w:t>
      </w:r>
      <w:r>
        <w:rPr>
          <w:rFonts w:ascii="Times New Roman;Times;serif" w:hAnsi="Times New Roman;Times;serif"/>
          <w:b/>
          <w:sz w:val="20"/>
        </w:rPr>
        <w:t>Redemption Premium</w:t>
      </w:r>
      <w:r>
        <w:rPr>
          <w:rFonts w:ascii="Times New Roman;Times;serif" w:hAnsi="Times New Roman;Times;serif"/>
          <w:sz w:val="20"/>
        </w:rPr>
        <w:t>” means 125%.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(ccc)</w:t>
      </w:r>
      <w:r>
        <w:rPr>
          <w:rFonts w:ascii="Times New Roman;Times;serif" w:hAnsi="Times New Roman;Times;serif"/>
          <w:sz w:val="20"/>
        </w:rPr>
        <w:t>“</w:t>
      </w:r>
      <w:r>
        <w:rPr>
          <w:rFonts w:ascii="Times New Roman;Times;serif" w:hAnsi="Times New Roman;Times;serif"/>
          <w:b/>
          <w:sz w:val="20"/>
        </w:rPr>
        <w:t>Redemption Prices</w:t>
      </w:r>
      <w:r>
        <w:rPr>
          <w:rFonts w:ascii="Times New Roman;Times;serif" w:hAnsi="Times New Roman;Times;serif"/>
          <w:sz w:val="20"/>
        </w:rPr>
        <w:t>” means, collectively, Event of Default Redemption Prices, the Change of Control Redemption Prices, the Company Optional Redemption Prices, and the Equity Line Mandatory Redemption Prices and each of the foregoing, individually, a “</w:t>
      </w:r>
      <w:r>
        <w:rPr>
          <w:rFonts w:ascii="Times New Roman;Times;serif" w:hAnsi="Times New Roman;Times;serif"/>
          <w:b/>
          <w:sz w:val="20"/>
        </w:rPr>
        <w:t>Redemption Price</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(ddd)</w:t>
      </w:r>
      <w:r>
        <w:rPr>
          <w:rFonts w:ascii="Times New Roman;Times;serif" w:hAnsi="Times New Roman;Times;serif"/>
          <w:sz w:val="20"/>
        </w:rPr>
        <w:t>“</w:t>
      </w:r>
      <w:r>
        <w:rPr>
          <w:rFonts w:ascii="Times New Roman;Times;serif" w:hAnsi="Times New Roman;Times;serif"/>
          <w:b/>
          <w:sz w:val="20"/>
        </w:rPr>
        <w:t>SEC</w:t>
      </w:r>
      <w:r>
        <w:rPr>
          <w:rFonts w:ascii="Times New Roman;Times;serif" w:hAnsi="Times New Roman;Times;serif"/>
          <w:sz w:val="20"/>
        </w:rPr>
        <w:t>” means the United States Securities and Exchange Commission or the successor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(eee)</w:t>
      </w:r>
      <w:r>
        <w:rPr>
          <w:rFonts w:ascii="Times New Roman;Times;serif" w:hAnsi="Times New Roman;Times;serif"/>
          <w:sz w:val="20"/>
        </w:rPr>
        <w:t>“</w:t>
      </w:r>
      <w:r>
        <w:rPr>
          <w:rFonts w:ascii="Times New Roman;Times;serif" w:hAnsi="Times New Roman;Times;serif"/>
          <w:b/>
          <w:sz w:val="20"/>
        </w:rPr>
        <w:t>Securities Purchase Agreement</w:t>
      </w:r>
      <w:r>
        <w:rPr>
          <w:rFonts w:ascii="Times New Roman;Times;serif" w:hAnsi="Times New Roman;Times;serif"/>
          <w:sz w:val="20"/>
        </w:rPr>
        <w:t>” means that certain securities purchase agreement, dated as of the Subscription Date, by and among the Company and the initial holders of the Notes pursuant to which the Company issued the Notes, as may be amended from time to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(fff)</w:t>
      </w:r>
      <w:r>
        <w:rPr>
          <w:rFonts w:ascii="Times New Roman;Times;serif" w:hAnsi="Times New Roman;Times;serif"/>
          <w:sz w:val="20"/>
        </w:rPr>
        <w:t>“</w:t>
      </w:r>
      <w:r>
        <w:rPr>
          <w:rFonts w:ascii="Times New Roman;Times;serif" w:hAnsi="Times New Roman;Times;serif"/>
          <w:b/>
          <w:sz w:val="20"/>
        </w:rPr>
        <w:t>Share Failure Redemption Value</w:t>
      </w:r>
      <w:r>
        <w:rPr>
          <w:rFonts w:ascii="Times New Roman;Times;serif" w:hAnsi="Times New Roman;Times;serif"/>
          <w:sz w:val="20"/>
        </w:rPr>
        <w:t xml:space="preserve">” means the quotient of (A) the greatest Closing Sale Price of the ADSs on any Trading Day during the period commencing on the date immediately preceding such Event of Default and ending on (and including) the date immediately preceding the date on which the Company makes the entire payment required to be made under </w:t>
      </w:r>
      <w:r>
        <w:rPr>
          <w:rFonts w:ascii="Times New Roman;Times;serif" w:hAnsi="Times New Roman;Times;serif"/>
          <w:sz w:val="20"/>
          <w:u w:val="single"/>
        </w:rPr>
        <w:t>Section 4(b)</w:t>
      </w:r>
      <w:r>
        <w:rPr>
          <w:rFonts w:ascii="Times New Roman;Times;serif" w:hAnsi="Times New Roman;Times;serif"/>
          <w:sz w:val="20"/>
        </w:rPr>
        <w:t xml:space="preserve"> divided by (B) the Alternate Conversion Price then in effect at such time as the Holder delivers an Event of Default Redemption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(ggg)</w:t>
      </w:r>
      <w:r>
        <w:rPr>
          <w:rFonts w:ascii="Times New Roman;Times;serif" w:hAnsi="Times New Roman;Times;serif"/>
          <w:sz w:val="20"/>
        </w:rPr>
        <w:t>“</w:t>
      </w:r>
      <w:r>
        <w:rPr>
          <w:rFonts w:ascii="Times New Roman;Times;serif" w:hAnsi="Times New Roman;Times;serif"/>
          <w:b/>
          <w:sz w:val="20"/>
        </w:rPr>
        <w:t>Significant Subsidiary</w:t>
      </w:r>
      <w:r>
        <w:rPr>
          <w:rFonts w:ascii="Times New Roman;Times;serif" w:hAnsi="Times New Roman;Times;serif"/>
          <w:sz w:val="20"/>
        </w:rPr>
        <w:t>” means a Subsidiary that meets the definition of “significant subsidiary” in Article 1, Rule 1-02 of Regulation S-X under the Exchange 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(hhh)</w:t>
      </w:r>
      <w:r>
        <w:rPr>
          <w:rFonts w:ascii="Times New Roman;Times;serif" w:hAnsi="Times New Roman;Times;serif"/>
          <w:sz w:val="20"/>
        </w:rPr>
        <w:t>“</w:t>
      </w:r>
      <w:r>
        <w:rPr>
          <w:rFonts w:ascii="Times New Roman;Times;serif" w:hAnsi="Times New Roman;Times;serif"/>
          <w:b/>
          <w:sz w:val="20"/>
        </w:rPr>
        <w:t>SOFR</w:t>
      </w:r>
      <w:r>
        <w:rPr>
          <w:rFonts w:ascii="Times New Roman;Times;serif" w:hAnsi="Times New Roman;Times;serif"/>
          <w:sz w:val="20"/>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w:t>
      </w:r>
      <w:r>
        <w:rPr>
          <w:rFonts w:ascii="Times New Roman;Times;serif" w:hAnsi="Times New Roman;Times;serif"/>
          <w:b/>
          <w:sz w:val="20"/>
        </w:rPr>
        <w:t>SOFR Administrator</w:t>
      </w:r>
      <w:r>
        <w:rPr>
          <w:rFonts w:ascii="Times New Roman;Times;serif" w:hAnsi="Times New Roman;Times;serif"/>
          <w:sz w:val="20"/>
        </w:rPr>
        <w:t>” means the Federal Reserve Bank of New York, as the administrator of SOFR, or any successor administrator of SOFR designated by the Federal Reserve Bank of New York or other Person acting as the SOFR Administrator at such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(jjj)</w:t>
      </w:r>
      <w:r>
        <w:rPr>
          <w:rFonts w:ascii="Times New Roman;Times;serif" w:hAnsi="Times New Roman;Times;serif"/>
          <w:sz w:val="20"/>
        </w:rPr>
        <w:t>“</w:t>
      </w:r>
      <w:r>
        <w:rPr>
          <w:rFonts w:ascii="Times New Roman;Times;serif" w:hAnsi="Times New Roman;Times;serif"/>
          <w:b/>
          <w:sz w:val="20"/>
        </w:rPr>
        <w:t>SOFR Administrator’s Website</w:t>
      </w:r>
      <w:r>
        <w:rPr>
          <w:rFonts w:ascii="Times New Roman;Times;serif" w:hAnsi="Times New Roman;Times;serif"/>
          <w:sz w:val="20"/>
        </w:rPr>
        <w:t>” 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(kkk)</w:t>
      </w:r>
      <w:r>
        <w:rPr>
          <w:rFonts w:ascii="Times New Roman;Times;serif" w:hAnsi="Times New Roman;Times;serif"/>
          <w:sz w:val="20"/>
        </w:rPr>
        <w:t>“</w:t>
      </w:r>
      <w:r>
        <w:rPr>
          <w:rFonts w:ascii="Times New Roman;Times;serif" w:hAnsi="Times New Roman;Times;serif"/>
          <w:b/>
          <w:sz w:val="20"/>
        </w:rPr>
        <w:t>Strategic Investment</w:t>
      </w:r>
      <w:r>
        <w:rPr>
          <w:rFonts w:ascii="Times New Roman;Times;serif" w:hAnsi="Times New Roman;Times;serif"/>
          <w:sz w:val="20"/>
        </w:rPr>
        <w:t>” means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(w) the primary purpose of such issuance is not to raise capital as reasonably determined by a majority of the disinterested directors of the Company,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(y)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and (z) (i) the securities are issued as “restricted securities” (as defined in Rule 144) and carry no registration rights that require or permit the filing of any registration statement in connection therewith prior to the Applicable Date and (ii) the purchaser, acquirer or recipient of the securities in such issuance is subject to contractual lock-up obligations for a period of no less than six (6) months after the consummation of such issuance.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(lll)</w:t>
      </w:r>
      <w:r>
        <w:rPr>
          <w:rFonts w:ascii="Times New Roman;Times;serif" w:hAnsi="Times New Roman;Times;serif"/>
          <w:sz w:val="20"/>
        </w:rPr>
        <w:t>“</w:t>
      </w:r>
      <w:r>
        <w:rPr>
          <w:rFonts w:ascii="Times New Roman;Times;serif" w:hAnsi="Times New Roman;Times;serif"/>
          <w:b/>
          <w:sz w:val="20"/>
        </w:rPr>
        <w:t>Subscription Date</w:t>
      </w:r>
      <w:r>
        <w:rPr>
          <w:rFonts w:ascii="Times New Roman;Times;serif" w:hAnsi="Times New Roman;Times;serif"/>
          <w:sz w:val="20"/>
        </w:rPr>
        <w:t>” means August 19, 2025.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(mmm)</w:t>
      </w:r>
      <w:r>
        <w:rPr>
          <w:rFonts w:ascii="Times New Roman;Times;serif" w:hAnsi="Times New Roman;Times;serif"/>
          <w:sz w:val="20"/>
        </w:rPr>
        <w:t>“</w:t>
      </w:r>
      <w:r>
        <w:rPr>
          <w:rFonts w:ascii="Times New Roman;Times;serif" w:hAnsi="Times New Roman;Times;serif"/>
          <w:b/>
          <w:sz w:val="20"/>
        </w:rPr>
        <w:t>Subsidiaries</w:t>
      </w:r>
      <w:r>
        <w:rPr>
          <w:rFonts w:ascii="Times New Roman;Times;serif" w:hAnsi="Times New Roman;Times;serif"/>
          <w:sz w:val="20"/>
        </w:rPr>
        <w:t>” shall have the meaning ascribed to such term in the Securities Purchase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(nnn)</w:t>
      </w:r>
      <w:r>
        <w:rPr>
          <w:rFonts w:ascii="Times New Roman;Times;serif" w:hAnsi="Times New Roman;Times;serif"/>
          <w:sz w:val="20"/>
        </w:rPr>
        <w:t>“</w:t>
      </w:r>
      <w:r>
        <w:rPr>
          <w:rFonts w:ascii="Times New Roman;Times;serif" w:hAnsi="Times New Roman;Times;serif"/>
          <w:b/>
          <w:sz w:val="20"/>
        </w:rPr>
        <w:t>Subject Entity</w:t>
      </w:r>
      <w:r>
        <w:rPr>
          <w:rFonts w:ascii="Times New Roman;Times;serif" w:hAnsi="Times New Roman;Times;serif"/>
          <w:sz w:val="20"/>
        </w:rPr>
        <w:t>” means any Person, Persons or Group or any Affiliate or associate of any such Person, Persons or Group.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(ooo)</w:t>
      </w:r>
      <w:r>
        <w:rPr>
          <w:rFonts w:ascii="Times New Roman;Times;serif" w:hAnsi="Times New Roman;Times;serif"/>
          <w:sz w:val="20"/>
        </w:rPr>
        <w:t>“</w:t>
      </w:r>
      <w:r>
        <w:rPr>
          <w:rFonts w:ascii="Times New Roman;Times;serif" w:hAnsi="Times New Roman;Times;serif"/>
          <w:b/>
          <w:sz w:val="20"/>
        </w:rPr>
        <w:t>Successor Entity</w:t>
      </w:r>
      <w:r>
        <w:rPr>
          <w:rFonts w:ascii="Times New Roman;Times;serif" w:hAnsi="Times New Roman;Times;serif"/>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(ppp)</w:t>
      </w:r>
      <w:r>
        <w:rPr>
          <w:rFonts w:ascii="Times New Roman;Times;serif" w:hAnsi="Times New Roman;Times;serif"/>
          <w:sz w:val="20"/>
        </w:rPr>
        <w:t>“</w:t>
      </w:r>
      <w:r>
        <w:rPr>
          <w:rFonts w:ascii="Times New Roman;Times;serif" w:hAnsi="Times New Roman;Times;serif"/>
          <w:b/>
          <w:sz w:val="20"/>
        </w:rPr>
        <w:t>Supplemental Indenture</w:t>
      </w:r>
      <w:r>
        <w:rPr>
          <w:rFonts w:ascii="Times New Roman;Times;serif" w:hAnsi="Times New Roman;Times;serif"/>
          <w:sz w:val="20"/>
        </w:rPr>
        <w:t>” shall have the meaning ascribed to such term in the Securities Purchase Agreement, as each such supplemental indenture may be amended, modified or supplemented from time to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(qqq)</w:t>
      </w:r>
      <w:r>
        <w:rPr>
          <w:rFonts w:ascii="Times New Roman;Times;serif" w:hAnsi="Times New Roman;Times;serif"/>
          <w:sz w:val="20"/>
        </w:rPr>
        <w:t>“</w:t>
      </w:r>
      <w:r>
        <w:rPr>
          <w:rFonts w:ascii="Times New Roman;Times;serif" w:hAnsi="Times New Roman;Times;serif"/>
          <w:b/>
          <w:sz w:val="20"/>
        </w:rPr>
        <w:t>Trading Day</w:t>
      </w:r>
      <w:r>
        <w:rPr>
          <w:rFonts w:ascii="Times New Roman;Times;serif" w:hAnsi="Times New Roman;Times;serif"/>
          <w:sz w:val="20"/>
        </w:rPr>
        <w:t>” means, as applicable, (x) with respect to all price or trading volume determinations relating to the ADSs, any day on which the ADSs is traded on the Principal Market, or, if the Principal Market is not the principal trading market for the ADSs, then on the principal securities exchange or securities market on which the ADSs is then traded, provided that “Trading Day” shall not include any day on which the ADSs is scheduled to trade on such exchange or market for less than 4.5 hours or any day that the ADSs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ADSs, any day on which Nasdaq Stock Market (or any successor thereto) is open for trading of securities.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(rrr)</w:t>
      </w:r>
      <w:r>
        <w:rPr>
          <w:rFonts w:ascii="Times New Roman;Times;serif" w:hAnsi="Times New Roman;Times;serif"/>
          <w:sz w:val="20"/>
        </w:rPr>
        <w:t>“</w:t>
      </w:r>
      <w:r>
        <w:rPr>
          <w:rFonts w:ascii="Times New Roman;Times;serif" w:hAnsi="Times New Roman;Times;serif"/>
          <w:b/>
          <w:sz w:val="20"/>
        </w:rPr>
        <w:t>Trustee</w:t>
      </w:r>
      <w:r>
        <w:rPr>
          <w:rFonts w:ascii="Times New Roman;Times;serif" w:hAnsi="Times New Roman;Times;serif"/>
          <w:sz w:val="20"/>
        </w:rPr>
        <w:t>” means U.S. Bank Trust Company, National Association, in its capacity as trustee under the Indenture, or any successor or any additional trustee appointed with respect to the Notes pursuant to the Indenture.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(sss)</w:t>
      </w:r>
      <w:r>
        <w:rPr>
          <w:rFonts w:ascii="Times New Roman;Times;serif" w:hAnsi="Times New Roman;Times;serif"/>
          <w:sz w:val="20"/>
        </w:rPr>
        <w:t>“</w:t>
      </w:r>
      <w:r>
        <w:rPr>
          <w:rFonts w:ascii="Times New Roman;Times;serif" w:hAnsi="Times New Roman;Times;serif"/>
          <w:b/>
          <w:sz w:val="20"/>
        </w:rPr>
        <w:t>VWAP</w:t>
      </w:r>
      <w:r>
        <w:rPr>
          <w:rFonts w:ascii="Times New Roman;Times;serif" w:hAnsi="Times New Roman;Times;serif"/>
          <w:sz w:val="20"/>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w:t>
      </w:r>
      <w:r>
        <w:rPr>
          <w:rFonts w:ascii="Times New Roman;Times;serif" w:hAnsi="Times New Roman;Times;serif"/>
          <w:sz w:val="20"/>
          <w:u w:val="single"/>
        </w:rPr>
        <w:t>Section 23</w:t>
      </w:r>
      <w:r>
        <w:rPr>
          <w:rFonts w:ascii="Times New Roman;Times;serif" w:hAnsi="Times New Roman;Times;serif"/>
          <w:sz w:val="20"/>
        </w:rPr>
        <w:t>. All such determinations shall be appropriately adjusted for any share dividend, share split, share combination, recapitalization or other similar transaction (including, without limitation, any transaction or other event that proportionately decreases or increases the ratio of an Ordinary Share per ADS) during such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u w:val="single"/>
        </w:rPr>
        <w:t>DISCLOSURE</w:t>
      </w:r>
      <w:r>
        <w:rPr>
          <w:rFonts w:ascii="Times New Roman;Times;serif" w:hAnsi="Times New Roman;Times;serif"/>
          <w:sz w:val="20"/>
        </w:rPr>
        <w:t xml:space="preserve">.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Report of Foreign Private Issuer on Form 6-K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Times New Roman;Times;serif" w:hAnsi="Times New Roman;Times;serif"/>
          <w:sz w:val="20"/>
          <w:u w:val="single"/>
        </w:rPr>
        <w:t>Section 32</w:t>
      </w:r>
      <w:r>
        <w:rPr>
          <w:rFonts w:ascii="Times New Roman;Times;serif" w:hAnsi="Times New Roman;Times;serif"/>
          <w:sz w:val="20"/>
        </w:rPr>
        <w:t xml:space="preserve"> shall limit any obligations of the Company, or any rights of the Holder, under Section 4(l) of the Securities Purchase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w:t>
      </w:r>
      <w:r>
        <w:rPr>
          <w:rFonts w:ascii="Times New Roman;Times;serif" w:hAnsi="Times New Roman;Times;serif"/>
          <w:sz w:val="20"/>
          <w:u w:val="single"/>
        </w:rPr>
        <w:t>ABSENCE OF TRADING AND DISCLOSURE RESTRICTIONS</w:t>
      </w:r>
      <w:r>
        <w:rPr>
          <w:rFonts w:ascii="Times New Roman;Times;serif" w:hAnsi="Times New Roman;Times;serif"/>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40"/>
        <w:ind w:left="0" w:right="0" w:hanging="0"/>
        <w:jc w:val="left"/>
        <w:rPr>
          <w:color w:val="424142"/>
        </w:rPr>
      </w:pPr>
      <w:r>
        <w:rPr>
          <w:color w:val="424142"/>
        </w:rPr>
        <w:t>​</w:t>
      </w:r>
    </w:p>
    <w:p>
      <w:pPr>
        <w:pStyle w:val="TextBody"/>
        <w:bidi w:val="0"/>
        <w:spacing w:before="0" w:after="240"/>
        <w:ind w:left="0" w:right="0" w:hanging="0"/>
        <w:jc w:val="left"/>
        <w:rPr>
          <w:color w:val="424142"/>
        </w:rPr>
      </w:pPr>
      <w:r>
        <w:rPr>
          <w:color w:val="42414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color w:val="424142"/>
          <w:sz w:val="20"/>
        </w:rPr>
      </w:pPr>
      <w:r>
        <w:rPr>
          <w:rFonts w:ascii="Times New Roman;Times;serif" w:hAnsi="Times New Roman;Times;serif"/>
          <w:color w:val="424142"/>
          <w:sz w:val="20"/>
        </w:rPr>
        <w:t>IN WITNESS WHEREOF, the Company and the Holder has caused this Note to be duly executed as of the Issuance Date set out above.</w:t>
      </w:r>
    </w:p>
    <w:tbl>
      <w:tblPr>
        <w:tblW w:w="7023" w:type="dxa"/>
        <w:jc w:val="left"/>
        <w:tblInd w:w="0" w:type="dxa"/>
        <w:tblLayout w:type="fixed"/>
        <w:tblCellMar>
          <w:top w:w="0" w:type="dxa"/>
          <w:left w:w="0" w:type="dxa"/>
          <w:bottom w:w="0" w:type="dxa"/>
          <w:right w:w="0" w:type="dxa"/>
        </w:tblCellMar>
      </w:tblPr>
      <w:tblGrid>
        <w:gridCol w:w="4321"/>
        <w:gridCol w:w="631"/>
        <w:gridCol w:w="2071"/>
      </w:tblGrid>
      <w:tr>
        <w:trPr/>
        <w:tc>
          <w:tcPr>
            <w:tcW w:w="4321"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b/>
                <w:color w:val="424142"/>
                <w:sz w:val="20"/>
              </w:rPr>
            </w:pPr>
            <w:r>
              <w:rPr>
                <w:rFonts w:ascii="Times New Roman;Times;serif" w:hAnsi="Times New Roman;Times;serif"/>
                <w:b/>
                <w:color w:val="424142"/>
                <w:sz w:val="20"/>
              </w:rPr>
              <w:t>THE COMPANY:</w:t>
            </w:r>
          </w:p>
        </w:tc>
      </w:tr>
      <w:tr>
        <w:trPr/>
        <w:tc>
          <w:tcPr>
            <w:tcW w:w="4321"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LOTUS TECHNOLOGY INC.</w:t>
            </w:r>
          </w:p>
        </w:tc>
      </w:tr>
      <w:tr>
        <w:trPr/>
        <w:tc>
          <w:tcPr>
            <w:tcW w:w="43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Qingfeng Feng</w:t>
            </w:r>
          </w:p>
        </w:tc>
      </w:tr>
      <w:tr>
        <w:trPr/>
        <w:tc>
          <w:tcPr>
            <w:tcW w:w="43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Qingfeng Feng</w:t>
            </w:r>
          </w:p>
        </w:tc>
      </w:tr>
      <w:tr>
        <w:trPr/>
        <w:tc>
          <w:tcPr>
            <w:tcW w:w="43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43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1F1F1F"/>
                <w:sz w:val="20"/>
              </w:rPr>
              <w:t xml:space="preserve">Agreed and accepted, as of this </w:t>
            </w:r>
            <w:r>
              <w:rPr>
                <w:rFonts w:ascii="Times New Roman;Times;serif" w:hAnsi="Times New Roman;Times;serif"/>
                <w:color w:val="1F1F1F"/>
                <w:sz w:val="20"/>
                <w:u w:val="single"/>
              </w:rPr>
              <w:t>            </w:t>
            </w:r>
            <w:r>
              <w:rPr>
                <w:rFonts w:ascii="Times New Roman;Times;serif" w:hAnsi="Times New Roman;Times;serif"/>
                <w:color w:val="1F1F1F"/>
                <w:sz w:val="20"/>
              </w:rPr>
              <w:t> of </w:t>
            </w:r>
            <w:r>
              <w:rPr>
                <w:rFonts w:ascii="Times New Roman;Times;serif" w:hAnsi="Times New Roman;Times;serif"/>
                <w:color w:val="1F1F1F"/>
                <w:sz w:val="20"/>
                <w:u w:val="single"/>
              </w:rPr>
              <w:t>            </w:t>
            </w:r>
            <w:r>
              <w:rPr>
                <w:rFonts w:ascii="Times New Roman;Times;serif" w:hAnsi="Times New Roman;Times;serif"/>
                <w:color w:val="1F1F1F"/>
                <w:sz w:val="20"/>
              </w:rPr>
              <w:t> by:</w:t>
            </w:r>
          </w:p>
        </w:tc>
        <w:tc>
          <w:tcPr>
            <w:tcW w:w="63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color w:val="1F1F1F"/>
        </w:rPr>
      </w:pPr>
      <w:r>
        <w:rPr>
          <w:color w:val="1F1F1F"/>
        </w:rPr>
        <w:t>​</w:t>
      </w:r>
    </w:p>
    <w:tbl>
      <w:tblPr>
        <w:tblW w:w="1530" w:type="dxa"/>
        <w:jc w:val="left"/>
        <w:tblInd w:w="0" w:type="dxa"/>
        <w:tblLayout w:type="fixed"/>
        <w:tblCellMar>
          <w:top w:w="0" w:type="dxa"/>
          <w:left w:w="0" w:type="dxa"/>
          <w:bottom w:w="0" w:type="dxa"/>
          <w:right w:w="0" w:type="dxa"/>
        </w:tblCellMar>
      </w:tblPr>
      <w:tblGrid>
        <w:gridCol w:w="1211"/>
        <w:gridCol w:w="319"/>
      </w:tblGrid>
      <w:tr>
        <w:trPr/>
        <w:tc>
          <w:tcPr>
            <w:tcW w:w="1530" w:type="dxa"/>
            <w:gridSpan w:val="2"/>
            <w:tcBorders/>
            <w:vAlign w:val="center"/>
          </w:tcPr>
          <w:p>
            <w:pPr>
              <w:pStyle w:val="TableContents"/>
              <w:bidi w:val="0"/>
              <w:spacing w:before="0" w:after="0"/>
              <w:ind w:left="0" w:right="0" w:hanging="0"/>
              <w:jc w:val="left"/>
              <w:rPr>
                <w:rFonts w:ascii="Times New Roman;Times;serif" w:hAnsi="Times New Roman;Times;serif"/>
                <w:b/>
                <w:color w:val="1F1F1F"/>
                <w:sz w:val="20"/>
              </w:rPr>
            </w:pPr>
            <w:r>
              <w:rPr>
                <w:rFonts w:ascii="Times New Roman;Times;serif" w:hAnsi="Times New Roman;Times;serif"/>
                <w:b/>
                <w:color w:val="1F1F1F"/>
                <w:sz w:val="20"/>
              </w:rPr>
              <w:t>THE HOLDER:</w:t>
            </w:r>
          </w:p>
        </w:tc>
      </w:tr>
      <w:tr>
        <w:trPr/>
        <w:tc>
          <w:tcPr>
            <w:tcW w:w="1211"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1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9"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74" w:right="0" w:firstLine="1"/>
        <w:jc w:val="left"/>
        <w:rPr/>
      </w:pPr>
      <w:r>
        <w:rPr/>
        <w:t>​</w:t>
      </w:r>
    </w:p>
    <w:p>
      <w:pPr>
        <w:pStyle w:val="TextBody"/>
        <w:bidi w:val="0"/>
        <w:spacing w:before="0" w:after="240"/>
        <w:ind w:left="0" w:right="0" w:hanging="0"/>
        <w:jc w:val="center"/>
        <w:rPr>
          <w:rFonts w:ascii="Times New Roman;Times;serif" w:hAnsi="Times New Roman;Times;serif"/>
          <w:b/>
          <w:color w:val="1F1F1F"/>
          <w:sz w:val="20"/>
        </w:rPr>
      </w:pPr>
      <w:r>
        <w:rPr>
          <w:rFonts w:ascii="Times New Roman;Times;serif" w:hAnsi="Times New Roman;Times;serif"/>
          <w:b/>
          <w:color w:val="1F1F1F"/>
          <w:sz w:val="20"/>
        </w:rPr>
        <w:t>CERTIFICATE OF AUTHENTICATION</w:t>
      </w:r>
    </w:p>
    <w:p>
      <w:pPr>
        <w:pStyle w:val="TextBody"/>
        <w:bidi w:val="0"/>
        <w:spacing w:before="0" w:after="240"/>
        <w:ind w:left="0" w:right="0" w:firstLine="720"/>
        <w:jc w:val="left"/>
        <w:rPr>
          <w:rFonts w:ascii="Times New Roman;Times;serif" w:hAnsi="Times New Roman;Times;serif"/>
          <w:color w:val="1F1F1F"/>
          <w:sz w:val="20"/>
        </w:rPr>
      </w:pPr>
      <w:r>
        <w:rPr>
          <w:rFonts w:ascii="Times New Roman;Times;serif" w:hAnsi="Times New Roman;Times;serif"/>
          <w:color w:val="1F1F1F"/>
          <w:sz w:val="20"/>
        </w:rPr>
        <w:t>This is one of the Securities of the series designated herein referred to in the within-mentioned Indenture and the applicable Supplemental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1F1F1F"/>
          <w:sz w:val="20"/>
        </w:rPr>
        <w:t>Dated:</w:t>
      </w:r>
      <w:r>
        <w:rPr>
          <w:rFonts w:ascii="Times New Roman;Times;serif" w:hAnsi="Times New Roman;Times;serif"/>
          <w:sz w:val="20"/>
        </w:rPr>
        <w:t> </w:t>
      </w:r>
      <w:r>
        <w:rPr>
          <w:rFonts w:ascii="Times New Roman;Times;serif" w:hAnsi="Times New Roman;Times;serif"/>
          <w:sz w:val="20"/>
          <w:u w:val="single"/>
        </w:rPr>
        <w:t>                 </w:t>
      </w:r>
      <w:r>
        <w:rPr>
          <w:rFonts w:ascii="Times New Roman;Times;serif" w:hAnsi="Times New Roman;Times;serif"/>
          <w:sz w:val="20"/>
        </w:rPr>
        <w:t>,</w:t>
      </w:r>
      <w:r>
        <w:rPr>
          <w:rFonts w:ascii="Times New Roman;Times;serif" w:hAnsi="Times New Roman;Times;serif"/>
          <w:color w:val="1F1F1F"/>
          <w:sz w:val="20"/>
        </w:rPr>
        <w:t xml:space="preserve"> 20</w:t>
      </w:r>
      <w:r>
        <w:rPr>
          <w:rFonts w:ascii="Times New Roman;Times;serif" w:hAnsi="Times New Roman;Times;serif"/>
          <w:color w:val="1F1F1F"/>
          <w:sz w:val="20"/>
          <w:u w:val="single"/>
        </w:rPr>
        <w:t>   </w:t>
      </w:r>
    </w:p>
    <w:p>
      <w:pPr>
        <w:pStyle w:val="TextBody"/>
        <w:bidi w:val="0"/>
        <w:spacing w:before="0" w:after="0"/>
        <w:ind w:left="0" w:right="0" w:hanging="0"/>
        <w:jc w:val="left"/>
        <w:rPr>
          <w:rFonts w:ascii="Times New Roman;Times;serif" w:hAnsi="Times New Roman;Times;serif"/>
          <w:b/>
          <w:color w:val="1F1F1F"/>
          <w:sz w:val="20"/>
        </w:rPr>
      </w:pPr>
      <w:r>
        <w:rPr>
          <w:rFonts w:ascii="Times New Roman;Times;serif" w:hAnsi="Times New Roman;Times;serif"/>
          <w:b/>
          <w:color w:val="1F1F1F"/>
          <w:sz w:val="20"/>
        </w:rPr>
        <w:t>U.S. BANK TRUST COMPANY,</w:t>
      </w:r>
    </w:p>
    <w:p>
      <w:pPr>
        <w:pStyle w:val="TextBody"/>
        <w:bidi w:val="0"/>
        <w:spacing w:before="0" w:after="240"/>
        <w:ind w:left="0" w:right="0" w:hanging="0"/>
        <w:jc w:val="left"/>
        <w:rPr>
          <w:rFonts w:ascii="Times New Roman;Times;serif" w:hAnsi="Times New Roman;Times;serif"/>
          <w:b/>
          <w:color w:val="1F1F1F"/>
          <w:sz w:val="20"/>
        </w:rPr>
      </w:pPr>
      <w:r>
        <w:rPr>
          <w:rFonts w:ascii="Times New Roman;Times;serif" w:hAnsi="Times New Roman;Times;serif"/>
          <w:b/>
          <w:color w:val="1F1F1F"/>
          <w:sz w:val="20"/>
        </w:rPr>
        <w:t>NATIONAL ASSOCIATION</w:t>
      </w:r>
    </w:p>
    <w:tbl>
      <w:tblPr>
        <w:tblW w:w="800" w:type="dxa"/>
        <w:jc w:val="left"/>
        <w:tblInd w:w="0" w:type="dxa"/>
        <w:tblLayout w:type="fixed"/>
        <w:tblCellMar>
          <w:top w:w="0" w:type="dxa"/>
          <w:left w:w="0" w:type="dxa"/>
          <w:bottom w:w="0" w:type="dxa"/>
          <w:right w:w="0" w:type="dxa"/>
        </w:tblCellMar>
      </w:tblPr>
      <w:tblGrid>
        <w:gridCol w:w="64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Senior Convertible Note - Signature Page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the Company and the Holder has caused this Note to be duly executed as of the Issuance Date set out above.</w:t>
      </w:r>
    </w:p>
    <w:tbl>
      <w:tblPr>
        <w:tblW w:w="7200" w:type="dxa"/>
        <w:jc w:val="left"/>
        <w:tblInd w:w="0" w:type="dxa"/>
        <w:tblLayout w:type="fixed"/>
        <w:tblCellMar>
          <w:top w:w="0" w:type="dxa"/>
          <w:left w:w="0" w:type="dxa"/>
          <w:bottom w:w="0" w:type="dxa"/>
          <w:right w:w="0" w:type="dxa"/>
        </w:tblCellMar>
      </w:tblPr>
      <w:tblGrid>
        <w:gridCol w:w="2392"/>
        <w:gridCol w:w="2108"/>
        <w:gridCol w:w="970"/>
        <w:gridCol w:w="1730"/>
      </w:tblGrid>
      <w:tr>
        <w:trPr/>
        <w:tc>
          <w:tcPr>
            <w:tcW w:w="4500" w:type="dxa"/>
            <w:gridSpan w:val="2"/>
            <w:tcBorders/>
            <w:vAlign w:val="center"/>
          </w:tcPr>
          <w:p>
            <w:pPr>
              <w:pStyle w:val="TableContents"/>
              <w:bidi w:val="0"/>
              <w:spacing w:before="0" w:after="0"/>
              <w:ind w:left="0" w:right="0" w:hanging="0"/>
              <w:jc w:val="left"/>
              <w:rPr/>
            </w:pPr>
            <w:r>
              <w:rPr/>
              <w:t>​</w:t>
            </w:r>
          </w:p>
        </w:tc>
        <w:tc>
          <w:tcPr>
            <w:tcW w:w="2700" w:type="dxa"/>
            <w:gridSpan w:val="2"/>
            <w:tcBorders/>
            <w:vAlign w:val="center"/>
          </w:tcPr>
          <w:p>
            <w:pPr>
              <w:pStyle w:val="TableContents"/>
              <w:bidi w:val="0"/>
              <w:spacing w:before="0" w:after="0"/>
              <w:ind w:left="0" w:right="0" w:hanging="0"/>
              <w:jc w:val="left"/>
              <w:rPr>
                <w:rFonts w:ascii="Times New Roman;Times;serif" w:hAnsi="Times New Roman;Times;serif"/>
                <w:b/>
                <w:color w:val="424142"/>
                <w:sz w:val="20"/>
              </w:rPr>
            </w:pPr>
            <w:r>
              <w:rPr>
                <w:rFonts w:ascii="Times New Roman;Times;serif" w:hAnsi="Times New Roman;Times;serif"/>
                <w:b/>
                <w:color w:val="424142"/>
                <w:sz w:val="20"/>
              </w:rPr>
              <w:t>THE COMPANY:</w:t>
            </w:r>
          </w:p>
        </w:tc>
      </w:tr>
      <w:tr>
        <w:trPr/>
        <w:tc>
          <w:tcPr>
            <w:tcW w:w="4500" w:type="dxa"/>
            <w:gridSpan w:val="2"/>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1730" w:type="dxa"/>
            <w:tcBorders/>
            <w:vAlign w:val="center"/>
          </w:tcPr>
          <w:p>
            <w:pPr>
              <w:pStyle w:val="TableContents"/>
              <w:bidi w:val="0"/>
              <w:spacing w:before="0" w:after="0"/>
              <w:ind w:left="0" w:right="0" w:hanging="0"/>
              <w:jc w:val="left"/>
              <w:rPr/>
            </w:pPr>
            <w:r>
              <w:rPr/>
              <w:t>​</w:t>
            </w:r>
          </w:p>
        </w:tc>
      </w:tr>
      <w:tr>
        <w:trPr/>
        <w:tc>
          <w:tcPr>
            <w:tcW w:w="4500" w:type="dxa"/>
            <w:gridSpan w:val="2"/>
            <w:tcBorders/>
            <w:vAlign w:val="center"/>
          </w:tcPr>
          <w:p>
            <w:pPr>
              <w:pStyle w:val="TableContents"/>
              <w:bidi w:val="0"/>
              <w:spacing w:before="0" w:after="0"/>
              <w:ind w:left="0" w:right="0" w:hanging="0"/>
              <w:jc w:val="left"/>
              <w:rPr/>
            </w:pPr>
            <w:r>
              <w:rPr/>
              <w:t>​</w:t>
            </w:r>
          </w:p>
        </w:tc>
        <w:tc>
          <w:tcPr>
            <w:tcW w:w="270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LOTUS TECHNOLOGY INC.</w:t>
            </w:r>
          </w:p>
        </w:tc>
      </w:tr>
      <w:tr>
        <w:trPr/>
        <w:tc>
          <w:tcPr>
            <w:tcW w:w="2392"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92"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173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2392"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1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r>
        <w:trPr/>
        <w:tc>
          <w:tcPr>
            <w:tcW w:w="2392"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1730" w:type="dxa"/>
            <w:tcBorders/>
            <w:vAlign w:val="center"/>
          </w:tcPr>
          <w:p>
            <w:pPr>
              <w:pStyle w:val="TableContents"/>
              <w:bidi w:val="0"/>
              <w:spacing w:before="0" w:after="0"/>
              <w:ind w:left="0" w:right="0" w:hanging="0"/>
              <w:jc w:val="left"/>
              <w:rPr/>
            </w:pPr>
            <w:r>
              <w:rPr/>
              <w:t>​</w:t>
            </w:r>
          </w:p>
        </w:tc>
      </w:tr>
      <w:tr>
        <w:trPr/>
        <w:tc>
          <w:tcPr>
            <w:tcW w:w="2392" w:type="dxa"/>
            <w:tcBorders/>
            <w:vAlign w:val="center"/>
          </w:tcPr>
          <w:p>
            <w:pPr>
              <w:pStyle w:val="TableContents"/>
              <w:bidi w:val="0"/>
              <w:spacing w:before="0" w:after="0"/>
              <w:ind w:left="0" w:right="0" w:hanging="0"/>
              <w:jc w:val="left"/>
              <w:rPr/>
            </w:pPr>
            <w:r>
              <w:rPr/>
              <w:t>​</w:t>
            </w:r>
          </w:p>
        </w:tc>
        <w:tc>
          <w:tcPr>
            <w:tcW w:w="2108"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1730" w:type="dxa"/>
            <w:tcBorders/>
            <w:vAlign w:val="center"/>
          </w:tcPr>
          <w:p>
            <w:pPr>
              <w:pStyle w:val="TableContents"/>
              <w:bidi w:val="0"/>
              <w:spacing w:before="0" w:after="0"/>
              <w:ind w:left="0" w:right="0" w:hanging="0"/>
              <w:jc w:val="left"/>
              <w:rPr/>
            </w:pPr>
            <w:r>
              <w:rPr/>
              <w:t>​</w:t>
            </w:r>
          </w:p>
        </w:tc>
      </w:tr>
      <w:tr>
        <w:trPr/>
        <w:tc>
          <w:tcPr>
            <w:tcW w:w="45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Agreed and accepted, as of this 19</w:t>
            </w:r>
            <w:r>
              <w:rPr>
                <w:rFonts w:ascii="Times New Roman;Times;serif" w:hAnsi="Times New Roman;Times;serif"/>
                <w:sz w:val="15"/>
              </w:rPr>
              <w:t xml:space="preserve">th </w:t>
            </w:r>
            <w:r>
              <w:rPr>
                <w:rFonts w:ascii="Times New Roman;Times;serif" w:hAnsi="Times New Roman;Times;serif"/>
                <w:sz w:val="20"/>
              </w:rPr>
              <w:t>day of August by:</w:t>
            </w:r>
          </w:p>
        </w:tc>
        <w:tc>
          <w:tcPr>
            <w:tcW w:w="970" w:type="dxa"/>
            <w:tcBorders/>
            <w:vAlign w:val="center"/>
          </w:tcPr>
          <w:p>
            <w:pPr>
              <w:pStyle w:val="TableContents"/>
              <w:bidi w:val="0"/>
              <w:spacing w:before="0" w:after="0"/>
              <w:ind w:left="0" w:right="0" w:hanging="0"/>
              <w:jc w:val="left"/>
              <w:rPr/>
            </w:pPr>
            <w:r>
              <w:rPr/>
              <w:t>​</w:t>
            </w:r>
          </w:p>
        </w:tc>
        <w:tc>
          <w:tcPr>
            <w:tcW w:w="17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158" w:right="0" w:hanging="0"/>
        <w:jc w:val="left"/>
        <w:rPr/>
      </w:pPr>
      <w:r>
        <w:rPr/>
        <w:t>​</w:t>
      </w:r>
    </w:p>
    <w:tbl>
      <w:tblPr>
        <w:tblW w:w="3105" w:type="dxa"/>
        <w:jc w:val="left"/>
        <w:tblInd w:w="0" w:type="dxa"/>
        <w:tblLayout w:type="fixed"/>
        <w:tblCellMar>
          <w:top w:w="0" w:type="dxa"/>
          <w:left w:w="0" w:type="dxa"/>
          <w:bottom w:w="0" w:type="dxa"/>
          <w:right w:w="0" w:type="dxa"/>
        </w:tblCellMar>
      </w:tblPr>
      <w:tblGrid>
        <w:gridCol w:w="431"/>
        <w:gridCol w:w="2674"/>
      </w:tblGrid>
      <w:tr>
        <w:trPr/>
        <w:tc>
          <w:tcPr>
            <w:tcW w:w="3105" w:type="dxa"/>
            <w:gridSpan w:val="2"/>
            <w:tcBorders/>
            <w:vAlign w:val="center"/>
          </w:tcPr>
          <w:p>
            <w:pPr>
              <w:pStyle w:val="TableContents"/>
              <w:bidi w:val="0"/>
              <w:spacing w:before="0" w:after="0"/>
              <w:ind w:left="0" w:right="0" w:hanging="0"/>
              <w:jc w:val="left"/>
              <w:rPr>
                <w:rFonts w:ascii="Times New Roman;Times;serif" w:hAnsi="Times New Roman;Times;serif"/>
                <w:b/>
                <w:color w:val="424142"/>
                <w:sz w:val="20"/>
              </w:rPr>
            </w:pPr>
            <w:r>
              <w:rPr>
                <w:rFonts w:ascii="Times New Roman;Times;serif" w:hAnsi="Times New Roman;Times;serif"/>
                <w:b/>
                <w:color w:val="424142"/>
                <w:sz w:val="20"/>
              </w:rPr>
              <w:t>THE HOLDER:</w:t>
            </w:r>
          </w:p>
        </w:tc>
      </w:tr>
      <w:tr>
        <w:trPr/>
        <w:tc>
          <w:tcPr>
            <w:tcW w:w="431" w:type="dxa"/>
            <w:tcBorders/>
            <w:vAlign w:val="center"/>
          </w:tcPr>
          <w:p>
            <w:pPr>
              <w:pStyle w:val="TableContents"/>
              <w:bidi w:val="0"/>
              <w:spacing w:before="0" w:after="0"/>
              <w:ind w:left="0" w:right="0" w:hanging="0"/>
              <w:jc w:val="left"/>
              <w:rPr/>
            </w:pPr>
            <w:r>
              <w:rPr/>
              <w:t>​</w:t>
            </w:r>
          </w:p>
        </w:tc>
        <w:tc>
          <w:tcPr>
            <w:tcW w:w="2674" w:type="dxa"/>
            <w:tcBorders/>
            <w:vAlign w:val="center"/>
          </w:tcPr>
          <w:p>
            <w:pPr>
              <w:pStyle w:val="TableContents"/>
              <w:bidi w:val="0"/>
              <w:spacing w:before="0" w:after="0"/>
              <w:ind w:left="0" w:right="0" w:hanging="0"/>
              <w:jc w:val="left"/>
              <w:rPr/>
            </w:pPr>
            <w:r>
              <w:rPr/>
              <w:t>​</w:t>
            </w:r>
          </w:p>
        </w:tc>
      </w:tr>
      <w:tr>
        <w:trPr/>
        <w:tc>
          <w:tcPr>
            <w:tcW w:w="31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JAK OPPORTUNITIES XXV LLC</w:t>
            </w:r>
          </w:p>
        </w:tc>
      </w:tr>
      <w:tr>
        <w:trPr/>
        <w:tc>
          <w:tcPr>
            <w:tcW w:w="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Antonio Ruiz-Gimenez</w:t>
            </w:r>
          </w:p>
        </w:tc>
      </w:tr>
      <w:tr>
        <w:trPr/>
        <w:tc>
          <w:tcPr>
            <w:tcW w:w="431" w:type="dxa"/>
            <w:tcBorders/>
            <w:vAlign w:val="center"/>
          </w:tcPr>
          <w:p>
            <w:pPr>
              <w:pStyle w:val="TableContents"/>
              <w:bidi w:val="0"/>
              <w:spacing w:before="0" w:after="0"/>
              <w:ind w:left="0" w:right="0" w:hanging="0"/>
              <w:jc w:val="left"/>
              <w:rPr/>
            </w:pPr>
            <w:r>
              <w:rPr/>
              <w:t>​</w:t>
            </w:r>
          </w:p>
        </w:tc>
        <w:tc>
          <w:tcPr>
            <w:tcW w:w="267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Antonio Ruiz-Gimenez</w:t>
            </w:r>
          </w:p>
        </w:tc>
      </w:tr>
      <w:tr>
        <w:trPr/>
        <w:tc>
          <w:tcPr>
            <w:tcW w:w="431" w:type="dxa"/>
            <w:tcBorders/>
            <w:vAlign w:val="center"/>
          </w:tcPr>
          <w:p>
            <w:pPr>
              <w:pStyle w:val="TableContents"/>
              <w:bidi w:val="0"/>
              <w:spacing w:before="0" w:after="0"/>
              <w:ind w:left="0" w:right="0" w:hanging="0"/>
              <w:jc w:val="left"/>
              <w:rPr/>
            </w:pPr>
            <w:r>
              <w:rPr/>
              <w:t>​</w:t>
            </w:r>
          </w:p>
        </w:tc>
        <w:tc>
          <w:tcPr>
            <w:tcW w:w="2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Member</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CERTIFICATE OF AUTHENTICATION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is one of the Securities of the series designated herein referred to in the within-mentioned Indenture and the applicable Supplemental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Dated: </w:t>
      </w:r>
      <w:r>
        <w:rPr>
          <w:rFonts w:ascii="Times New Roman;Times;serif" w:hAnsi="Times New Roman;Times;serif"/>
          <w:sz w:val="20"/>
          <w:u w:val="single"/>
        </w:rPr>
        <w:t>                      </w:t>
      </w:r>
      <w:r>
        <w:rPr>
          <w:rFonts w:ascii="Times New Roman;Times;serif" w:hAnsi="Times New Roman;Times;serif"/>
          <w:sz w:val="20"/>
        </w:rPr>
        <w:t>, 20</w:t>
      </w:r>
      <w:r>
        <w:rPr>
          <w:rFonts w:ascii="Times New Roman;Times;serif" w:hAnsi="Times New Roman;Times;serif"/>
          <w:sz w:val="20"/>
          <w:u w:val="singl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BANK TRUST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NATIONAL ASSOCIATION</w:t>
      </w:r>
    </w:p>
    <w:tbl>
      <w:tblPr>
        <w:tblW w:w="1097" w:type="dxa"/>
        <w:jc w:val="left"/>
        <w:tblInd w:w="0" w:type="dxa"/>
        <w:tblLayout w:type="fixed"/>
        <w:tblCellMar>
          <w:top w:w="0" w:type="dxa"/>
          <w:left w:w="0" w:type="dxa"/>
          <w:bottom w:w="0" w:type="dxa"/>
          <w:right w:w="0" w:type="dxa"/>
        </w:tblCellMar>
      </w:tblPr>
      <w:tblGrid>
        <w:gridCol w:w="421"/>
        <w:gridCol w:w="676"/>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42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color w:val="2D2D2D"/>
        </w:rPr>
      </w:pPr>
      <w:r>
        <w:rPr>
          <w:color w:val="2D2D2D"/>
        </w:rPr>
        <w:t>​</w:t>
      </w:r>
    </w:p>
    <w:p>
      <w:pPr>
        <w:pStyle w:val="TextBody"/>
        <w:bidi w:val="0"/>
        <w:spacing w:before="0" w:after="240"/>
        <w:ind w:left="0" w:right="0" w:hanging="0"/>
        <w:jc w:val="left"/>
        <w:rPr>
          <w:color w:val="2D2D2D"/>
        </w:rPr>
      </w:pPr>
      <w:r>
        <w:rPr>
          <w:color w:val="2D2D2D"/>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Convertible Note - Signature Page</w:t>
      </w:r>
    </w:p>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color w:val="2D2D2D"/>
          <w:sz w:val="20"/>
        </w:rPr>
      </w:pPr>
      <w:r>
        <w:rPr>
          <w:rFonts w:ascii="Times New Roman;Times;serif" w:hAnsi="Times New Roman;Times;serif"/>
          <w:color w:val="2D2D2D"/>
          <w:sz w:val="20"/>
        </w:rPr>
        <w:t>IN WITNESS WHEREOF, the Company and the Holder has caused this Note to be duly executed as of the Issuance Date set out above.</w:t>
      </w:r>
    </w:p>
    <w:p>
      <w:pPr>
        <w:pStyle w:val="TextBody"/>
        <w:bidi w:val="0"/>
        <w:spacing w:before="0" w:after="0"/>
        <w:ind w:left="5133" w:right="0" w:hanging="0"/>
        <w:jc w:val="left"/>
        <w:rPr/>
      </w:pPr>
      <w:r>
        <w:rPr/>
        <w:t>​</w:t>
      </w:r>
    </w:p>
    <w:tbl>
      <w:tblPr>
        <w:tblW w:w="2715" w:type="dxa"/>
        <w:jc w:val="right"/>
        <w:tblInd w:w="0" w:type="dxa"/>
        <w:tblLayout w:type="fixed"/>
        <w:tblCellMar>
          <w:top w:w="0" w:type="dxa"/>
          <w:left w:w="0" w:type="dxa"/>
          <w:bottom w:w="0" w:type="dxa"/>
          <w:right w:w="0" w:type="dxa"/>
        </w:tblCellMar>
      </w:tblPr>
      <w:tblGrid>
        <w:gridCol w:w="1002"/>
        <w:gridCol w:w="1713"/>
      </w:tblGrid>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w:t>
            </w:r>
          </w:p>
        </w:tc>
      </w:tr>
      <w:tr>
        <w:trPr/>
        <w:tc>
          <w:tcPr>
            <w:tcW w:w="1002" w:type="dxa"/>
            <w:tcBorders/>
            <w:vAlign w:val="center"/>
          </w:tcPr>
          <w:p>
            <w:pPr>
              <w:pStyle w:val="TableContents"/>
              <w:bidi w:val="0"/>
              <w:spacing w:before="0" w:after="0"/>
              <w:ind w:left="0" w:right="0" w:hanging="0"/>
              <w:jc w:val="left"/>
              <w:rPr/>
            </w:pPr>
            <w:r>
              <w:rPr/>
              <w:t>​</w:t>
            </w:r>
          </w:p>
        </w:tc>
        <w:tc>
          <w:tcPr>
            <w:tcW w:w="1713" w:type="dxa"/>
            <w:tcBorders/>
            <w:vAlign w:val="center"/>
          </w:tcPr>
          <w:p>
            <w:pPr>
              <w:pStyle w:val="TableContents"/>
              <w:bidi w:val="0"/>
              <w:spacing w:before="0" w:after="0"/>
              <w:ind w:left="0" w:right="0" w:hanging="0"/>
              <w:jc w:val="left"/>
              <w:rPr/>
            </w:pPr>
            <w:r>
              <w:rPr/>
              <w:t>​</w: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LOTUS TECHNOLOGY INC.</w:t>
            </w:r>
          </w:p>
        </w:tc>
      </w:tr>
      <w:tr>
        <w:trPr/>
        <w:tc>
          <w:tcPr>
            <w:tcW w:w="1002" w:type="dxa"/>
            <w:tcBorders/>
            <w:vAlign w:val="center"/>
          </w:tcPr>
          <w:p>
            <w:pPr>
              <w:pStyle w:val="TableContents"/>
              <w:bidi w:val="0"/>
              <w:spacing w:before="0" w:after="0"/>
              <w:ind w:left="0" w:right="0" w:hanging="0"/>
              <w:jc w:val="left"/>
              <w:rPr/>
            </w:pPr>
            <w:r>
              <w:rPr/>
              <w:t>​</w:t>
            </w:r>
          </w:p>
        </w:tc>
        <w:tc>
          <w:tcPr>
            <w:tcW w:w="1713" w:type="dxa"/>
            <w:tcBorders/>
            <w:vAlign w:val="center"/>
          </w:tcPr>
          <w:p>
            <w:pPr>
              <w:pStyle w:val="TableContents"/>
              <w:bidi w:val="0"/>
              <w:spacing w:before="0" w:after="0"/>
              <w:ind w:left="0" w:right="0" w:hanging="0"/>
              <w:jc w:val="left"/>
              <w:rPr/>
            </w:pPr>
            <w:r>
              <w:rPr/>
              <w:t>​</w:t>
            </w:r>
          </w:p>
        </w:tc>
      </w:tr>
      <w:tr>
        <w:trPr/>
        <w:tc>
          <w:tcPr>
            <w:tcW w:w="1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2" w:type="dxa"/>
            <w:tcBorders/>
            <w:vAlign w:val="center"/>
          </w:tcPr>
          <w:p>
            <w:pPr>
              <w:pStyle w:val="TableContents"/>
              <w:bidi w:val="0"/>
              <w:spacing w:before="0" w:after="0"/>
              <w:ind w:left="0" w:right="0" w:hanging="0"/>
              <w:jc w:val="left"/>
              <w:rPr/>
            </w:pPr>
            <w:r>
              <w:rPr/>
              <w:t>​</w:t>
            </w:r>
          </w:p>
        </w:tc>
        <w:tc>
          <w:tcPr>
            <w:tcW w:w="171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002" w:type="dxa"/>
            <w:tcBorders/>
            <w:vAlign w:val="center"/>
          </w:tcPr>
          <w:p>
            <w:pPr>
              <w:pStyle w:val="TableContents"/>
              <w:bidi w:val="0"/>
              <w:spacing w:before="0" w:after="0"/>
              <w:ind w:left="0" w:right="0" w:hanging="0"/>
              <w:jc w:val="left"/>
              <w:rPr/>
            </w:pPr>
            <w:r>
              <w:rPr/>
              <w:t>​</w:t>
            </w:r>
          </w:p>
        </w:tc>
        <w:tc>
          <w:tcPr>
            <w:tcW w:w="1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olor w:val="3D3D3D"/>
        </w:rPr>
      </w:pPr>
      <w:r>
        <w:rPr>
          <w:color w:val="3D3D3D"/>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3D3D3D"/>
          <w:sz w:val="20"/>
        </w:rPr>
        <w:t xml:space="preserve">Agreed </w:t>
      </w:r>
      <w:r>
        <w:rPr>
          <w:rFonts w:ascii="Times New Roman;Times;serif" w:hAnsi="Times New Roman;Times;serif"/>
          <w:color w:val="2D2D2D"/>
          <w:sz w:val="20"/>
        </w:rPr>
        <w:t>and accepted, as of this</w:t>
      </w:r>
      <w:r>
        <w:rPr>
          <w:rFonts w:ascii="Times New Roman;Times;serif" w:hAnsi="Times New Roman;Times;serif"/>
          <w:sz w:val="20"/>
          <w:u w:val="single"/>
        </w:rPr>
        <w:t>19th</w:t>
      </w:r>
      <w:r>
        <w:rPr>
          <w:rFonts w:ascii="Times New Roman;Times;serif" w:hAnsi="Times New Roman;Times;serif"/>
          <w:sz w:val="20"/>
        </w:rPr>
        <w:t xml:space="preserve"> </w:t>
      </w:r>
      <w:r>
        <w:rPr>
          <w:rFonts w:ascii="Times New Roman;Times;serif" w:hAnsi="Times New Roman;Times;serif"/>
          <w:color w:val="2D2D2D"/>
          <w:sz w:val="20"/>
        </w:rPr>
        <w:t xml:space="preserve">of </w:t>
      </w:r>
      <w:r>
        <w:rPr>
          <w:rFonts w:ascii="Times New Roman;Times;serif" w:hAnsi="Times New Roman;Times;serif"/>
          <w:sz w:val="20"/>
          <w:u w:val="single"/>
        </w:rPr>
        <w:t>August, 2025</w:t>
      </w:r>
      <w:r>
        <w:rPr>
          <w:rFonts w:ascii="Times New Roman;Times;serif" w:hAnsi="Times New Roman;Times;serif"/>
          <w:sz w:val="20"/>
        </w:rPr>
        <w:t xml:space="preserve"> </w:t>
      </w:r>
      <w:r>
        <w:rPr>
          <w:rFonts w:ascii="Times New Roman;Times;serif" w:hAnsi="Times New Roman;Times;serif"/>
          <w:color w:val="2D2D2D"/>
          <w:sz w:val="20"/>
        </w:rPr>
        <w:t>by:</w:t>
      </w:r>
    </w:p>
    <w:tbl>
      <w:tblPr>
        <w:tblW w:w="1639" w:type="dxa"/>
        <w:jc w:val="left"/>
        <w:tblInd w:w="0" w:type="dxa"/>
        <w:tblLayout w:type="fixed"/>
        <w:tblCellMar>
          <w:top w:w="0" w:type="dxa"/>
          <w:left w:w="0" w:type="dxa"/>
          <w:bottom w:w="0" w:type="dxa"/>
          <w:right w:w="0" w:type="dxa"/>
        </w:tblCellMar>
      </w:tblPr>
      <w:tblGrid>
        <w:gridCol w:w="594"/>
        <w:gridCol w:w="891"/>
        <w:gridCol w:w="154"/>
      </w:tblGrid>
      <w:tr>
        <w:trPr/>
        <w:tc>
          <w:tcPr>
            <w:tcW w:w="1485" w:type="dxa"/>
            <w:gridSpan w:val="2"/>
            <w:tcBorders/>
            <w:vAlign w:val="center"/>
          </w:tcPr>
          <w:p>
            <w:pPr>
              <w:pStyle w:val="TableContents"/>
              <w:bidi w:val="0"/>
              <w:spacing w:before="0" w:after="0"/>
              <w:ind w:left="0" w:right="0" w:hanging="0"/>
              <w:jc w:val="left"/>
              <w:rPr>
                <w:rFonts w:ascii="Times New Roman;Times;serif" w:hAnsi="Times New Roman;Times;serif"/>
                <w:b/>
                <w:color w:val="424142"/>
                <w:sz w:val="20"/>
              </w:rPr>
            </w:pPr>
            <w:r>
              <w:rPr>
                <w:rFonts w:ascii="Times New Roman;Times;serif" w:hAnsi="Times New Roman;Times;serif"/>
                <w:b/>
                <w:color w:val="424142"/>
                <w:sz w:val="20"/>
              </w:rPr>
              <w:t>THE HOLDER:</w:t>
            </w:r>
          </w:p>
        </w:tc>
        <w:tc>
          <w:tcPr>
            <w:tcW w:w="154" w:type="dxa"/>
            <w:tcBorders/>
            <w:vAlign w:val="center"/>
          </w:tcPr>
          <w:p>
            <w:pPr>
              <w:pStyle w:val="TableContents"/>
              <w:bidi w:val="0"/>
              <w:spacing w:before="0" w:after="0"/>
              <w:ind w:left="0" w:right="0" w:hanging="0"/>
              <w:jc w:val="left"/>
              <w:rPr>
                <w:color w:val="424142"/>
              </w:rPr>
            </w:pPr>
            <w:r>
              <w:rPr>
                <w:color w:val="424142"/>
              </w:rPr>
              <w:t>​</w:t>
            </w:r>
          </w:p>
        </w:tc>
      </w:tr>
      <w:tr>
        <w:trPr/>
        <w:tc>
          <w:tcPr>
            <w:tcW w:w="14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94" w:type="dxa"/>
            <w:tcBorders/>
            <w:vAlign w:val="center"/>
          </w:tcPr>
          <w:p>
            <w:pPr>
              <w:pStyle w:val="TableContents"/>
              <w:bidi w:val="0"/>
              <w:spacing w:before="0" w:after="0"/>
              <w:ind w:left="0" w:right="0" w:hanging="0"/>
              <w:jc w:val="left"/>
              <w:rPr/>
            </w:pPr>
            <w:r>
              <w:rPr/>
              <w:t>​</w:t>
            </w:r>
          </w:p>
        </w:tc>
        <w:tc>
          <w:tcPr>
            <w:tcW w:w="8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594"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olor w:val="2D2D2D"/>
          <w:sz w:val="20"/>
        </w:rPr>
      </w:pPr>
      <w:r>
        <w:rPr>
          <w:rFonts w:ascii="Times New Roman;Times;serif" w:hAnsi="Times New Roman;Times;serif"/>
          <w:b/>
          <w:color w:val="2D2D2D"/>
          <w:sz w:val="20"/>
        </w:rPr>
        <w:t>CERTIFICATE OF AUTHENTICATION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color w:val="2D2D2D"/>
          <w:sz w:val="20"/>
        </w:rPr>
        <w:t xml:space="preserve">This is one of </w:t>
      </w:r>
      <w:r>
        <w:rPr>
          <w:rFonts w:ascii="Times New Roman;Times;serif" w:hAnsi="Times New Roman;Times;serif"/>
          <w:color w:val="3D3D3D"/>
          <w:sz w:val="20"/>
        </w:rPr>
        <w:t xml:space="preserve">the </w:t>
      </w:r>
      <w:r>
        <w:rPr>
          <w:rFonts w:ascii="Times New Roman;Times;serif" w:hAnsi="Times New Roman;Times;serif"/>
          <w:color w:val="2D2D2D"/>
          <w:sz w:val="20"/>
        </w:rPr>
        <w:t>Securities of the series designated herein referred to in the within-mentioned Indenture and the applicable Supplemental Indenture.</w:t>
      </w:r>
    </w:p>
    <w:p>
      <w:pPr>
        <w:pStyle w:val="TextBody"/>
        <w:bidi w:val="0"/>
        <w:spacing w:before="0" w:after="240"/>
        <w:ind w:left="0" w:right="0" w:hanging="0"/>
        <w:jc w:val="left"/>
        <w:rPr>
          <w:rFonts w:ascii="Times New Roman;Times;serif" w:hAnsi="Times New Roman;Times;serif"/>
          <w:color w:val="2D2D2D"/>
          <w:sz w:val="20"/>
        </w:rPr>
      </w:pPr>
      <w:r>
        <w:rPr>
          <w:rFonts w:ascii="Times New Roman;Times;serif" w:hAnsi="Times New Roman;Times;serif"/>
          <w:color w:val="2D2D2D"/>
          <w:sz w:val="20"/>
        </w:rPr>
        <w:t>Dated: August 19,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BANK TRUST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NATIONAL ASSOCIATION</w:t>
      </w:r>
    </w:p>
    <w:tbl>
      <w:tblPr>
        <w:tblW w:w="2447" w:type="dxa"/>
        <w:jc w:val="left"/>
        <w:tblInd w:w="0" w:type="dxa"/>
        <w:tblLayout w:type="fixed"/>
        <w:tblCellMar>
          <w:top w:w="0" w:type="dxa"/>
          <w:left w:w="0" w:type="dxa"/>
          <w:bottom w:w="0" w:type="dxa"/>
          <w:right w:w="0" w:type="dxa"/>
        </w:tblCellMar>
      </w:tblPr>
      <w:tblGrid>
        <w:gridCol w:w="421"/>
        <w:gridCol w:w="2026"/>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Christina Bruno</w:t>
            </w:r>
          </w:p>
        </w:tc>
      </w:tr>
      <w:tr>
        <w:trPr/>
        <w:tc>
          <w:tcPr>
            <w:tcW w:w="421" w:type="dxa"/>
            <w:tcBorders/>
            <w:vAlign w:val="center"/>
          </w:tcPr>
          <w:p>
            <w:pPr>
              <w:pStyle w:val="TableContents"/>
              <w:bidi w:val="0"/>
              <w:spacing w:before="0" w:after="0"/>
              <w:ind w:left="0" w:right="0" w:hanging="0"/>
              <w:jc w:val="left"/>
              <w:rPr/>
            </w:pPr>
            <w:r>
              <w:rPr/>
              <w:t>​</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Christina Bruno</w:t>
            </w:r>
          </w:p>
        </w:tc>
      </w:tr>
      <w:tr>
        <w:trPr/>
        <w:tc>
          <w:tcPr>
            <w:tcW w:w="421"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Vice President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Convertible Note - Signature Page</w:t>
      </w:r>
    </w:p>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CONFIRMATION LETTER FOR SHARE ISSUANCES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COMPANY INTEREST ADSs INSTRUCTION LETTER TO THE DEPOSITARY AND HOLDER ACKNOWLEDGMENT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ACKNOWLEDGMENT AND INSTRUCTION TO REGISTRAR SERVICE PROVIDER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EXHIBIT V</w:t>
      </w:r>
    </w:p>
    <w:p>
      <w:pPr>
        <w:pStyle w:val="TextBody"/>
        <w:bidi w:val="0"/>
        <w:spacing w:before="0" w:after="119"/>
        <w:ind w:left="0" w:right="0" w:hanging="0"/>
        <w:jc w:val="center"/>
        <w:rPr>
          <w:rFonts w:ascii="Times New Roman;Times;serif" w:hAnsi="Times New Roman;Times;serif"/>
          <w:b/>
          <w:sz w:val="20"/>
        </w:rPr>
      </w:pPr>
      <w:r>
        <w:rPr>
          <w:rFonts w:ascii="Times New Roman;Times;serif" w:hAnsi="Times New Roman;Times;serif"/>
          <w:b/>
          <w:sz w:val="20"/>
        </w:rPr>
        <w:t>COMPANY CONVERSION ADS INSTRUCTION LETTER TO THE DEPOSITARY</w:t>
      </w:r>
    </w:p>
    <w:p>
      <w:pPr>
        <w:pStyle w:val="TextBody"/>
        <w:bidi w:val="0"/>
        <w:spacing w:before="0" w:after="119"/>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452" w:name="lot-20251231xex8d1.htm"/>
      <w:bookmarkStart w:id="3453" w:name="kslot20251231xex8d1"/>
      <w:bookmarkEnd w:id="3452"/>
      <w:bookmarkEnd w:id="3453"/>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Principal Subsidiaries of Lotus Technology Inc.</w:t>
      </w:r>
    </w:p>
    <w:tbl>
      <w:tblPr>
        <w:tblW w:w="6527" w:type="dxa"/>
        <w:jc w:val="left"/>
        <w:tblInd w:w="0" w:type="dxa"/>
        <w:tblLayout w:type="fixed"/>
        <w:tblCellMar>
          <w:top w:w="28" w:type="dxa"/>
          <w:left w:w="28" w:type="dxa"/>
          <w:bottom w:w="28" w:type="dxa"/>
          <w:right w:w="28" w:type="dxa"/>
        </w:tblCellMar>
      </w:tblPr>
      <w:tblGrid>
        <w:gridCol w:w="3901"/>
        <w:gridCol w:w="2626"/>
      </w:tblGrid>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Subsidiaries</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 of Incorporation</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Lotus Technology International Limited</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Lotus Advanced Technology Limited</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Lotus Technology Innovative Limited</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Lotus Tech Creative Centre Limited</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Lotus Cars Europe B.V.</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Netherlands</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Lotus Technology Co., Ltd.</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Lotus Cars Co., Ltd.</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Lotus Cars Sales Limited</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Hangzhou Lotus Technology Service Co., Ltd.</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Ningbo Lotus Venture Capital Co., Ltd.</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72" w:right="0" w:hanging="0"/>
              <w:jc w:val="left"/>
              <w:rPr>
                <w:rFonts w:ascii="Times New Roman;Times;serif" w:hAnsi="Times New Roman;Times;serif"/>
                <w:sz w:val="20"/>
              </w:rPr>
            </w:pPr>
            <w:r>
              <w:rPr>
                <w:rFonts w:ascii="Times New Roman;Times;serif" w:hAnsi="Times New Roman;Times;serif"/>
                <w:sz w:val="20"/>
              </w:rPr>
              <w:t xml:space="preserve">PRC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454" w:name="lot-20251231xex12d1.htm"/>
      <w:bookmarkStart w:id="3455" w:name="kslot20251231xex12d1"/>
      <w:bookmarkEnd w:id="3454"/>
      <w:bookmarkEnd w:id="3455"/>
      <w:r>
        <w:rPr>
          <w:rFonts w:ascii="Times New Roman;Times;serif" w:hAnsi="Times New Roman;Times;serif"/>
          <w:b/>
          <w:sz w:val="20"/>
        </w:rPr>
        <w:t>Exhibit 12.1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Qingfeng Feng, certify that:</w:t>
      </w:r>
    </w:p>
    <w:tbl>
      <w:tblPr>
        <w:tblW w:w="6235" w:type="dxa"/>
        <w:jc w:val="left"/>
        <w:tblInd w:w="0" w:type="dxa"/>
        <w:tblLayout w:type="fixed"/>
        <w:tblCellMar>
          <w:top w:w="0" w:type="dxa"/>
          <w:left w:w="0" w:type="dxa"/>
          <w:bottom w:w="0" w:type="dxa"/>
          <w:right w:w="0" w:type="dxa"/>
        </w:tblCellMar>
      </w:tblPr>
      <w:tblGrid>
        <w:gridCol w:w="170"/>
        <w:gridCol w:w="606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0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Lotus Technology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2826" w:type="dxa"/>
        <w:jc w:val="left"/>
        <w:tblInd w:w="0" w:type="dxa"/>
        <w:tblLayout w:type="fixed"/>
        <w:tblCellMar>
          <w:top w:w="0" w:type="dxa"/>
          <w:left w:w="0" w:type="dxa"/>
          <w:bottom w:w="0" w:type="dxa"/>
          <w:right w:w="0" w:type="dxa"/>
        </w:tblCellMar>
      </w:tblPr>
      <w:tblGrid>
        <w:gridCol w:w="646"/>
        <w:gridCol w:w="2026"/>
        <w:gridCol w:w="154"/>
      </w:tblGrid>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28, 2026</w:t>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Qingfeng Feng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Qingfeng Feng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43" w:right="0" w:hanging="0"/>
        <w:jc w:val="right"/>
        <w:rPr>
          <w:rFonts w:ascii="Times New Roman;Times;serif" w:hAnsi="Times New Roman;Times;serif"/>
          <w:b/>
          <w:sz w:val="20"/>
        </w:rPr>
      </w:pPr>
      <w:bookmarkStart w:id="3456" w:name="lot-20251231xex12d2.htm"/>
      <w:bookmarkStart w:id="3457" w:name="kslot20251231xex12d2"/>
      <w:bookmarkEnd w:id="3456"/>
      <w:bookmarkEnd w:id="3457"/>
      <w:r>
        <w:rPr>
          <w:rFonts w:ascii="Times New Roman;Times;serif" w:hAnsi="Times New Roman;Times;serif"/>
          <w:b/>
          <w:sz w:val="20"/>
        </w:rPr>
        <w:t>Exhibit 12.2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Daxue Wang, certify that:</w:t>
      </w:r>
    </w:p>
    <w:tbl>
      <w:tblPr>
        <w:tblW w:w="6258" w:type="dxa"/>
        <w:jc w:val="left"/>
        <w:tblInd w:w="0" w:type="dxa"/>
        <w:tblLayout w:type="fixed"/>
        <w:tblCellMar>
          <w:top w:w="0" w:type="dxa"/>
          <w:left w:w="0" w:type="dxa"/>
          <w:bottom w:w="0" w:type="dxa"/>
          <w:right w:w="0" w:type="dxa"/>
        </w:tblCellMar>
      </w:tblPr>
      <w:tblGrid>
        <w:gridCol w:w="23"/>
        <w:gridCol w:w="170"/>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0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Lotus Technology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2766" w:type="dxa"/>
        <w:jc w:val="left"/>
        <w:tblInd w:w="0" w:type="dxa"/>
        <w:tblLayout w:type="fixed"/>
        <w:tblCellMar>
          <w:top w:w="0" w:type="dxa"/>
          <w:left w:w="0" w:type="dxa"/>
          <w:bottom w:w="0" w:type="dxa"/>
          <w:right w:w="0" w:type="dxa"/>
        </w:tblCellMar>
      </w:tblPr>
      <w:tblGrid>
        <w:gridCol w:w="646"/>
        <w:gridCol w:w="1966"/>
        <w:gridCol w:w="154"/>
      </w:tblGrid>
      <w:tr>
        <w:trPr/>
        <w:tc>
          <w:tcPr>
            <w:tcW w:w="26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28, 2026</w:t>
            </w:r>
          </w:p>
        </w:tc>
        <w:tc>
          <w:tcPr>
            <w:tcW w:w="154" w:type="dxa"/>
            <w:tcBorders/>
            <w:vAlign w:val="center"/>
          </w:tcPr>
          <w:p>
            <w:pPr>
              <w:pStyle w:val="TableContents"/>
              <w:bidi w:val="0"/>
              <w:spacing w:before="0" w:after="0"/>
              <w:ind w:left="0" w:right="0" w:hanging="0"/>
              <w:jc w:val="left"/>
              <w:rPr/>
            </w:pPr>
            <w:r>
              <w:rPr/>
              <w:t>​</w:t>
            </w:r>
          </w:p>
        </w:tc>
      </w:tr>
      <w:tr>
        <w:trPr/>
        <w:tc>
          <w:tcPr>
            <w:tcW w:w="261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Daxue Wang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Daxue Wang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50" w:right="0" w:hanging="0"/>
        <w:jc w:val="right"/>
        <w:rPr>
          <w:rFonts w:ascii="Times New Roman;Times;serif" w:hAnsi="Times New Roman;Times;serif"/>
          <w:b/>
          <w:sz w:val="20"/>
        </w:rPr>
      </w:pPr>
      <w:bookmarkStart w:id="3458" w:name="lot-20251231xex13d1.htm"/>
      <w:bookmarkStart w:id="3459" w:name="kslot20251231xex13d1"/>
      <w:bookmarkEnd w:id="3458"/>
      <w:bookmarkEnd w:id="3459"/>
      <w:r>
        <w:rPr>
          <w:rFonts w:ascii="Times New Roman;Times;serif" w:hAnsi="Times New Roman;Times;serif"/>
          <w:b/>
          <w:sz w:val="20"/>
        </w:rPr>
        <w:t>Exhibit 13.1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Lotus Technology Inc. (the “Company”) on Form 20-F for the year ended December 31, 2025 as filed with the Securities and Exchange Commission on the date hereof (the “Report”), I, Qingfeng Feng, Chief Executive Officer of the Company, certify, pursuant to 18 U.S.C. Section 1350, as adopted pursuant to Section 906 of the Sarbanes-Oxley Act of 2002, that to my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2826" w:type="dxa"/>
        <w:jc w:val="left"/>
        <w:tblInd w:w="0" w:type="dxa"/>
        <w:tblLayout w:type="fixed"/>
        <w:tblCellMar>
          <w:top w:w="0" w:type="dxa"/>
          <w:left w:w="0" w:type="dxa"/>
          <w:bottom w:w="0" w:type="dxa"/>
          <w:right w:w="0" w:type="dxa"/>
        </w:tblCellMar>
      </w:tblPr>
      <w:tblGrid>
        <w:gridCol w:w="646"/>
        <w:gridCol w:w="202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410210" cy="175260"/>
                      <wp:effectExtent l="0" t="0" r="0" b="0"/>
                      <wp:wrapNone/>
                      <wp:docPr id="651" name="Frame64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1286510" cy="175260"/>
                      <wp:effectExtent l="0" t="0" r="0" b="0"/>
                      <wp:wrapNone/>
                      <wp:docPr id="652" name="Frame64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28, 2026</w:t>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Qingfeng Feng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Qingfeng Feng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49" w:right="0" w:hanging="0"/>
        <w:jc w:val="right"/>
        <w:rPr>
          <w:rFonts w:ascii="Times New Roman;Times;serif" w:hAnsi="Times New Roman;Times;serif"/>
          <w:b/>
          <w:sz w:val="20"/>
        </w:rPr>
      </w:pPr>
      <w:bookmarkStart w:id="3460" w:name="lot-20251231xex13d2.htm"/>
      <w:bookmarkStart w:id="3461" w:name="kslot20251231xex13d2"/>
      <w:bookmarkEnd w:id="3460"/>
      <w:bookmarkEnd w:id="3461"/>
      <w:r>
        <w:rPr>
          <w:rFonts w:ascii="Times New Roman;Times;serif" w:hAnsi="Times New Roman;Times;serif"/>
          <w:b/>
          <w:sz w:val="20"/>
        </w:rPr>
        <w:t>Exhibit 13.2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Lotus Technology Inc. (the “Company”) on Form 20-F for the year ended December 31, 2025 as filed with the Securities and Exchange Commission on the date hereof (the “Report”), I, Daxue Wang, Chief Financial Officer of the Company, certify, pursuant to 18 U.S.C. Section 1350, as adopted pursuant to Section 906 of the Sarbanes-Oxley Act of 2002, that to my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2766" w:type="dxa"/>
        <w:jc w:val="left"/>
        <w:tblInd w:w="0" w:type="dxa"/>
        <w:tblLayout w:type="fixed"/>
        <w:tblCellMar>
          <w:top w:w="0" w:type="dxa"/>
          <w:left w:w="0" w:type="dxa"/>
          <w:bottom w:w="0" w:type="dxa"/>
          <w:right w:w="0" w:type="dxa"/>
        </w:tblCellMar>
      </w:tblPr>
      <w:tblGrid>
        <w:gridCol w:w="646"/>
        <w:gridCol w:w="1966"/>
        <w:gridCol w:w="154"/>
      </w:tblGrid>
      <w:tr>
        <w:trPr/>
        <w:tc>
          <w:tcPr>
            <w:tcW w:w="26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28, 2026</w:t>
            </w:r>
          </w:p>
        </w:tc>
        <w:tc>
          <w:tcPr>
            <w:tcW w:w="154" w:type="dxa"/>
            <w:tcBorders/>
            <w:vAlign w:val="center"/>
          </w:tcPr>
          <w:p>
            <w:pPr>
              <w:pStyle w:val="TableContents"/>
              <w:bidi w:val="0"/>
              <w:spacing w:before="0" w:after="0"/>
              <w:ind w:left="0" w:right="0" w:hanging="0"/>
              <w:jc w:val="left"/>
              <w:rPr/>
            </w:pPr>
            <w:r>
              <w:rPr/>
              <w:t>​</w:t>
            </w:r>
          </w:p>
        </w:tc>
      </w:tr>
      <w:tr>
        <w:trPr/>
        <w:tc>
          <w:tcPr>
            <w:tcW w:w="261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Daxue Wang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Daxue Wang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462" w:name="lot-20251231xex15d1.htm"/>
      <w:bookmarkStart w:id="3463" w:name="kslot20251231xex15d1"/>
      <w:bookmarkEnd w:id="3462"/>
      <w:bookmarkEnd w:id="3463"/>
      <w:r>
        <w:rPr>
          <w:rFonts w:ascii="Times New Roman;Times;serif" w:hAnsi="Times New Roman;Times;serif"/>
          <w:b/>
          <w:sz w:val="20"/>
        </w:rPr>
        <w:t>Exhibit 15.1</w:t>
      </w:r>
      <w:r>
        <w:br w:type="page"/>
      </w:r>
    </w:p>
    <w:p>
      <w:pPr>
        <w:pStyle w:val="TextBody"/>
        <w:bidi w:val="0"/>
        <w:spacing w:before="0" w:after="80"/>
        <w:ind w:left="0" w:right="0" w:hanging="0"/>
        <w:jc w:val="left"/>
        <w:rPr/>
      </w:pPr>
      <w:r>
        <w:rPr/>
        <w:drawing>
          <wp:inline distT="0" distB="0" distL="0" distR="0">
            <wp:extent cx="859790" cy="895350"/>
            <wp:effectExtent l="0" t="0" r="0" b="0"/>
            <wp:docPr id="6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6" descr=""/>
                    <pic:cNvPicPr>
                      <a:picLocks noChangeAspect="1" noChangeArrowheads="1"/>
                    </pic:cNvPicPr>
                  </pic:nvPicPr>
                  <pic:blipFill>
                    <a:blip r:embed="rId77"/>
                    <a:stretch>
                      <a:fillRect/>
                    </a:stretch>
                  </pic:blipFill>
                  <pic:spPr bwMode="auto">
                    <a:xfrm>
                      <a:off x="0" y="0"/>
                      <a:ext cx="859790" cy="89535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Our ref</w:t>
      </w:r>
      <w:r>
        <w:rPr>
          <w:rFonts w:ascii="Times New Roman;Times;serif" w:hAnsi="Times New Roman;Times;serif"/>
          <w:sz w:val="20"/>
        </w:rPr>
        <w:t>KKZ/792101-000002/86276101v2</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Lotus Technology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 Box 309, Ugland House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Cayman KY1-1104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Cayman Islands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28 April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Lotus Technology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acted as legal advisers as to the laws of the Cayman Islands to Lotus Technology Inc., an exempted company incorporated with limited liability in the Cayman Islands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2025 (the “</w:t>
      </w:r>
      <w:r>
        <w:rPr>
          <w:rFonts w:ascii="Times New Roman;Times;serif" w:hAnsi="Times New Roman;Times;serif"/>
          <w:b/>
          <w:sz w:val="20"/>
        </w:rPr>
        <w:t>Annual Report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 to our firm under the heading “Item 5. Operating and Financial Review and Prospects—Taxation” in the Annual Report, as amended, and further consent to the incorporation by reference of our opinions under this heading into the Company’s Registration Statement No. 333-279130 on Form S-8, the Company’s post-effective amendment No. 2 to registration statement on Form F-1 on Form F-3 (Registration No. 333-282217 that was filed on 30 May 2025, the Company’s post-effective amendment No. 3 to registration statement on Form F-1 on Form F-3 (Registration No. 333-279108 that was filed on 30 May 2025, and the Company’s pre-effective amendment No. 1 to Form F-3 (Registration No. 333-285533) that was filed on 30 May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Maples and Calder (Hong Kong)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Maples and Calder (Hong Kong) LLP</w:t>
      </w:r>
    </w:p>
    <w:p>
      <w:pPr>
        <w:pStyle w:val="TextBody"/>
        <w:bidi w:val="0"/>
        <w:spacing w:before="0" w:after="114"/>
        <w:ind w:left="0" w:right="0" w:hanging="0"/>
        <w:jc w:val="left"/>
        <w:rPr/>
      </w:pPr>
      <w:r>
        <w:rPr/>
        <w:drawing>
          <wp:inline distT="0" distB="0" distL="0" distR="0">
            <wp:extent cx="4215130" cy="1306830"/>
            <wp:effectExtent l="0" t="0" r="0" b="0"/>
            <wp:docPr id="6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7" descr=""/>
                    <pic:cNvPicPr>
                      <a:picLocks noChangeAspect="1" noChangeArrowheads="1"/>
                    </pic:cNvPicPr>
                  </pic:nvPicPr>
                  <pic:blipFill>
                    <a:blip r:embed="rId78"/>
                    <a:stretch>
                      <a:fillRect/>
                    </a:stretch>
                  </pic:blipFill>
                  <pic:spPr bwMode="auto">
                    <a:xfrm>
                      <a:off x="0" y="0"/>
                      <a:ext cx="4215130" cy="130683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464" w:name="lot-20251231xex15d2.htm"/>
      <w:bookmarkStart w:id="3465" w:name="kslot20251231xex15d2"/>
      <w:bookmarkEnd w:id="3464"/>
      <w:bookmarkEnd w:id="3465"/>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15.2</w:t>
      </w:r>
    </w:p>
    <w:tbl>
      <w:tblPr>
        <w:tblW w:w="8082" w:type="dxa"/>
        <w:jc w:val="center"/>
        <w:tblInd w:w="0" w:type="dxa"/>
        <w:tblLayout w:type="fixed"/>
        <w:tblCellMar>
          <w:top w:w="0" w:type="dxa"/>
          <w:left w:w="0" w:type="dxa"/>
          <w:bottom w:w="0" w:type="dxa"/>
          <w:right w:w="0" w:type="dxa"/>
        </w:tblCellMar>
      </w:tblPr>
      <w:tblGrid>
        <w:gridCol w:w="6346"/>
        <w:gridCol w:w="1736"/>
      </w:tblGrid>
      <w:tr>
        <w:trPr/>
        <w:tc>
          <w:tcPr>
            <w:tcW w:w="6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9/F, Office Tower C1, Oriental Plaza, 1 East Chang An Ave., Dongcheng District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Beijing 100738, PRC</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Tel: +86 10 8525 5500 Fax: +86 10 8525 5511 / 8525 5522</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Beijing </w:t>
            </w:r>
            <w:r>
              <w:rPr>
                <w:rFonts w:ascii="Symbol" w:hAnsi="Symbol"/>
                <w:sz w:val="16"/>
              </w:rPr>
              <w:t>·</w:t>
            </w:r>
            <w:r>
              <w:rPr>
                <w:rFonts w:ascii="Times New Roman;Times;serif" w:hAnsi="Times New Roman;Times;serif"/>
                <w:sz w:val="16"/>
              </w:rPr>
              <w:t xml:space="preserve"> Shanghai </w:t>
            </w:r>
            <w:r>
              <w:rPr>
                <w:rFonts w:ascii="Symbol" w:hAnsi="Symbol"/>
                <w:sz w:val="16"/>
              </w:rPr>
              <w:t>·</w:t>
            </w:r>
            <w:r>
              <w:rPr>
                <w:rFonts w:ascii="Times New Roman;Times;serif" w:hAnsi="Times New Roman;Times;serif"/>
                <w:sz w:val="16"/>
              </w:rPr>
              <w:t xml:space="preserve"> Shenzhen </w:t>
            </w:r>
            <w:r>
              <w:rPr>
                <w:rFonts w:ascii="Symbol" w:hAnsi="Symbol"/>
                <w:sz w:val="16"/>
              </w:rPr>
              <w:t>·</w:t>
            </w:r>
            <w:r>
              <w:rPr>
                <w:rFonts w:ascii="Times New Roman;Times;serif" w:hAnsi="Times New Roman;Times;serif"/>
                <w:sz w:val="16"/>
              </w:rPr>
              <w:t xml:space="preserve"> Hong Kong </w:t>
            </w:r>
            <w:r>
              <w:rPr>
                <w:rFonts w:ascii="Symbol" w:hAnsi="Symbol"/>
                <w:sz w:val="16"/>
              </w:rPr>
              <w:t>·</w:t>
            </w:r>
            <w:r>
              <w:rPr>
                <w:rFonts w:ascii="Times New Roman;Times;serif" w:hAnsi="Times New Roman;Times;serif"/>
                <w:sz w:val="16"/>
              </w:rPr>
              <w:t xml:space="preserve"> Haikou </w:t>
            </w:r>
            <w:r>
              <w:rPr>
                <w:rFonts w:ascii="Symbol" w:hAnsi="Symbol"/>
                <w:sz w:val="16"/>
              </w:rPr>
              <w:t>·</w:t>
            </w:r>
            <w:r>
              <w:rPr>
                <w:rFonts w:ascii="Times New Roman;Times;serif" w:hAnsi="Times New Roman;Times;serif"/>
                <w:sz w:val="16"/>
              </w:rPr>
              <w:t xml:space="preserve"> Wuhan </w:t>
            </w:r>
            <w:r>
              <w:rPr>
                <w:rFonts w:ascii="Symbol" w:hAnsi="Symbol"/>
                <w:sz w:val="16"/>
              </w:rPr>
              <w:t>·</w:t>
            </w:r>
            <w:r>
              <w:rPr>
                <w:rFonts w:ascii="Times New Roman;Times;serif" w:hAnsi="Times New Roman;Times;serif"/>
                <w:sz w:val="16"/>
              </w:rPr>
              <w:t xml:space="preserve"> Singapore </w:t>
            </w:r>
            <w:r>
              <w:rPr>
                <w:rFonts w:ascii="Symbol" w:hAnsi="Symbol"/>
                <w:sz w:val="16"/>
              </w:rPr>
              <w:t>·</w:t>
            </w:r>
            <w:r>
              <w:rPr>
                <w:rFonts w:ascii="Times New Roman;Times;serif" w:hAnsi="Times New Roman;Times;serif"/>
                <w:sz w:val="16"/>
              </w:rPr>
              <w:t xml:space="preserve"> New York</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www.hankunlaw.com</w:t>
            </w:r>
          </w:p>
        </w:tc>
        <w:tc>
          <w:tcPr>
            <w:tcW w:w="1736" w:type="dxa"/>
            <w:tcBorders/>
            <w:vAlign w:val="center"/>
          </w:tcPr>
          <w:p>
            <w:pPr>
              <w:pStyle w:val="TableContents"/>
              <w:bidi w:val="0"/>
              <w:spacing w:before="0" w:after="0"/>
              <w:ind w:left="0" w:right="0" w:hanging="0"/>
              <w:jc w:val="right"/>
              <w:rPr/>
            </w:pPr>
            <w:r>
              <w:rPr/>
              <w:drawing>
                <wp:inline distT="0" distB="0" distL="0" distR="0">
                  <wp:extent cx="1019175" cy="428625"/>
                  <wp:effectExtent l="0" t="0" r="0" b="0"/>
                  <wp:docPr id="6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8" descr=""/>
                          <pic:cNvPicPr>
                            <a:picLocks noChangeAspect="1" noChangeArrowheads="1"/>
                          </pic:cNvPicPr>
                        </pic:nvPicPr>
                        <pic:blipFill>
                          <a:blip r:embed="rId79"/>
                          <a:stretch>
                            <a:fillRect/>
                          </a:stretch>
                        </pic:blipFill>
                        <pic:spPr bwMode="auto">
                          <a:xfrm>
                            <a:off x="0" y="0"/>
                            <a:ext cx="1019175" cy="428625"/>
                          </a:xfrm>
                          <a:prstGeom prst="rect">
                            <a:avLst/>
                          </a:prstGeom>
                        </pic:spPr>
                      </pic:pic>
                    </a:graphicData>
                  </a:graphic>
                </wp:inline>
              </w:drawing>
            </w:r>
          </w:p>
        </w:tc>
      </w:tr>
    </w:tbl>
    <w:p>
      <w:pPr>
        <w:pStyle w:val="TextBody"/>
        <w:pBdr/>
        <w:bidi w:val="0"/>
        <w:spacing w:before="0" w:after="0"/>
        <w:ind w:left="0" w:right="0" w:hanging="10"/>
        <w:jc w:val="left"/>
        <w:rPr/>
      </w:pPr>
      <w:r>
        <w:rPr/>
        <w:t>​</w:t>
      </w:r>
    </w:p>
    <w:p>
      <w:pPr>
        <w:pStyle w:val="TextBody"/>
        <w:bidi w:val="0"/>
        <w:spacing w:before="0" w:after="240"/>
        <w:ind w:left="0" w:right="0" w:hanging="0"/>
        <w:jc w:val="left"/>
        <w:rPr>
          <w:rFonts w:ascii="Times New Roman;Times;serif" w:hAnsi="Times New Roman;Times;serif"/>
          <w:sz w:val="23"/>
        </w:rPr>
      </w:pPr>
      <w:r>
        <w:rPr>
          <w:rFonts w:ascii="Times New Roman;Times;serif" w:hAnsi="Times New Roman;Times;serif"/>
          <w:sz w:val="23"/>
        </w:rPr>
        <w:t>April 28, 2026</w:t>
      </w:r>
    </w:p>
    <w:p>
      <w:pPr>
        <w:pStyle w:val="TextBody"/>
        <w:bidi w:val="0"/>
        <w:spacing w:before="0" w:after="240"/>
        <w:ind w:left="0" w:right="0" w:hanging="0"/>
        <w:jc w:val="left"/>
        <w:rPr>
          <w:rFonts w:ascii="Times New Roman;Times;serif" w:hAnsi="Times New Roman;Times;serif"/>
          <w:b/>
          <w:sz w:val="23"/>
        </w:rPr>
      </w:pPr>
      <w:r>
        <w:rPr>
          <w:rFonts w:ascii="Times New Roman;Times;serif" w:hAnsi="Times New Roman;Times;serif"/>
          <w:b/>
          <w:sz w:val="23"/>
        </w:rPr>
        <w:t>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3"/>
        </w:rPr>
        <w:t>Lotus Technology Inc.</w:t>
      </w:r>
      <w:r>
        <w:rPr>
          <w:rFonts w:ascii="Times New Roman;Times;serif" w:hAnsi="Times New Roman;Times;serif"/>
          <w:sz w:val="20"/>
        </w:rPr>
        <w:t xml:space="preserve"> </w:t>
      </w:r>
      <w:r>
        <w:rPr>
          <w:rFonts w:ascii="Times New Roman;Times;serif" w:hAnsi="Times New Roman;Times;serif"/>
          <w:sz w:val="23"/>
        </w:rPr>
        <w:t>(the “Company”)</w:t>
      </w:r>
    </w:p>
    <w:p>
      <w:pPr>
        <w:pStyle w:val="TextBody"/>
        <w:bidi w:val="0"/>
        <w:spacing w:before="0" w:after="240"/>
        <w:ind w:left="0" w:right="0" w:hanging="0"/>
        <w:jc w:val="both"/>
        <w:rPr>
          <w:rFonts w:ascii="Times New Roman;Times;serif" w:hAnsi="Times New Roman;Times;serif"/>
          <w:sz w:val="23"/>
        </w:rPr>
      </w:pPr>
      <w:r>
        <w:rPr>
          <w:rFonts w:ascii="Times New Roman;Times;serif" w:hAnsi="Times New Roman;Times;serif"/>
          <w:sz w:val="23"/>
        </w:rPr>
        <w:t>No. 800 Century Avenue</w:t>
      </w:r>
    </w:p>
    <w:p>
      <w:pPr>
        <w:pStyle w:val="TextBody"/>
        <w:bidi w:val="0"/>
        <w:spacing w:before="0" w:after="240"/>
        <w:ind w:left="0" w:right="0" w:hanging="0"/>
        <w:jc w:val="both"/>
        <w:rPr>
          <w:rFonts w:ascii="Times New Roman;Times;serif" w:hAnsi="Times New Roman;Times;serif"/>
          <w:sz w:val="23"/>
        </w:rPr>
      </w:pPr>
      <w:r>
        <w:rPr>
          <w:rFonts w:ascii="Times New Roman;Times;serif" w:hAnsi="Times New Roman;Times;serif"/>
          <w:sz w:val="23"/>
        </w:rPr>
        <w:t>Pudong District, Shanghai, People’s Republic of China</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3"/>
        </w:rPr>
      </w:pPr>
      <w:r>
        <w:rPr>
          <w:rFonts w:ascii="Times New Roman;Times;serif" w:hAnsi="Times New Roman;Times;serif"/>
          <w:sz w:val="23"/>
        </w:rPr>
        <w:t>Dear Sirs/Madams,</w:t>
      </w:r>
    </w:p>
    <w:p>
      <w:pPr>
        <w:pStyle w:val="TextBody"/>
        <w:bidi w:val="0"/>
        <w:spacing w:before="0" w:after="240"/>
        <w:ind w:left="0" w:right="0" w:hanging="0"/>
        <w:jc w:val="both"/>
        <w:rPr>
          <w:rFonts w:ascii="Times New Roman;Times;serif" w:hAnsi="Times New Roman;Times;serif"/>
          <w:sz w:val="23"/>
        </w:rPr>
      </w:pPr>
      <w:r>
        <w:rPr>
          <w:rFonts w:ascii="Times New Roman;Times;serif" w:hAnsi="Times New Roman;Times;serif"/>
          <w:sz w:val="23"/>
        </w:rPr>
        <w:t>We have acted as the PRC legal counsel as to the laws of the People’s Republic of China (the “PRC”, for purpose of this letter only, excluding the Hong Kong Special Administrative Region, the Macau Special Administrative Region and Taiwan) to the Company in connection with the filing by the Company with the United States Securities and Exchange Commission (the “SEC”) of an annual report on Form 20-F for the year ended December 31, 2025 (the “Annual Report”).</w:t>
      </w:r>
    </w:p>
    <w:p>
      <w:pPr>
        <w:pStyle w:val="TextBody"/>
        <w:bidi w:val="0"/>
        <w:spacing w:before="0" w:after="240"/>
        <w:ind w:left="0" w:right="0" w:hanging="0"/>
        <w:jc w:val="both"/>
        <w:rPr>
          <w:rFonts w:ascii="Times New Roman;Times;serif" w:hAnsi="Times New Roman;Times;serif"/>
          <w:sz w:val="23"/>
        </w:rPr>
      </w:pPr>
      <w:r>
        <w:rPr>
          <w:rFonts w:ascii="Times New Roman;Times;serif" w:hAnsi="Times New Roman;Times;serif"/>
          <w:sz w:val="23"/>
        </w:rPr>
        <w:t>We hereby consent to the reference of our name in the Annual Report and further consent to the incorporation by reference of the summary of our opinions into the Company’s registration statement on Form S-8 (No. 333-279130), the Company’s registration statement on Form F-3 (No. 333-285533), the Company’s registration statement on Form F-3 (No. 333-282217) and the Company’s registration statement on Form F-3 (No. 333-279108). We also consent to the filing with the SEC of this consent letter as an exhibit to the Annual Report.</w:t>
      </w:r>
    </w:p>
    <w:p>
      <w:pPr>
        <w:pStyle w:val="TextBody"/>
        <w:bidi w:val="0"/>
        <w:spacing w:before="0" w:after="240"/>
        <w:ind w:left="0" w:right="0" w:hanging="0"/>
        <w:jc w:val="both"/>
        <w:rPr>
          <w:rFonts w:ascii="Times New Roman;Times;serif" w:hAnsi="Times New Roman;Times;serif"/>
          <w:sz w:val="23"/>
        </w:rPr>
      </w:pPr>
      <w:r>
        <w:rPr>
          <w:rFonts w:ascii="Times New Roman;Times;serif" w:hAnsi="Times New Roman;Times;serif"/>
          <w:sz w:val="23"/>
        </w:rPr>
        <w:t>In giving such consent, we do not thereby admit that we come within the category of persons whose consent is required under Section 7 of the Securities Exchange Act of 1933, or under the Securities Exchange Act of 1934, in each case, as amended, or the regulations promulgated thereunder.</w:t>
      </w:r>
    </w:p>
    <w:p>
      <w:pPr>
        <w:pStyle w:val="TextBody"/>
        <w:bidi w:val="0"/>
        <w:spacing w:before="0" w:after="240"/>
        <w:ind w:left="0" w:right="0" w:hanging="0"/>
        <w:jc w:val="both"/>
        <w:rPr>
          <w:rFonts w:ascii="Times New Roman;Times;serif" w:hAnsi="Times New Roman;Times;serif"/>
          <w:sz w:val="23"/>
        </w:rPr>
      </w:pPr>
      <w:r>
        <w:rPr>
          <w:rFonts w:ascii="Times New Roman;Times;serif" w:hAnsi="Times New Roman;Times;serif"/>
          <w:sz w:val="23"/>
        </w:rPr>
        <w:t>Yours faithfully,</w:t>
      </w:r>
    </w:p>
    <w:p>
      <w:pPr>
        <w:pStyle w:val="TextBody"/>
        <w:bidi w:val="0"/>
        <w:spacing w:before="0" w:after="240"/>
        <w:ind w:left="0" w:right="0" w:hanging="0"/>
        <w:jc w:val="both"/>
        <w:rPr>
          <w:rFonts w:ascii="Times New Roman;Times;serif" w:hAnsi="Times New Roman;Times;serif"/>
          <w:sz w:val="23"/>
        </w:rPr>
      </w:pPr>
      <w:r>
        <w:rPr>
          <w:rFonts w:ascii="Times New Roman;Times;serif" w:hAnsi="Times New Roman;Times;serif"/>
          <w:sz w:val="23"/>
        </w:rPr>
        <w:t>/s/ Han Kun Law Offices</w:t>
      </w:r>
    </w:p>
    <w:p>
      <w:pPr>
        <w:pStyle w:val="TextBody"/>
        <w:bidi w:val="0"/>
        <w:spacing w:before="0" w:after="240"/>
        <w:ind w:left="0" w:right="0" w:hanging="0"/>
        <w:jc w:val="both"/>
        <w:rPr>
          <w:rFonts w:ascii="Times New Roman;Times;serif" w:hAnsi="Times New Roman;Times;serif"/>
          <w:sz w:val="23"/>
        </w:rPr>
      </w:pPr>
      <w:r>
        <w:rPr>
          <w:rFonts w:ascii="Times New Roman;Times;serif" w:hAnsi="Times New Roman;Times;serif"/>
          <w:sz w:val="23"/>
        </w:rPr>
        <w:t>Han Kun Law Offices</w:t>
      </w:r>
    </w:p>
    <w:p>
      <w:pPr>
        <w:pStyle w:val="TextBody"/>
        <w:bidi w:val="0"/>
        <w:spacing w:before="0" w:after="240"/>
        <w:ind w:left="0" w:right="0" w:hanging="0"/>
        <w:jc w:val="both"/>
        <w:rPr/>
      </w:pPr>
      <w:r>
        <w:rPr/>
        <w:t>​</w:t>
      </w:r>
    </w:p>
    <w:p>
      <w:pPr>
        <w:pStyle w:val="TextBody"/>
        <w:bidi w:val="0"/>
        <w:spacing w:before="0" w:after="0"/>
        <w:ind w:left="0" w:right="0" w:hanging="0"/>
        <w:jc w:val="center"/>
        <w:rPr/>
      </w:pPr>
      <w:r>
        <w:rPr/>
        <w:drawing>
          <wp:inline distT="0" distB="0" distL="0" distR="0">
            <wp:extent cx="6922135" cy="658495"/>
            <wp:effectExtent l="0" t="0" r="0" b="0"/>
            <wp:docPr id="6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9" descr=""/>
                    <pic:cNvPicPr>
                      <a:picLocks noChangeAspect="1" noChangeArrowheads="1"/>
                    </pic:cNvPicPr>
                  </pic:nvPicPr>
                  <pic:blipFill>
                    <a:blip r:embed="rId80"/>
                    <a:stretch>
                      <a:fillRect/>
                    </a:stretch>
                  </pic:blipFill>
                  <pic:spPr bwMode="auto">
                    <a:xfrm>
                      <a:off x="0" y="0"/>
                      <a:ext cx="6922135" cy="658495"/>
                    </a:xfrm>
                    <a:prstGeom prst="rect">
                      <a:avLst/>
                    </a:prstGeom>
                  </pic:spPr>
                </pic:pic>
              </a:graphicData>
            </a:graphic>
          </wp:inline>
        </w:drawing>
      </w:r>
    </w:p>
    <w:p>
      <w:pPr>
        <w:pStyle w:val="TextBody"/>
        <w:bidi w:val="0"/>
        <w:spacing w:before="0" w:after="48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466" w:name="lot-20251231xex15d3.htm"/>
      <w:bookmarkStart w:id="3467" w:name="kslot20251231xex15d3"/>
      <w:bookmarkEnd w:id="3466"/>
      <w:bookmarkEnd w:id="3467"/>
      <w:r>
        <w:rPr>
          <w:rFonts w:ascii="Times New Roman;Times;serif" w:hAnsi="Times New Roman;Times;serif"/>
          <w:b/>
          <w:sz w:val="20"/>
        </w:rPr>
        <w:t>Exhibit 15.3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issued our report dated April 28, 2026, with respect to the consolidated financial statements included in the Annual Report of Lotus Technology Inc. on Form 20-F for the year ended December 31, 2025. We consent to the incorporation by reference of said report in the Registration Statements of Lotus Technology Inc. on Form F-3 (No. 333-285533, No. 333-282217 and No. 333-279108) and on Form S-8 (No. 333-279130).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Grant Thornton Zhitong Certified Public Accountants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the People’s Republic of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28,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468" w:name="lot-20251231xex15d4.htm"/>
      <w:bookmarkStart w:id="3469" w:name="kslot20251231xex15d4"/>
      <w:bookmarkEnd w:id="3468"/>
      <w:bookmarkEnd w:id="3469"/>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15.4</w:t>
      </w:r>
    </w:p>
    <w:p>
      <w:pPr>
        <w:pStyle w:val="TextBody"/>
        <w:bidi w:val="0"/>
        <w:spacing w:before="0" w:after="10"/>
        <w:ind w:left="0" w:right="0" w:hanging="0"/>
        <w:jc w:val="left"/>
        <w:rPr/>
      </w:pPr>
      <w:r>
        <w:rPr/>
        <w:t>​</w:t>
      </w:r>
    </w:p>
    <w:tbl>
      <w:tblPr>
        <w:tblW w:w="4363" w:type="dxa"/>
        <w:jc w:val="left"/>
        <w:tblInd w:w="0" w:type="dxa"/>
        <w:tblLayout w:type="fixed"/>
        <w:tblCellMar>
          <w:top w:w="0" w:type="dxa"/>
          <w:left w:w="0" w:type="dxa"/>
          <w:bottom w:w="0" w:type="dxa"/>
          <w:right w:w="0" w:type="dxa"/>
        </w:tblCellMar>
      </w:tblPr>
      <w:tblGrid>
        <w:gridCol w:w="1511"/>
        <w:gridCol w:w="976"/>
        <w:gridCol w:w="1876"/>
      </w:tblGrid>
      <w:tr>
        <w:trPr/>
        <w:tc>
          <w:tcPr>
            <w:tcW w:w="1511" w:type="dxa"/>
            <w:tcBorders/>
            <w:vAlign w:val="center"/>
          </w:tcPr>
          <w:p>
            <w:pPr>
              <w:pStyle w:val="TableContents"/>
              <w:bidi w:val="0"/>
              <w:spacing w:before="0" w:after="0"/>
              <w:ind w:left="0" w:right="0" w:hanging="0"/>
              <w:jc w:val="left"/>
              <w:rPr/>
            </w:pPr>
            <w:r>
              <w:rPr/>
              <w:drawing>
                <wp:inline distT="0" distB="0" distL="0" distR="0">
                  <wp:extent cx="895350" cy="371475"/>
                  <wp:effectExtent l="0" t="0" r="0" b="0"/>
                  <wp:docPr id="6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10" descr=""/>
                          <pic:cNvPicPr>
                            <a:picLocks noChangeAspect="1" noChangeArrowheads="1"/>
                          </pic:cNvPicPr>
                        </pic:nvPicPr>
                        <pic:blipFill>
                          <a:blip r:embed="rId81"/>
                          <a:stretch>
                            <a:fillRect/>
                          </a:stretch>
                        </pic:blipFill>
                        <pic:spPr bwMode="auto">
                          <a:xfrm>
                            <a:off x="0" y="0"/>
                            <a:ext cx="895350" cy="371475"/>
                          </a:xfrm>
                          <a:prstGeom prst="rect">
                            <a:avLst/>
                          </a:prstGeom>
                        </pic:spPr>
                      </pic:pic>
                    </a:graphicData>
                  </a:graphic>
                </wp:inline>
              </w:drawing>
            </w:r>
          </w:p>
        </w:tc>
        <w:tc>
          <w:tcPr>
            <w:tcW w:w="28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KPMG Huazhen LLP</w:t>
              <w:br/>
              <w:t>12th Floor, Building A</w:t>
              <w:br/>
              <w:t>Ping An Finance Centre</w:t>
              <w:br/>
              <w:t>280 Minxin Road</w:t>
              <w:br/>
              <w:t>Shangcheng District</w:t>
              <w:br/>
              <w:t>Hangzhou 310016</w:t>
              <w:br/>
              <w:t>China</w:t>
            </w:r>
          </w:p>
        </w:tc>
      </w:tr>
      <w:tr>
        <w:trPr/>
        <w:tc>
          <w:tcPr>
            <w:tcW w:w="15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+86 (571) 2803 8000</w:t>
            </w:r>
          </w:p>
        </w:tc>
      </w:tr>
      <w:tr>
        <w:trPr/>
        <w:tc>
          <w:tcPr>
            <w:tcW w:w="15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+86 (571) 2803 8111</w:t>
            </w:r>
          </w:p>
        </w:tc>
      </w:tr>
      <w:tr>
        <w:trPr/>
        <w:tc>
          <w:tcPr>
            <w:tcW w:w="15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Internet</w:t>
            </w:r>
          </w:p>
        </w:tc>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kpmg.com/cn</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(No. 333-285533, No. 333-282217 and No. 333-279108) on Form F-3 and the registration statement (No. 333-279130) on Form S-8 of our report dated April 30, 2025, with respect to the consolidated financial statements of Lotus Technology Inc.</w:t>
      </w:r>
    </w:p>
    <w:p>
      <w:pPr>
        <w:pStyle w:val="TextBody"/>
        <w:bidi w:val="0"/>
        <w:spacing w:before="0" w:after="19"/>
        <w:ind w:left="0" w:right="0" w:hanging="0"/>
        <w:jc w:val="left"/>
        <w:rPr>
          <w:rFonts w:ascii="Times New Roman;Times;serif" w:hAnsi="Times New Roman;Times;serif"/>
          <w:sz w:val="20"/>
        </w:rPr>
      </w:pPr>
      <w:r>
        <w:rPr>
          <w:rFonts w:ascii="Times New Roman;Times;serif" w:hAnsi="Times New Roman;Times;serif"/>
          <w:sz w:val="20"/>
        </w:rPr>
        <w:t xml:space="preserve">/s/ KPMG Huazhen LLP </w:t>
      </w:r>
    </w:p>
    <w:p>
      <w:pPr>
        <w:pStyle w:val="TextBody"/>
        <w:bidi w:val="0"/>
        <w:spacing w:before="0" w:after="19"/>
        <w:ind w:left="0" w:right="0" w:hanging="0"/>
        <w:jc w:val="left"/>
        <w:rPr>
          <w:rFonts w:ascii="Times New Roman;Times;serif" w:hAnsi="Times New Roman;Times;serif"/>
          <w:sz w:val="20"/>
        </w:rPr>
      </w:pPr>
      <w:r>
        <w:rPr>
          <w:rFonts w:ascii="Times New Roman;Times;serif" w:hAnsi="Times New Roman;Times;serif"/>
          <w:sz w:val="20"/>
        </w:rPr>
        <w:t>Hangzhou,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28, 2026</w:t>
      </w:r>
    </w:p>
    <w:p>
      <w:pPr>
        <w:pStyle w:val="TextBody"/>
        <w:bidi w:val="0"/>
        <w:spacing w:before="480" w:after="0"/>
        <w:ind w:left="0" w:right="0" w:hanging="0"/>
        <w:jc w:val="left"/>
        <w:rPr>
          <w:rFonts w:ascii="Times New Roman;Times;serif" w:hAnsi="Times New Roman;Times;serif"/>
          <w:sz w:val="16"/>
        </w:rPr>
      </w:pPr>
      <w:r>
        <w:rPr>
          <w:rFonts w:ascii="Times New Roman;Times;serif" w:hAnsi="Times New Roman;Times;serif"/>
          <w:sz w:val="16"/>
        </w:rPr>
        <w:t>KPMG Huazhen LLP, a People’s Republic of China</w:t>
        <w:br/>
        <w:t xml:space="preserve">partnership and a member firm of the KPMG global </w:t>
        <w:br/>
        <w:t xml:space="preserve">organisation of independent member firms affiliated with </w:t>
        <w:br/>
        <w:t>KPMG International Limited,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470" w:name="lot-20251231xex16d1.htm"/>
      <w:bookmarkStart w:id="3471" w:name="kslot20251231xex16d1"/>
      <w:bookmarkEnd w:id="3470"/>
      <w:bookmarkEnd w:id="3471"/>
      <w:r>
        <w:rPr/>
        <w:t>​</w:t>
      </w:r>
      <w:r>
        <w:br w:type="page"/>
      </w:r>
    </w:p>
    <w:p>
      <w:pPr>
        <w:pStyle w:val="TextBody"/>
        <w:pBdr/>
        <w:bidi w:val="0"/>
        <w:spacing w:before="0" w:after="0"/>
        <w:ind w:left="0" w:right="0" w:hanging="720"/>
        <w:jc w:val="right"/>
        <w:rPr>
          <w:rFonts w:ascii="Times New Roman;Times;serif" w:hAnsi="Times New Roman;Times;serif"/>
          <w:b/>
          <w:sz w:val="20"/>
        </w:rPr>
      </w:pPr>
      <w:r>
        <w:rPr>
          <w:rFonts w:ascii="Times New Roman;Times;serif" w:hAnsi="Times New Roman;Times;serif"/>
          <w:b/>
          <w:sz w:val="20"/>
        </w:rPr>
        <w:t>Exhibit 16.1</w:t>
      </w:r>
    </w:p>
    <w:p>
      <w:pPr>
        <w:pStyle w:val="TextBody"/>
        <w:pBdr/>
        <w:bidi w:val="0"/>
        <w:spacing w:before="0" w:after="0"/>
        <w:ind w:left="0" w:right="0" w:hanging="720"/>
        <w:jc w:val="left"/>
        <w:rPr/>
      </w:pPr>
      <w:r>
        <w:rPr/>
        <w:t>​</w:t>
      </w:r>
    </w:p>
    <w:tbl>
      <w:tblPr>
        <w:tblW w:w="4378" w:type="dxa"/>
        <w:jc w:val="left"/>
        <w:tblInd w:w="0" w:type="dxa"/>
        <w:tblLayout w:type="fixed"/>
        <w:tblCellMar>
          <w:top w:w="0" w:type="dxa"/>
          <w:left w:w="0" w:type="dxa"/>
          <w:bottom w:w="0" w:type="dxa"/>
          <w:right w:w="0" w:type="dxa"/>
        </w:tblCellMar>
      </w:tblPr>
      <w:tblGrid>
        <w:gridCol w:w="1526"/>
        <w:gridCol w:w="976"/>
        <w:gridCol w:w="1876"/>
      </w:tblGrid>
      <w:tr>
        <w:trPr/>
        <w:tc>
          <w:tcPr>
            <w:tcW w:w="1526" w:type="dxa"/>
            <w:tcBorders/>
            <w:vAlign w:val="center"/>
          </w:tcPr>
          <w:p>
            <w:pPr>
              <w:pStyle w:val="TableContents"/>
              <w:pBdr/>
              <w:bidi w:val="0"/>
              <w:spacing w:before="0" w:after="0"/>
              <w:ind w:left="0" w:right="0" w:hanging="0"/>
              <w:jc w:val="left"/>
              <w:rPr/>
            </w:pPr>
            <w:r>
              <w:rPr/>
              <w:drawing>
                <wp:inline distT="0" distB="0" distL="0" distR="0">
                  <wp:extent cx="904875" cy="371475"/>
                  <wp:effectExtent l="0" t="0" r="0" b="0"/>
                  <wp:docPr id="6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11" descr=""/>
                          <pic:cNvPicPr>
                            <a:picLocks noChangeAspect="1" noChangeArrowheads="1"/>
                          </pic:cNvPicPr>
                        </pic:nvPicPr>
                        <pic:blipFill>
                          <a:blip r:embed="rId82"/>
                          <a:stretch>
                            <a:fillRect/>
                          </a:stretch>
                        </pic:blipFill>
                        <pic:spPr bwMode="auto">
                          <a:xfrm>
                            <a:off x="0" y="0"/>
                            <a:ext cx="904875" cy="371475"/>
                          </a:xfrm>
                          <a:prstGeom prst="rect">
                            <a:avLst/>
                          </a:prstGeom>
                        </pic:spPr>
                      </pic:pic>
                    </a:graphicData>
                  </a:graphic>
                </wp:inline>
              </w:drawing>
            </w:r>
          </w:p>
        </w:tc>
        <w:tc>
          <w:tcPr>
            <w:tcW w:w="28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KPMG Huazhen LLP</w:t>
              <w:br/>
              <w:t>12th Floor, Building A</w:t>
              <w:br/>
              <w:t>Ping An Finance Centre</w:t>
              <w:br/>
              <w:t>280 Minxin Road</w:t>
              <w:br/>
              <w:t>Shangcheng District</w:t>
              <w:br/>
              <w:t>Hangzhou 310016</w:t>
              <w:br/>
              <w:t>China</w:t>
            </w:r>
          </w:p>
        </w:tc>
      </w:tr>
      <w:tr>
        <w:trPr/>
        <w:tc>
          <w:tcPr>
            <w:tcW w:w="1526" w:type="dxa"/>
            <w:tcBorders/>
            <w:vAlign w:val="center"/>
          </w:tcPr>
          <w:p>
            <w:pPr>
              <w:pStyle w:val="TableContents"/>
              <w:pBdr/>
              <w:bidi w:val="0"/>
              <w:spacing w:before="0" w:after="0"/>
              <w:ind w:left="0" w:right="0" w:hanging="0"/>
              <w:jc w:val="left"/>
              <w:rPr/>
            </w:pPr>
            <w:r>
              <w:rPr/>
              <w:t>​</w:t>
            </w:r>
          </w:p>
        </w:tc>
        <w:tc>
          <w:tcPr>
            <w:tcW w:w="9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w:t>
            </w:r>
          </w:p>
        </w:tc>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+86 (571) 2803 8000</w:t>
            </w:r>
          </w:p>
        </w:tc>
      </w:tr>
      <w:tr>
        <w:trPr/>
        <w:tc>
          <w:tcPr>
            <w:tcW w:w="1526" w:type="dxa"/>
            <w:tcBorders/>
            <w:vAlign w:val="center"/>
          </w:tcPr>
          <w:p>
            <w:pPr>
              <w:pStyle w:val="TableContents"/>
              <w:pBdr/>
              <w:bidi w:val="0"/>
              <w:spacing w:before="0" w:after="0"/>
              <w:ind w:left="0" w:right="0" w:hanging="0"/>
              <w:jc w:val="left"/>
              <w:rPr/>
            </w:pPr>
            <w:r>
              <w:rPr/>
              <w:t>​</w:t>
            </w:r>
          </w:p>
        </w:tc>
        <w:tc>
          <w:tcPr>
            <w:tcW w:w="9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+86 (571) 2803 8111</w:t>
            </w:r>
          </w:p>
        </w:tc>
      </w:tr>
      <w:tr>
        <w:trPr/>
        <w:tc>
          <w:tcPr>
            <w:tcW w:w="1526" w:type="dxa"/>
            <w:tcBorders/>
            <w:vAlign w:val="center"/>
          </w:tcPr>
          <w:p>
            <w:pPr>
              <w:pStyle w:val="TableContents"/>
              <w:pBdr/>
              <w:bidi w:val="0"/>
              <w:spacing w:before="0" w:after="0"/>
              <w:ind w:left="0" w:right="0" w:hanging="0"/>
              <w:jc w:val="left"/>
              <w:rPr/>
            </w:pPr>
            <w:r>
              <w:rPr/>
              <w:t>​</w:t>
            </w:r>
          </w:p>
        </w:tc>
        <w:tc>
          <w:tcPr>
            <w:tcW w:w="9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Internet</w:t>
            </w:r>
          </w:p>
        </w:tc>
        <w:tc>
          <w:tcPr>
            <w:tcW w:w="1876" w:type="dxa"/>
            <w:tcBorders/>
            <w:vAlign w:val="center"/>
          </w:tcPr>
          <w:p>
            <w:pPr>
              <w:pStyle w:val="TableContents"/>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kpmg.com/cn</w:t>
            </w:r>
          </w:p>
        </w:tc>
      </w:tr>
    </w:tbl>
    <w:p>
      <w:pPr>
        <w:pStyle w:val="TextBody"/>
        <w:pBdr/>
        <w:bidi w:val="0"/>
        <w:spacing w:before="0" w:after="0"/>
        <w:ind w:left="0" w:right="0" w:hanging="720"/>
        <w:jc w:val="left"/>
        <w:rPr/>
      </w:pPr>
      <w:r>
        <w:rPr/>
        <w:t>​</w:t>
      </w:r>
    </w:p>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April 28,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Securities and Exchange Commission</w:t>
        <w:br/>
        <w:t>Washington, D.C. 20549</w:t>
      </w:r>
    </w:p>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were previously principal accountants for Lotus Technology Inc. (the Company) and, under the date of April 30, 2025, we reported on the consolidated financial statements of the Company as of and for the years ended December 31, 2024 and 2023. On December 31, 2025, we were dismissed.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read the Company’s statements included under Item 16F of its Form 20-F dated April 28, 2026, and we agree with such statements, except that we are not in a position to agree or disagree with the Company’s statements in the first paragraph regarding the appointment of Grant Thornton and the fifth paragraph regarding the consultation with Grant Thornton of such Item 16F.</w:t>
      </w:r>
    </w:p>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Very truly yours,</w:t>
      </w:r>
    </w:p>
    <w:p>
      <w:pPr>
        <w:pStyle w:val="TextBody"/>
        <w:pBdr/>
        <w:bidi w:val="0"/>
        <w:spacing w:before="0" w:after="160"/>
        <w:ind w:left="0" w:right="0" w:hanging="720"/>
        <w:jc w:val="left"/>
        <w:rPr>
          <w:rFonts w:ascii="Times New Roman;Times;serif" w:hAnsi="Times New Roman;Times;serif"/>
          <w:sz w:val="20"/>
        </w:rPr>
      </w:pPr>
      <w:r>
        <w:rPr>
          <w:rFonts w:ascii="Times New Roman;Times;serif" w:hAnsi="Times New Roman;Times;serif"/>
          <w:sz w:val="20"/>
        </w:rPr>
        <w:t>/s/ KPMG Huazhen LLP</w:t>
      </w:r>
    </w:p>
    <w:p>
      <w:pPr>
        <w:pStyle w:val="TextBody"/>
        <w:bidi w:val="0"/>
        <w:spacing w:before="480" w:after="0"/>
        <w:ind w:left="0" w:right="0" w:hanging="0"/>
        <w:jc w:val="left"/>
        <w:rPr>
          <w:rFonts w:ascii="Times New Roman;Times;serif" w:hAnsi="Times New Roman;Times;serif"/>
          <w:sz w:val="16"/>
        </w:rPr>
      </w:pPr>
      <w:r>
        <w:rPr>
          <w:rFonts w:ascii="Times New Roman;Times;serif" w:hAnsi="Times New Roman;Times;serif"/>
          <w:sz w:val="16"/>
        </w:rPr>
        <w:t>KPMG Huazhen LLP, a People’s Republic of China</w:t>
        <w:br/>
        <w:t>partnership and a member firm of the KPMG global</w:t>
        <w:br/>
        <w:t>organisation of independent member firms affiliated with</w:t>
        <w:br/>
        <w:t>KPMG International Limited,</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hyperlink" Target="https://www.sec.gov/Archives/edgar/data/1962746/000110465924050028/lot-20231231xex1d1.htm" TargetMode="External"/><Relationship Id="rId8" Type="http://schemas.openxmlformats.org/officeDocument/2006/relationships/hyperlink" Target="https://www.sec.gov/Archives/edgar/data/1962746/000110465924050028/lot-20231231xex2d2.htm" TargetMode="External"/><Relationship Id="rId9" Type="http://schemas.openxmlformats.org/officeDocument/2006/relationships/hyperlink" Target="https://www.sec.gov/Archives/edgar/data/1962746/000110465924050028/lot-20231231xex2d2.htm" TargetMode="External"/><Relationship Id="rId10" Type="http://schemas.openxmlformats.org/officeDocument/2006/relationships/hyperlink" Target="https://www.sec.gov/Archives/edgar/data/1962746/000110465923109358/tm236957d17_ex4-6.htm" TargetMode="External"/><Relationship Id="rId11" Type="http://schemas.openxmlformats.org/officeDocument/2006/relationships/hyperlink" Target="https://www.sec.gov/Archives/edgar/data/1962746/000110465923109358/tm236957d17_ex4-7.htm" TargetMode="External"/><Relationship Id="rId12" Type="http://schemas.openxmlformats.org/officeDocument/2006/relationships/hyperlink" Target="https://www.sec.gov/Archives/edgar/data/1962746/000110465923109358/tm236957d17_ex4-8.htm" TargetMode="External"/><Relationship Id="rId13" Type="http://schemas.openxmlformats.org/officeDocument/2006/relationships/hyperlink" Target="https://www.sec.gov/Archives/edgar/data/1962746/000110465924050028/lot-20231231xex2d6.htm" TargetMode="External"/><Relationship Id="rId14" Type="http://schemas.openxmlformats.org/officeDocument/2006/relationships/hyperlink" Target="https://www.sec.gov/Archives/edgar/data/1962746/000110465923109358/tm236957d17_ex4-10.htm" TargetMode="External"/><Relationship Id="rId15" Type="http://schemas.openxmlformats.org/officeDocument/2006/relationships/hyperlink" Target="https://www.sec.gov/Archives/edgar/data/1962746/000110465924050028/lot-20231231xex2d8.htm" TargetMode="External"/><Relationship Id="rId16" Type="http://schemas.openxmlformats.org/officeDocument/2006/relationships/hyperlink" Target="https://www.sec.gov/Archives/edgar/data/1962746/000110465924050028/lot-20231231xex2d9.htm" TargetMode="External"/><Relationship Id="rId17" Type="http://schemas.openxmlformats.org/officeDocument/2006/relationships/hyperlink" Target="https://www.sec.gov/Archives/edgar/data/1962746/000110465923109358/tm236957d17_ex10-1.htm" TargetMode="External"/><Relationship Id="rId18" Type="http://schemas.openxmlformats.org/officeDocument/2006/relationships/hyperlink" Target="https://www.sec.gov/Archives/edgar/data/1962746/000110465923109358/tm236957d17_ex10-2.htm" TargetMode="External"/><Relationship Id="rId19" Type="http://schemas.openxmlformats.org/officeDocument/2006/relationships/hyperlink" Target="https://www.sec.gov/Archives/edgar/data/1962746/000110465923109358/tm236957d17_ex10-3.htm" TargetMode="External"/><Relationship Id="rId20" Type="http://schemas.openxmlformats.org/officeDocument/2006/relationships/hyperlink" Target="https://www.sec.gov/Archives/edgar/data/1962746/000110465923109358/tm236957d17_ex10-4.htm" TargetMode="External"/><Relationship Id="rId21" Type="http://schemas.openxmlformats.org/officeDocument/2006/relationships/hyperlink" Target="https://www.sec.gov/Archives/edgar/data/1962746/000110465923118665/tm236957d22_ex10-5.htm" TargetMode="External"/><Relationship Id="rId22" Type="http://schemas.openxmlformats.org/officeDocument/2006/relationships/hyperlink" Target="https://www.sec.gov/Archives/edgar/data/1962746/000110465923109358/tm236957d17_ex10-5.htm" TargetMode="External"/><Relationship Id="rId23" Type="http://schemas.openxmlformats.org/officeDocument/2006/relationships/hyperlink" Target="https://www.sec.gov/Archives/edgar/data/1962746/000110465923118665/tm236957d22_ex10-7.htm" TargetMode="External"/><Relationship Id="rId24" Type="http://schemas.openxmlformats.org/officeDocument/2006/relationships/hyperlink" Target="https://www.sec.gov/Archives/edgar/data/1962746/000110465923109358/tm236957d17_ex10-7.htm" TargetMode="External"/><Relationship Id="rId25" Type="http://schemas.openxmlformats.org/officeDocument/2006/relationships/hyperlink" Target="https://www.sec.gov/Archives/edgar/data/1962746/000110465923109358/tm236957d17_ex10-8.htm" TargetMode="External"/><Relationship Id="rId26" Type="http://schemas.openxmlformats.org/officeDocument/2006/relationships/hyperlink" Target="https://www.sec.gov/Archives/edgar/data/1962746/000110465923109358/tm236957d17_ex10-9.htm" TargetMode="External"/><Relationship Id="rId27" Type="http://schemas.openxmlformats.org/officeDocument/2006/relationships/hyperlink" Target="https://www.sec.gov/Archives/edgar/data/1962746/000110465923109358/tm236957d17_ex10-10.htm" TargetMode="External"/><Relationship Id="rId28" Type="http://schemas.openxmlformats.org/officeDocument/2006/relationships/hyperlink" Target="https://www.sec.gov/Archives/edgar/data/1962746/000110465923109358/tm236957d17_ex10-11.htm" TargetMode="External"/><Relationship Id="rId29" Type="http://schemas.openxmlformats.org/officeDocument/2006/relationships/hyperlink" Target="https://www.sec.gov/Archives/edgar/data/1962746/000110465923109358/tm236957d17_ex10-12.htm" TargetMode="External"/><Relationship Id="rId30" Type="http://schemas.openxmlformats.org/officeDocument/2006/relationships/hyperlink" Target="https://www.sec.gov/Archives/edgar/data/1962746/000110465923109358/tm236957d17_ex10-13.htm" TargetMode="External"/><Relationship Id="rId31" Type="http://schemas.openxmlformats.org/officeDocument/2006/relationships/hyperlink" Target="https://www.sec.gov/Archives/edgar/data/1962746/000110465923109358/tm236957d17_ex10-14.htm" TargetMode="External"/><Relationship Id="rId32" Type="http://schemas.openxmlformats.org/officeDocument/2006/relationships/hyperlink" Target="https://www.sec.gov/Archives/edgar/data/1962746/000110465923109358/tm236957d17_ex10-15.htm" TargetMode="External"/><Relationship Id="rId33" Type="http://schemas.openxmlformats.org/officeDocument/2006/relationships/hyperlink" Target="https://www.sec.gov/Archives/edgar/data/1962746/000110465923109358/tm236957d17_ex10-16.htm" TargetMode="External"/><Relationship Id="rId34" Type="http://schemas.openxmlformats.org/officeDocument/2006/relationships/hyperlink" Target="https://www.sec.gov/Archives/edgar/data/1962746/000110465923109358/tm236957d17_ex10-17.htm" TargetMode="External"/><Relationship Id="rId35" Type="http://schemas.openxmlformats.org/officeDocument/2006/relationships/hyperlink" Target="https://www.sec.gov/Archives/edgar/data/1962746/000110465923109358/tm236957d17_ex10-18.htm" TargetMode="External"/><Relationship Id="rId36" Type="http://schemas.openxmlformats.org/officeDocument/2006/relationships/hyperlink" Target="https://www.sec.gov/Archives/edgar/data/1962746/000110465923109358/tm236957d17_ex10-19.htm" TargetMode="External"/><Relationship Id="rId37" Type="http://schemas.openxmlformats.org/officeDocument/2006/relationships/hyperlink" Target="https://www.sec.gov/Archives/edgar/data/1962746/000110465923109358/tm236957d17_ex10-26.htm" TargetMode="External"/><Relationship Id="rId38" Type="http://schemas.openxmlformats.org/officeDocument/2006/relationships/hyperlink" Target="https://www.sec.gov/Archives/edgar/data/1962746/000110465923109358/tm236957d17_ex10-27.htm" TargetMode="External"/><Relationship Id="rId39" Type="http://schemas.openxmlformats.org/officeDocument/2006/relationships/hyperlink" Target="https://www.sec.gov/Archives/edgar/data/1962746/000110465923109358/tm236957d17_ex10-28.htm" TargetMode="External"/><Relationship Id="rId40" Type="http://schemas.openxmlformats.org/officeDocument/2006/relationships/hyperlink" Target="https://www.sec.gov/Archives/edgar/data/1962746/000110465923109358/tm236957d17_ex10-29.htm" TargetMode="External"/><Relationship Id="rId41" Type="http://schemas.openxmlformats.org/officeDocument/2006/relationships/hyperlink" Target="https://www.sec.gov/Archives/edgar/data/1962746/000110465923109358/tm236957d17_ex10-30.htm" TargetMode="External"/><Relationship Id="rId42" Type="http://schemas.openxmlformats.org/officeDocument/2006/relationships/hyperlink" Target="https://www.sec.gov/Archives/edgar/data/1962746/000110465923109358/tm236957d17_ex10-31.htm" TargetMode="External"/><Relationship Id="rId43" Type="http://schemas.openxmlformats.org/officeDocument/2006/relationships/hyperlink" Target="https://www.sec.gov/Archives/edgar/data/1962746/000110465923109358/tm236957d17_ex10-32.htm" TargetMode="External"/><Relationship Id="rId44" Type="http://schemas.openxmlformats.org/officeDocument/2006/relationships/hyperlink" Target="https://www.sec.gov/Archives/edgar/data/1962746/000110465923109358/tm236957d17_ex10-33.htm" TargetMode="External"/><Relationship Id="rId45" Type="http://schemas.openxmlformats.org/officeDocument/2006/relationships/hyperlink" Target="https://www.sec.gov/Archives/edgar/data/1962746/000110465923123610/tm236957d27_ex10-35.htm" TargetMode="External"/><Relationship Id="rId46" Type="http://schemas.openxmlformats.org/officeDocument/2006/relationships/hyperlink" Target="https://www.sec.gov/Archives/edgar/data/1962746/000141057825001020/lot-20241231xex4d30.htm" TargetMode="External"/><Relationship Id="rId47" Type="http://schemas.openxmlformats.org/officeDocument/2006/relationships/hyperlink" Target="https://www.sec.gov/Archives/edgar/data/1962746/000141057825001020/lot-20241231xex4d30.htm" TargetMode="External"/><Relationship Id="rId48" Type="http://schemas.openxmlformats.org/officeDocument/2006/relationships/hyperlink" Target="https://www.sec.gov/Archives/edgar/data/1962746/000141057825001020/lot-20241231xex4d30.htm" TargetMode="External"/><Relationship Id="rId49" Type="http://schemas.openxmlformats.org/officeDocument/2006/relationships/hyperlink" Target="https://www.sec.gov/Archives/edgar/data/1962746/000141057825001020/lot-20241231xex4d31.htm" TargetMode="External"/><Relationship Id="rId50" Type="http://schemas.openxmlformats.org/officeDocument/2006/relationships/hyperlink" Target="https://www.sec.gov/Archives/edgar/data/1962746/000141057825001020/lot-20241231xex4d31.htm" TargetMode="External"/><Relationship Id="rId51" Type="http://schemas.openxmlformats.org/officeDocument/2006/relationships/hyperlink" Target="https://www.sec.gov/Archives/edgar/data/1962746/000141057825001020/lot-20241231xex4d31.htm" TargetMode="External"/><Relationship Id="rId52" Type="http://schemas.openxmlformats.org/officeDocument/2006/relationships/hyperlink" Target="https://www.sec.gov/Archives/edgar/data/1962746/000110465924124676/tm2429886d1_ex10-1.htm" TargetMode="External"/><Relationship Id="rId53" Type="http://schemas.openxmlformats.org/officeDocument/2006/relationships/hyperlink" Target="https://www.sec.gov/Archives/edgar/data/1962746/000110465925029375/tm2510791d1_ex10-1.htm" TargetMode="External"/><Relationship Id="rId54" Type="http://schemas.openxmlformats.org/officeDocument/2006/relationships/hyperlink" Target="https://www.sec.gov/Archives/edgar/data/1962746/000110465924074375/tm2418080d1_ex10-1.htm" TargetMode="External"/><Relationship Id="rId55" Type="http://schemas.openxmlformats.org/officeDocument/2006/relationships/hyperlink" Target="https://www.sec.gov/Archives/edgar/data/1962746/000110465924074375/tm2418080d1_ex10-2.htm" TargetMode="External"/><Relationship Id="rId56" Type="http://schemas.openxmlformats.org/officeDocument/2006/relationships/hyperlink" Target="https://www.sec.gov/Archives/edgar/data/1962746/000110465924100186/tm2424105d1_ex99-1.htm" TargetMode="External"/><Relationship Id="rId57" Type="http://schemas.openxmlformats.org/officeDocument/2006/relationships/hyperlink" Target="https://www.sec.gov/Archives/edgar/data/1962746/000110465924100186/tm2424105d1_ex99-2.htm" TargetMode="External"/><Relationship Id="rId58" Type="http://schemas.openxmlformats.org/officeDocument/2006/relationships/hyperlink" Target="https://www.sec.gov/Archives/edgar/data/1962746/000110465924104912/tm2425207d1_ex10-1.htm" TargetMode="External"/><Relationship Id="rId59" Type="http://schemas.openxmlformats.org/officeDocument/2006/relationships/hyperlink" Target="https://www.sec.gov/Archives/edgar/data/1962746/000110465924115604/tm2427904d1_ex10-1.htm" TargetMode="External"/><Relationship Id="rId60" Type="http://schemas.openxmlformats.org/officeDocument/2006/relationships/hyperlink" Target="https://www.sec.gov/Archives/edgar/data/1962746/000110465924115604/tm2427904d1_ex10-2.htm" TargetMode="External"/><Relationship Id="rId61" Type="http://schemas.openxmlformats.org/officeDocument/2006/relationships/hyperlink" Target="https://www.sec.gov/Archives/edgar/data/1962746/000110465925018621/tm257928d1_ex10-1.htm" TargetMode="External"/><Relationship Id="rId62" Type="http://schemas.openxmlformats.org/officeDocument/2006/relationships/hyperlink" Target="https://www.sec.gov/Archives/edgar/data/1962746/000110465925018621/tm257928d1_ex10-2.htm" TargetMode="External"/><Relationship Id="rId63" Type="http://schemas.openxmlformats.org/officeDocument/2006/relationships/hyperlink" Target="https://www.sec.gov/Archives/edgar/data/1962746/000110465925080026/tm2523850d1_ex4-1.htm" TargetMode="External"/><Relationship Id="rId64" Type="http://schemas.openxmlformats.org/officeDocument/2006/relationships/hyperlink" Target="https://www.sec.gov/Archives/edgar/data/1962746/000110465925080026/tm2523850d1_ex4-2.htm" TargetMode="External"/><Relationship Id="rId65" Type="http://schemas.openxmlformats.org/officeDocument/2006/relationships/hyperlink" Target="https://www.sec.gov/Archives/edgar/data/1962746/000110465925054463/tm2516588d1_ex10-1.htm" TargetMode="External"/><Relationship Id="rId66" Type="http://schemas.openxmlformats.org/officeDocument/2006/relationships/hyperlink" Target="https://www.sec.gov/Archives/edgar/data/1962746/000110465925061911/tm2518771d1_ex10-1.htm" TargetMode="External"/><Relationship Id="rId67" Type="http://schemas.openxmlformats.org/officeDocument/2006/relationships/hyperlink" Target="https://www.sec.gov/Archives/edgar/data/1962746/000110465925061911/tm2518771d1_ex10-2.htm" TargetMode="External"/><Relationship Id="rId68" Type="http://schemas.openxmlformats.org/officeDocument/2006/relationships/hyperlink" Target="https://www.sec.gov/Archives/edgar/data/1962746/000110465925071407/tm2521956d1_ex10-1.htm" TargetMode="External"/><Relationship Id="rId69" Type="http://schemas.openxmlformats.org/officeDocument/2006/relationships/hyperlink" Target="https://www.sec.gov/Archives/edgar/data/1962746/000110465925074162/tm2522604d1_ex10-1.htm" TargetMode="External"/><Relationship Id="rId70" Type="http://schemas.openxmlformats.org/officeDocument/2006/relationships/hyperlink" Target="https://www.sec.gov/Archives/edgar/data/1962746/000110465925085635/tm2524740d2_ex10-1.htm" TargetMode="External"/><Relationship Id="rId71" Type="http://schemas.openxmlformats.org/officeDocument/2006/relationships/hyperlink" Target="https://www.sec.gov/Archives/edgar/data/1962746/000110465925124390/tm2534408d1_ex99-2.htm" TargetMode="External"/><Relationship Id="rId72" Type="http://schemas.openxmlformats.org/officeDocument/2006/relationships/hyperlink" Target="https://www.sec.gov/Archives/edgar/data/1962746/000110465924050028/lot-20231231xex11d1.htm" TargetMode="External"/><Relationship Id="rId73" Type="http://schemas.openxmlformats.org/officeDocument/2006/relationships/hyperlink" Target="https://www.sec.gov/Archives/edgar/data/1962746/000141057825001020/lot-20241231xex11d2.htm" TargetMode="External"/><Relationship Id="rId74" Type="http://schemas.openxmlformats.org/officeDocument/2006/relationships/hyperlink" Target="https://www.sec.gov/Archives/edgar/data/1962746/000141057825001020/lot-20241231xex11d2.htm" TargetMode="External"/><Relationship Id="rId75" Type="http://schemas.openxmlformats.org/officeDocument/2006/relationships/hyperlink" Target="https://www.sec.gov/Archives/edgar/data/1962746/000141057825001020/lot-20241231xex11d2.htm" TargetMode="External"/><Relationship Id="rId76" Type="http://schemas.openxmlformats.org/officeDocument/2006/relationships/hyperlink" Target="https://www.sec.gov/Archives/edgar/data/1962746/000110465924050028/lot-20231231xex97d1.htm" TargetMode="External"/><Relationship Id="rId77" Type="http://schemas.openxmlformats.org/officeDocument/2006/relationships/image" Target="media/image5.jpeg"/><Relationship Id="rId78" Type="http://schemas.openxmlformats.org/officeDocument/2006/relationships/image" Target="media/image6.jpeg"/><Relationship Id="rId79" Type="http://schemas.openxmlformats.org/officeDocument/2006/relationships/image" Target="media/image7.jpeg"/><Relationship Id="rId80" Type="http://schemas.openxmlformats.org/officeDocument/2006/relationships/image" Target="media/image8.jpeg"/><Relationship Id="rId81" Type="http://schemas.openxmlformats.org/officeDocument/2006/relationships/image" Target="media/image9.jpeg"/><Relationship Id="rId82" Type="http://schemas.openxmlformats.org/officeDocument/2006/relationships/image" Target="media/image10.jpeg"/><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235289</Words>
  <Characters>1285094</Characters>
  <CharactersWithSpaces>1521345</CharactersWithSpaces>
  <Paragraphs>17339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