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16 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001-41970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Lotus Technology Inc.</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800 Century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Pudong District, Shanghai,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Geely Senior Convertible Note</w:t>
      </w:r>
    </w:p>
    <w:p>
      <w:pPr>
        <w:spacing w:after="0" w:line="22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On June 12, 2026, Lotus Technology Inc. (the “Company”) entered into a convertible note purchase agreement (the “Purchase Agreement”) with Geely International (Hong Kong) Limited (the “Investor”), pursuant to which the Investor agrees to purchase from the Company and the Company agrees to issue to the Investor a convertible note (the “Note”) in the aggregate principal amount of US$128,324,684.58 through a private placement. The closing of the transaction is subject to customary closing conditions and is expected to take place in June 2026.</w:t>
      </w:r>
    </w:p>
    <w:p>
      <w:pPr>
        <w:spacing w:after="0" w:line="183" w:lineRule="exact"/>
        <w:rPr>
          <w:sz w:val="20"/>
          <w:szCs w:val="20"/>
          <w:color w:val="auto"/>
        </w:rPr>
      </w:pPr>
    </w:p>
    <w:p>
      <w:pPr>
        <w:ind w:right="240" w:firstLine="648"/>
        <w:spacing w:after="0"/>
        <w:rPr>
          <w:sz w:val="20"/>
          <w:szCs w:val="20"/>
          <w:color w:val="auto"/>
        </w:rPr>
      </w:pPr>
      <w:r>
        <w:rPr>
          <w:rFonts w:ascii="Times New Roman" w:cs="Times New Roman" w:eastAsia="Times New Roman" w:hAnsi="Times New Roman"/>
          <w:sz w:val="18"/>
          <w:szCs w:val="18"/>
          <w:color w:val="auto"/>
        </w:rPr>
        <w:t>The Note will mature on the 364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issuance and will bear an interest rate per annum equal to the secured overnight financing rate (SOFR) on the issue date plus 3.35%, payable on the maturity date. Subject to the terms of the Note, the Note may be convertible into ordinary shares or American depositary shares (“ADSs”) of the Company at the option of the Investor starting from the 30th trading days after the applicable issue date. The initial conversion price will equal to the volume-weighted average of the last reported sale price of the Company’s ADSs over the 10 consecutive trading days immediately preceding the applicable conversion date. Unless otherwise agreed upon by the Investor, the Note will rank senior to all other present and future unsecured and unsubordinated indebtedness of the Company and its subsidiaries, other than (i) those preferred by applicable law that are mandatory and of general application and (ii) the initial note in the original principal amount of US$10,000,000 issued by the Company to ATW in August 2025.</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Copies of the Purchase Agreement and the Note are included in this current report on Form 6-K as Exhibit 10.1 and Exhibit 10.2 and the foregoing description of the Purchase Agreement and the Note is qualified in its entirety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on Form 6-K, including the exhibits hereto, is incorporated by reference into the pre-effective amendment No. 1 to the registration statement on Form F-3 (File No. 333-285533), post-effective amendment No. 3 to the registration statement on Form F-1 on Form F-3 (File No. 333-279108) and the post-effective amendment No. 2 to the registration statement on Form F-1 on Form F-3 (File No. 333-282217) and shall be a part of such registration statements from the date on which this current report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7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5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70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340" w:type="dxa"/>
            <w:vAlign w:val="bottom"/>
            <w:tcBorders>
              <w:top w:val="single" w:sz="8" w:color="auto"/>
            </w:tcBorders>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560" w:type="dxa"/>
            <w:vAlign w:val="bottom"/>
            <w:tcBorders>
              <w:top w:val="single" w:sz="8" w:color="auto"/>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Convertible Note Purchase Agreement, dated June 12, 2026, by and between Lotus Technology Inc and Geely International (Hong</w:t>
            </w:r>
          </w:p>
        </w:tc>
      </w:tr>
      <w:tr>
        <w:trPr>
          <w:trHeight w:val="196"/>
        </w:trPr>
        <w:tc>
          <w:tcPr>
            <w:tcW w:w="5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Kong) Limited</w:t>
            </w:r>
          </w:p>
        </w:tc>
        <w:tc>
          <w:tcPr>
            <w:tcW w:w="100" w:type="dxa"/>
            <w:vAlign w:val="bottom"/>
          </w:tcPr>
          <w:p>
            <w:pPr>
              <w:spacing w:after="0"/>
              <w:rPr>
                <w:sz w:val="17"/>
                <w:szCs w:val="17"/>
                <w:color w:val="auto"/>
              </w:rPr>
            </w:pPr>
          </w:p>
        </w:tc>
      </w:tr>
      <w:tr>
        <w:trPr>
          <w:trHeight w:val="20"/>
        </w:trPr>
        <w:tc>
          <w:tcPr>
            <w:tcW w:w="1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13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Form of Convertible Note</w:t>
            </w:r>
          </w:p>
        </w:tc>
      </w:tr>
      <w:tr>
        <w:trPr>
          <w:trHeight w:val="695"/>
        </w:trPr>
        <w:tc>
          <w:tcPr>
            <w:tcW w:w="5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Daxue Wang</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Daxue Wang</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Confidential treatment has been requested for redacted portions of this exhibit.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This copy omits the information subject to the confidentiality request. Omissions are designated as ******.</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CONVERTIBLE NOTE PURCHASE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June 12, 2026</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Geely International (Hong Kong)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8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r>
      <w:tr>
        <w:trPr>
          <w:trHeight w:val="412"/>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 DEFINITION AND INTERPRETATION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4"/>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1.01   Definition, Interpretation and Rules of Construction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r>
      <w:tr>
        <w:trPr>
          <w:trHeight w:val="21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 PURCHASE AND SALE; CLOSING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2.01   Issuance, Sale and Purchase of the Convertible Note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w:t>
            </w:r>
          </w:p>
        </w:tc>
      </w:tr>
      <w:tr>
        <w:trPr>
          <w:trHeight w:val="214"/>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2.02   Closing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w:t>
            </w:r>
          </w:p>
        </w:tc>
      </w:tr>
      <w:tr>
        <w:trPr>
          <w:trHeight w:val="21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III CONDITIONS TO THE CLOSING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3.01   Conditions to Obligations of Both Parties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3.02   Conditions to Obligations of Purchaser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w:t>
            </w:r>
          </w:p>
        </w:tc>
      </w:tr>
      <w:tr>
        <w:trPr>
          <w:trHeight w:val="214"/>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3.03   Conditions to Obligations of the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w:t>
            </w:r>
          </w:p>
        </w:tc>
      </w:tr>
      <w:tr>
        <w:trPr>
          <w:trHeight w:val="21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4.01   Representations and Warranties of the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r>
      <w:tr>
        <w:trPr>
          <w:trHeight w:val="214"/>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4.02   Representations and Warranties of the Purchaser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w:t>
            </w:r>
          </w:p>
        </w:tc>
      </w:tr>
      <w:tr>
        <w:trPr>
          <w:trHeight w:val="21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 COVENANTS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5.01   Conduct of Business of the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5.02   FPI Status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5.03   Other Transactions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5.04   Further Assurances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5.05   No Contract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5.06   Reservation of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5.07   No Integrated Offering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5.08   Use of Proceeds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5.09   CSRC Filing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r>
      <w:tr>
        <w:trPr>
          <w:trHeight w:val="214"/>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5.10   Registration Right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r>
      <w:tr>
        <w:trPr>
          <w:trHeight w:val="21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 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6.01   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6.02   Third Party Claims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6.03   Other Claims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r>
      <w:tr>
        <w:trPr>
          <w:trHeight w:val="214"/>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6.04   Limitation on the Company’s Liability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r>
      <w:tr>
        <w:trPr>
          <w:trHeight w:val="21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 MISCELLANEOUS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7.01   Survival of the Representations and Warranties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7.02   Governing Law; Arbitration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7.03   No Third Party Beneficiaries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7.04   Acknowledgement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7.05   Amendment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7.06   Binding Effect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7.07   Assignment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7.08   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7.09   Entire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7.10   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7.11   Fees and 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7.12   Confidentiality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7.13   Specific Performance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7.14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7.15   Headings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7.16   Execution in Counterparts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7.17   Public Disclosure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r>
      <w:tr>
        <w:trPr>
          <w:trHeight w:val="214"/>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SECTION 7.18   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r>
      <w:tr>
        <w:trPr>
          <w:trHeight w:val="238"/>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A Form of Convertible Note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675"/>
        </w:trPr>
        <w:tc>
          <w:tcPr>
            <w:tcW w:w="88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CONVERTIBLE NOTE PURCHASE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CONVERTIBLE NOTE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12, 2026, is entered into by and between (i) Lotus Technology Inc., an exempted company with limited liability organized and existing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(ii) Geely International (Hong Kong) Limited, a company limited by shares incorporated under the laws of Hong Kong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Purchaser desires to subscribe for and purchase, and the Company desires to issue and sell, the Convertible Note pursuant to the terms and conditions set forth in this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covenants and agreements set forth herein, as well as other good and valuable consideration, the receipt and sufficiency of which are hereby acknowledged, each of the Parties hereto, intending to be legally bound, agrees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 AND INTERPRETATION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 Interpretation and Rules of Construction</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As used in this Agreement, the following terms have the following meanings: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means the American depositary shares of the Company, each representing one (1) Ordinary Share of the Company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means the American depositary receipts issued by the relevant depositary evidencing the ADSs.</w:t>
      </w:r>
    </w:p>
    <w:p>
      <w:pPr>
        <w:spacing w:after="0" w:line="225" w:lineRule="exact"/>
        <w:rPr>
          <w:sz w:val="20"/>
          <w:szCs w:val="20"/>
          <w:color w:val="auto"/>
        </w:rPr>
      </w:pPr>
    </w:p>
    <w:p>
      <w:pPr>
        <w:jc w:val="both"/>
        <w:ind w:firstLine="140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w:t>
      </w:r>
    </w:p>
    <w:p>
      <w:pPr>
        <w:spacing w:after="0" w:line="187" w:lineRule="exact"/>
        <w:rPr>
          <w:sz w:val="20"/>
          <w:szCs w:val="20"/>
          <w:color w:val="auto"/>
        </w:rPr>
      </w:pPr>
    </w:p>
    <w:p>
      <w:pPr>
        <w:jc w:val="both"/>
        <w:ind w:firstLine="140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with respect to any Person, any transnational, domestic or foreign,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 as amended unless expressly specified otherwise.</w:t>
      </w:r>
    </w:p>
    <w:p>
      <w:pPr>
        <w:spacing w:after="0" w:line="180"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“ATW 2025 CB Purchase Agreement” means the securities purchase agreement entered into between the Company and an institution investor affiliated with ATW, pursuant to which the Company agrees to issue and sell convertible notes for up to an aggregate principal amount of US$300.0 million.</w:t>
      </w:r>
    </w:p>
    <w:p>
      <w:pPr>
        <w:spacing w:after="0" w:line="176"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another day on which commercial banks in the People’s Republic of China (the “</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China</w:t>
      </w:r>
      <w:r>
        <w:rPr>
          <w:rFonts w:ascii="Times New Roman" w:cs="Times New Roman" w:eastAsia="Times New Roman" w:hAnsi="Times New Roman"/>
          <w:sz w:val="18"/>
          <w:szCs w:val="18"/>
          <w:color w:val="auto"/>
        </w:rPr>
        <w:t>”, which for the purpose of this Agreement shall exclude Hong Kong, Macau Special Administrative Region and Taiwan Region), Hong Kong or New York are required or authorized by law or executive order to be closed.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140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means all registration statements, proxy statements and other statements, reports, schedules, forms and other documents required to be filed or furnished by the Company with the SEC pursuant to the Exchange Act and the Securities Act and all exhibits included therein and financial statements, notes and schedules thereto and documents incorporated by reference therein, in each case, filed or furnished with the SEC.</w:t>
      </w:r>
    </w:p>
    <w:p>
      <w:pPr>
        <w:spacing w:after="0" w:line="180"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(i) Ordinary Shares, (ii) securities convertible into or exchangeable for Ordinary Shares, (iii) any options, warrants or other rights to acquire Ordinary Shares (including any awards under the employee stock incentive plan) and (iv) any depository receipts or similar instruments issued in respect of Ordinary Shares.</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 means any condition to any Party’s obligation to effect the Closing as set forth in ARTICLE III, and collectively,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CSRC</w:t>
      </w:r>
      <w:r>
        <w:rPr>
          <w:rFonts w:ascii="Times New Roman" w:cs="Times New Roman" w:eastAsia="Times New Roman" w:hAnsi="Times New Roman"/>
          <w:sz w:val="18"/>
          <w:szCs w:val="18"/>
          <w:color w:val="auto"/>
        </w:rPr>
        <w:t>” means the China Securities Regulatory Commission.</w:t>
      </w:r>
    </w:p>
    <w:p>
      <w:pPr>
        <w:spacing w:after="0" w:line="225" w:lineRule="exact"/>
        <w:rPr>
          <w:sz w:val="20"/>
          <w:szCs w:val="20"/>
          <w:color w:val="auto"/>
        </w:rPr>
      </w:pPr>
    </w:p>
    <w:p>
      <w:pPr>
        <w:jc w:val="both"/>
        <w:ind w:firstLine="140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written plan, program, policy, contract or other arrangement providing for severance, termination pay, deferred compensation, performance awards, share or share-related awards, housing funds, insurance arrangements, fringe benefits, perquisites, superannuation funds retirement benefits, pension schemes or other employee benefits, that is maintained, contributed to or required to be contributed to by the Company or any of its Subsidiaries for the benefit of any current or former employee, director, officer or independent contractor of the Company or any of its Subsidiaries, or with respect to which the Company or any of its Subsidiaries has or would reasonably expect to have any liability or obligation, other than, in each case, one that is sponsored and maintained by a Governmental Authority;</w:t>
      </w:r>
    </w:p>
    <w:p>
      <w:pPr>
        <w:spacing w:after="0" w:line="187" w:lineRule="exact"/>
        <w:rPr>
          <w:sz w:val="20"/>
          <w:szCs w:val="20"/>
          <w:color w:val="auto"/>
        </w:rPr>
      </w:pPr>
    </w:p>
    <w:p>
      <w:pPr>
        <w:jc w:val="both"/>
        <w:ind w:firstLine="140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means land (including, without limitation, surface land, sub-surface strata and natural and man-made structures), water (including, without limitation, coastal and inland waters, surface waters, ground waters and water in drains and sewers), and air.</w:t>
      </w:r>
    </w:p>
    <w:p>
      <w:pPr>
        <w:spacing w:after="0" w:line="162"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all Applicable Laws in relation to (i) pollution or contamination of the Environment; (ii) the production, storage, use, transport, disposal, release or discharge of hazardous substances; (iii) the exposure of any person or other living organism to hazardous substances; or (iv) the creation of any noise, vibration or other material adverse impact on the Environment.</w:t>
      </w:r>
    </w:p>
    <w:p>
      <w:pPr>
        <w:spacing w:after="0" w:line="176" w:lineRule="exact"/>
        <w:rPr>
          <w:sz w:val="20"/>
          <w:szCs w:val="20"/>
          <w:color w:val="auto"/>
        </w:rPr>
      </w:pPr>
    </w:p>
    <w:p>
      <w:pPr>
        <w:jc w:val="both"/>
        <w:ind w:firstLine="140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 thereunder.</w:t>
      </w:r>
    </w:p>
    <w:p>
      <w:pPr>
        <w:spacing w:after="0" w:line="162" w:lineRule="exact"/>
        <w:rPr>
          <w:sz w:val="20"/>
          <w:szCs w:val="20"/>
          <w:color w:val="auto"/>
        </w:rPr>
      </w:pPr>
    </w:p>
    <w:p>
      <w:pPr>
        <w:jc w:val="both"/>
        <w:ind w:firstLine="140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Warranties</w:t>
      </w:r>
      <w:r>
        <w:rPr>
          <w:rFonts w:ascii="Times New Roman" w:cs="Times New Roman" w:eastAsia="Times New Roman" w:hAnsi="Times New Roman"/>
          <w:sz w:val="18"/>
          <w:szCs w:val="18"/>
          <w:color w:val="auto"/>
        </w:rPr>
        <w:t xml:space="preserve">” means any representations and warranties of the Company contained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4.01(f)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4.01(i)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Hong Kong</w:t>
      </w:r>
      <w:r>
        <w:rPr>
          <w:rFonts w:ascii="Times New Roman" w:cs="Times New Roman" w:eastAsia="Times New Roman" w:hAnsi="Times New Roman"/>
          <w:sz w:val="18"/>
          <w:szCs w:val="18"/>
          <w:color w:val="auto"/>
        </w:rPr>
        <w:t>” means Hong Kong Special Administrative Region.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40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with respect to a party means any event, fact, circumstance or occurrence that, individually or in the aggregate with any other events, facts, circumstances or occurrences, results in or would reasonably be expected to result in a material adverse change in or a material adverse effect on (i) the financial condition, assets, liabilities, results of operations, business or operations of such party and its Subsidiaries taken as a whole, or (ii) the ability of such party to consummate the transactions contemplated by the Transaction Agreements and to timely perform its obligations hereunder and thereunder, except to the extent that any such material adverse effect results from (a) changes in generally accepted accounting principles that are generally applicable to comparable companies (to the extent not materially disproportionately affecting such party and its Subsidiaries),</w:t>
      </w:r>
    </w:p>
    <w:p>
      <w:pPr>
        <w:spacing w:after="0" w:line="5" w:lineRule="exact"/>
        <w:rPr>
          <w:sz w:val="20"/>
          <w:szCs w:val="20"/>
          <w:color w:val="auto"/>
        </w:rPr>
      </w:pPr>
    </w:p>
    <w:p>
      <w:pPr>
        <w:jc w:val="both"/>
        <w:ind w:firstLine="8"/>
        <w:spacing w:after="0" w:line="251" w:lineRule="auto"/>
        <w:tabs>
          <w:tab w:leader="none" w:pos="25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market conditions and capital market conditions or changes affecting any of the industries in which such party and its Subsidiaries operate generally (in each case to the extent not materially disproportionately affecting such party and its Subsidiaries), (c) the announcement or disclosure of this Agreement or any other Transaction Agreement or the consummation of the transactions hereunder or thereunder, or any act or omission required or specifically permitted by this Agreement and/or any other Transaction Agreement; (d) any pandemic, earthquake, typhoon, tornado or other natural disaster or similar force majeure event, (e) in the case of the Company, any failure to meet any internal or public projections, forecasts, or guidance, or (f) in the case of the Company, any change in the Company’s stock price or trading volume, in and of itself; provided, however, that the underlying causes giving rise to or contributing to any such change or failure under sub-clause (e) or (f) shall not be excluded in determining whether a Material Adverse Effect has occurred except to the extent such underlying causes are otherwise excluded pursuant to any of sub-clauses (a) through (d).</w:t>
      </w:r>
    </w:p>
    <w:p>
      <w:pPr>
        <w:spacing w:after="0" w:line="1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w:t>
      </w:r>
      <w:r>
        <w:rPr>
          <w:rFonts w:ascii="Times New Roman" w:cs="Times New Roman" w:eastAsia="Times New Roman" w:hAnsi="Times New Roman"/>
          <w:sz w:val="18"/>
          <w:szCs w:val="18"/>
          <w:color w:val="auto"/>
        </w:rPr>
        <w:t>” means an ordinary share of a par value of US$0.00001 in the capital of the Company.</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collectively, the Company and the Purchaser.</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as amended.</w:t>
      </w:r>
    </w:p>
    <w:p>
      <w:pPr>
        <w:spacing w:after="0" w:line="225" w:lineRule="exact"/>
        <w:rPr>
          <w:sz w:val="20"/>
          <w:szCs w:val="20"/>
          <w:color w:val="auto"/>
        </w:rPr>
      </w:pPr>
    </w:p>
    <w:p>
      <w:pPr>
        <w:ind w:firstLine="140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of the United States of America or any other federal agency at the time administering the Securities Act.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all of the rules and regulations promulgated thereunder.</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party means any organization or entity, whether incorporated or unincorporated, which is controlled by such party.</w:t>
      </w:r>
    </w:p>
    <w:p>
      <w:pPr>
        <w:spacing w:after="0" w:line="225" w:lineRule="exact"/>
        <w:rPr>
          <w:sz w:val="20"/>
          <w:szCs w:val="20"/>
          <w:color w:val="auto"/>
        </w:rPr>
      </w:pPr>
    </w:p>
    <w:p>
      <w:pPr>
        <w:ind w:firstLine="140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Subsidiaries</w:t>
      </w:r>
      <w:r>
        <w:rPr>
          <w:rFonts w:ascii="Times New Roman" w:cs="Times New Roman" w:eastAsia="Times New Roman" w:hAnsi="Times New Roman"/>
          <w:sz w:val="18"/>
          <w:szCs w:val="18"/>
          <w:color w:val="auto"/>
        </w:rPr>
        <w:t>” has the meaning given to it in Article 1, Rule 1-02 of Regulation S-X under the U.S. Securities Exchange Act of 1934, as amended.</w:t>
      </w:r>
    </w:p>
    <w:p>
      <w:pPr>
        <w:spacing w:after="0" w:line="162" w:lineRule="exact"/>
        <w:rPr>
          <w:sz w:val="20"/>
          <w:szCs w:val="20"/>
          <w:color w:val="auto"/>
        </w:rPr>
      </w:pPr>
    </w:p>
    <w:p>
      <w:pPr>
        <w:ind w:right="20" w:firstLine="140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Agreements</w:t>
      </w:r>
      <w:r>
        <w:rPr>
          <w:rFonts w:ascii="Times New Roman" w:cs="Times New Roman" w:eastAsia="Times New Roman" w:hAnsi="Times New Roman"/>
          <w:sz w:val="18"/>
          <w:szCs w:val="18"/>
          <w:color w:val="auto"/>
        </w:rPr>
        <w:t>” means, collectively, this Agreement and the Convertible Note and each of the other agreements and documents entered into or delivered by the parties hereto or their respective Affiliates in connection with the transactions contemplated by this Agreement.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ADSs</w:t>
      </w:r>
      <w:r>
        <w:rPr>
          <w:rFonts w:ascii="Times New Roman" w:cs="Times New Roman" w:eastAsia="Times New Roman" w:hAnsi="Times New Roman"/>
          <w:sz w:val="18"/>
          <w:szCs w:val="18"/>
          <w:color w:val="auto"/>
        </w:rPr>
        <w:t>” means the ADSs issuable upon conversion and registration with the SEC.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780"/>
        <w:spacing w:after="0"/>
        <w:rPr>
          <w:sz w:val="20"/>
          <w:szCs w:val="20"/>
          <w:color w:val="auto"/>
        </w:rPr>
      </w:pPr>
      <w:r>
        <w:rPr>
          <w:rFonts w:ascii="Times New Roman" w:cs="Times New Roman" w:eastAsia="Times New Roman" w:hAnsi="Times New Roman"/>
          <w:sz w:val="18"/>
          <w:szCs w:val="18"/>
          <w:color w:val="auto"/>
        </w:rPr>
        <w:t>(b)     Each of the following terms is defined in the Section set forth opposite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154305</wp:posOffset>
            </wp:positionV>
            <wp:extent cx="53492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192"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380" w:type="dxa"/>
            <w:vAlign w:val="bottom"/>
            <w:shd w:val="clear" w:color="auto" w:fill="D9D9D9"/>
          </w:tcPr>
          <w:p>
            <w:pPr>
              <w:spacing w:after="0"/>
              <w:rPr>
                <w:sz w:val="20"/>
                <w:szCs w:val="20"/>
                <w:color w:val="auto"/>
              </w:rPr>
            </w:pPr>
            <w:r>
              <w:rPr>
                <w:rFonts w:ascii="Times New Roman" w:cs="Times New Roman" w:eastAsia="Times New Roman" w:hAnsi="Times New Roman"/>
                <w:sz w:val="18"/>
                <w:szCs w:val="18"/>
                <w:color w:val="auto"/>
                <w:w w:val="92"/>
              </w:rPr>
              <w:t>Term</w:t>
            </w:r>
          </w:p>
        </w:tc>
        <w:tc>
          <w:tcPr>
            <w:tcW w:w="2220" w:type="dxa"/>
            <w:vAlign w:val="bottom"/>
            <w:gridSpan w:val="25"/>
            <w:shd w:val="clear" w:color="auto" w:fill="D9D9D9"/>
          </w:tcPr>
          <w:p>
            <w:pPr>
              <w:spacing w:after="0"/>
              <w:rPr>
                <w:sz w:val="17"/>
                <w:szCs w:val="17"/>
                <w:color w:val="auto"/>
              </w:rPr>
            </w:pPr>
          </w:p>
        </w:tc>
        <w:tc>
          <w:tcPr>
            <w:tcW w:w="2280" w:type="dxa"/>
            <w:vAlign w:val="bottom"/>
            <w:shd w:val="clear" w:color="auto" w:fill="D9D9D9"/>
          </w:tcPr>
          <w:p>
            <w:pPr>
              <w:spacing w:after="0"/>
              <w:rPr>
                <w:sz w:val="17"/>
                <w:szCs w:val="17"/>
                <w:color w:val="auto"/>
              </w:rPr>
            </w:pPr>
          </w:p>
        </w:tc>
        <w:tc>
          <w:tcPr>
            <w:tcW w:w="354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18"/>
                <w:szCs w:val="18"/>
                <w:color w:val="auto"/>
              </w:rPr>
              <w:t>Section</w:t>
            </w:r>
          </w:p>
        </w:tc>
      </w:tr>
      <w:tr>
        <w:trPr>
          <w:trHeight w:val="21"/>
        </w:trPr>
        <w:tc>
          <w:tcPr>
            <w:tcW w:w="380" w:type="dxa"/>
            <w:vAlign w:val="bottom"/>
            <w:tcBorders>
              <w:top w:val="single" w:sz="8" w:color="auto"/>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60" w:type="dxa"/>
            <w:vAlign w:val="bottom"/>
            <w:tcBorders>
              <w:top w:val="single" w:sz="8" w:color="D9D9D9"/>
            </w:tcBorders>
            <w:shd w:val="clear" w:color="auto" w:fill="D9D9D9"/>
          </w:tcPr>
          <w:p>
            <w:pPr>
              <w:spacing w:after="0" w:line="20" w:lineRule="exact"/>
              <w:rPr>
                <w:sz w:val="1"/>
                <w:szCs w:val="1"/>
                <w:color w:val="auto"/>
              </w:rPr>
            </w:pPr>
          </w:p>
        </w:tc>
        <w:tc>
          <w:tcPr>
            <w:tcW w:w="40" w:type="dxa"/>
            <w:vAlign w:val="bottom"/>
            <w:tcBorders>
              <w:top w:val="single" w:sz="8" w:color="D9D9D9"/>
              <w:left w:val="single" w:sz="8" w:color="D9D9D9"/>
            </w:tcBorders>
            <w:shd w:val="clear" w:color="auto" w:fill="D9D9D9"/>
          </w:tcPr>
          <w:p>
            <w:pPr>
              <w:spacing w:after="0" w:line="20" w:lineRule="exact"/>
              <w:rPr>
                <w:sz w:val="1"/>
                <w:szCs w:val="1"/>
                <w:color w:val="auto"/>
              </w:rPr>
            </w:pPr>
          </w:p>
        </w:tc>
        <w:tc>
          <w:tcPr>
            <w:tcW w:w="6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12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4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18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4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4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30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640" w:type="dxa"/>
            <w:vAlign w:val="bottom"/>
            <w:tcBorders>
              <w:top w:val="single" w:sz="8" w:color="D9D9D9"/>
            </w:tcBorders>
            <w:shd w:val="clear" w:color="auto" w:fill="D9D9D9"/>
          </w:tcPr>
          <w:p>
            <w:pPr>
              <w:spacing w:after="0" w:line="20" w:lineRule="exact"/>
              <w:rPr>
                <w:sz w:val="1"/>
                <w:szCs w:val="1"/>
                <w:color w:val="auto"/>
              </w:rPr>
            </w:pPr>
          </w:p>
        </w:tc>
        <w:tc>
          <w:tcPr>
            <w:tcW w:w="2280" w:type="dxa"/>
            <w:vAlign w:val="bottom"/>
            <w:tcBorders>
              <w:top w:val="single" w:sz="8" w:color="D9D9D9"/>
            </w:tcBorders>
            <w:shd w:val="clear" w:color="auto" w:fill="D9D9D9"/>
          </w:tcPr>
          <w:p>
            <w:pPr>
              <w:spacing w:after="0" w:line="20" w:lineRule="exact"/>
              <w:rPr>
                <w:sz w:val="1"/>
                <w:szCs w:val="1"/>
                <w:color w:val="auto"/>
              </w:rPr>
            </w:pPr>
          </w:p>
        </w:tc>
        <w:tc>
          <w:tcPr>
            <w:tcW w:w="540" w:type="dxa"/>
            <w:vAlign w:val="bottom"/>
            <w:tcBorders>
              <w:top w:val="single" w:sz="8" w:color="auto"/>
            </w:tcBorders>
            <w:shd w:val="clear" w:color="auto" w:fill="D9D9D9"/>
          </w:tcPr>
          <w:p>
            <w:pPr>
              <w:spacing w:after="0" w:line="20" w:lineRule="exact"/>
              <w:rPr>
                <w:sz w:val="1"/>
                <w:szCs w:val="1"/>
                <w:color w:val="auto"/>
              </w:rPr>
            </w:pPr>
          </w:p>
        </w:tc>
        <w:tc>
          <w:tcPr>
            <w:tcW w:w="3000" w:type="dxa"/>
            <w:vAlign w:val="bottom"/>
            <w:tcBorders>
              <w:top w:val="single" w:sz="8" w:color="D9D9D9"/>
            </w:tcBorders>
            <w:shd w:val="clear" w:color="auto" w:fill="D9D9D9"/>
          </w:tcPr>
          <w:p>
            <w:pPr>
              <w:spacing w:after="0" w:line="20" w:lineRule="exact"/>
              <w:rPr>
                <w:sz w:val="1"/>
                <w:szCs w:val="1"/>
                <w:color w:val="auto"/>
              </w:rPr>
            </w:pPr>
          </w:p>
        </w:tc>
      </w:tr>
      <w:tr>
        <w:trPr>
          <w:trHeight w:val="175"/>
        </w:trPr>
        <w:tc>
          <w:tcPr>
            <w:tcW w:w="26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auto"/>
              </w:rPr>
              <w:t>“Agreement”</w:t>
            </w:r>
          </w:p>
        </w:tc>
        <w:tc>
          <w:tcPr>
            <w:tcW w:w="5820" w:type="dxa"/>
            <w:vAlign w:val="bottom"/>
            <w:gridSpan w:val="3"/>
          </w:tcPr>
          <w:p>
            <w:pPr>
              <w:ind w:left="2280"/>
              <w:spacing w:after="0" w:line="17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r>
      <w:tr>
        <w:trPr>
          <w:trHeight w:val="196"/>
        </w:trPr>
        <w:tc>
          <w:tcPr>
            <w:tcW w:w="2600" w:type="dxa"/>
            <w:vAlign w:val="bottom"/>
            <w:tcBorders>
              <w:bottom w:val="single" w:sz="8" w:color="auto"/>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w w:val="99"/>
              </w:rPr>
              <w:t>“Bankruptcy and Equity Exception”</w:t>
            </w: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4.01(b)</w:t>
            </w:r>
          </w:p>
        </w:tc>
      </w:tr>
      <w:tr>
        <w:trPr>
          <w:trHeight w:val="196"/>
        </w:trPr>
        <w:tc>
          <w:tcPr>
            <w:tcW w:w="2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“Claim Notice”</w:t>
            </w: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6.02(a)</w:t>
            </w:r>
          </w:p>
        </w:tc>
      </w:tr>
      <w:tr>
        <w:trPr>
          <w:trHeight w:val="196"/>
        </w:trPr>
        <w:tc>
          <w:tcPr>
            <w:tcW w:w="740" w:type="dxa"/>
            <w:vAlign w:val="bottom"/>
            <w:tcBorders>
              <w:top w:val="single" w:sz="8" w:color="auto"/>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“Closing”</w:t>
            </w:r>
          </w:p>
        </w:tc>
        <w:tc>
          <w:tcPr>
            <w:tcW w:w="380" w:type="dxa"/>
            <w:vAlign w:val="bottom"/>
            <w:tcBorders>
              <w:top w:val="single" w:sz="8" w:color="auto"/>
            </w:tcBorders>
            <w:gridSpan w:val="6"/>
          </w:tcPr>
          <w:p>
            <w:pPr>
              <w:spacing w:after="0"/>
              <w:rPr>
                <w:sz w:val="17"/>
                <w:szCs w:val="17"/>
                <w:color w:val="auto"/>
              </w:rPr>
            </w:pPr>
          </w:p>
        </w:tc>
        <w:tc>
          <w:tcPr>
            <w:tcW w:w="1480" w:type="dxa"/>
            <w:vAlign w:val="bottom"/>
            <w:gridSpan w:val="12"/>
          </w:tcPr>
          <w:p>
            <w:pPr>
              <w:spacing w:after="0"/>
              <w:rPr>
                <w:sz w:val="17"/>
                <w:szCs w:val="17"/>
                <w:color w:val="auto"/>
              </w:rPr>
            </w:pP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2.02(a)</w:t>
            </w:r>
          </w:p>
        </w:tc>
      </w:tr>
      <w:tr>
        <w:trPr>
          <w:trHeight w:val="196"/>
        </w:trPr>
        <w:tc>
          <w:tcPr>
            <w:tcW w:w="2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“Closing Date”</w:t>
            </w: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2.02(a)</w:t>
            </w:r>
          </w:p>
        </w:tc>
      </w:tr>
      <w:tr>
        <w:trPr>
          <w:trHeight w:val="196"/>
        </w:trPr>
        <w:tc>
          <w:tcPr>
            <w:tcW w:w="880" w:type="dxa"/>
            <w:vAlign w:val="bottom"/>
            <w:tcBorders>
              <w:top w:val="single" w:sz="8" w:color="auto"/>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“Company”</w:t>
            </w:r>
          </w:p>
        </w:tc>
        <w:tc>
          <w:tcPr>
            <w:tcW w:w="220" w:type="dxa"/>
            <w:vAlign w:val="bottom"/>
            <w:tcBorders>
              <w:top w:val="single" w:sz="8" w:color="auto"/>
            </w:tcBorders>
            <w:gridSpan w:val="3"/>
          </w:tcPr>
          <w:p>
            <w:pPr>
              <w:spacing w:after="0"/>
              <w:rPr>
                <w:sz w:val="17"/>
                <w:szCs w:val="17"/>
                <w:color w:val="auto"/>
              </w:rPr>
            </w:pPr>
          </w:p>
        </w:tc>
        <w:tc>
          <w:tcPr>
            <w:tcW w:w="1500" w:type="dxa"/>
            <w:vAlign w:val="bottom"/>
            <w:gridSpan w:val="13"/>
          </w:tcPr>
          <w:p>
            <w:pPr>
              <w:spacing w:after="0"/>
              <w:rPr>
                <w:sz w:val="17"/>
                <w:szCs w:val="17"/>
                <w:color w:val="auto"/>
              </w:rPr>
            </w:pP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196"/>
        </w:trPr>
        <w:tc>
          <w:tcPr>
            <w:tcW w:w="2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“Confidential Information”</w:t>
            </w: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7.12(a)</w:t>
            </w:r>
          </w:p>
        </w:tc>
      </w:tr>
      <w:tr>
        <w:trPr>
          <w:trHeight w:val="196"/>
        </w:trPr>
        <w:tc>
          <w:tcPr>
            <w:tcW w:w="1960" w:type="dxa"/>
            <w:vAlign w:val="bottom"/>
            <w:tcBorders>
              <w:top w:val="single" w:sz="8" w:color="auto"/>
            </w:tcBorders>
            <w:gridSpan w:val="25"/>
          </w:tcPr>
          <w:p>
            <w:pPr>
              <w:spacing w:after="0" w:line="196" w:lineRule="exact"/>
              <w:rPr>
                <w:sz w:val="20"/>
                <w:szCs w:val="20"/>
                <w:color w:val="auto"/>
              </w:rPr>
            </w:pPr>
            <w:r>
              <w:rPr>
                <w:rFonts w:ascii="Times New Roman" w:cs="Times New Roman" w:eastAsia="Times New Roman" w:hAnsi="Times New Roman"/>
                <w:sz w:val="18"/>
                <w:szCs w:val="18"/>
                <w:color w:val="auto"/>
              </w:rPr>
              <w:t>“Convertible Note”</w:t>
            </w:r>
          </w:p>
        </w:tc>
        <w:tc>
          <w:tcPr>
            <w:tcW w:w="640" w:type="dxa"/>
            <w:vAlign w:val="bottom"/>
          </w:tcPr>
          <w:p>
            <w:pPr>
              <w:spacing w:after="0"/>
              <w:rPr>
                <w:sz w:val="17"/>
                <w:szCs w:val="17"/>
                <w:color w:val="auto"/>
              </w:rPr>
            </w:pPr>
          </w:p>
        </w:tc>
        <w:tc>
          <w:tcPr>
            <w:tcW w:w="2820" w:type="dxa"/>
            <w:vAlign w:val="bottom"/>
            <w:gridSpan w:val="2"/>
          </w:tcPr>
          <w:p>
            <w:pPr>
              <w:ind w:left="228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3000" w:type="dxa"/>
            <w:vAlign w:val="bottom"/>
          </w:tcPr>
          <w:p>
            <w:pPr>
              <w:spacing w:after="0"/>
              <w:rPr>
                <w:sz w:val="17"/>
                <w:szCs w:val="17"/>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1520" w:type="dxa"/>
            <w:vAlign w:val="bottom"/>
            <w:tcBorders>
              <w:bottom w:val="single" w:sz="8" w:color="auto"/>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8"/>
              </w:rPr>
              <w:t>“Conversion Shares”</w:t>
            </w:r>
          </w:p>
        </w:tc>
        <w:tc>
          <w:tcPr>
            <w:tcW w:w="1080" w:type="dxa"/>
            <w:vAlign w:val="bottom"/>
            <w:gridSpan w:val="5"/>
          </w:tcPr>
          <w:p>
            <w:pPr>
              <w:spacing w:after="0"/>
              <w:rPr>
                <w:sz w:val="17"/>
                <w:szCs w:val="17"/>
                <w:color w:val="auto"/>
              </w:rPr>
            </w:pPr>
          </w:p>
        </w:tc>
        <w:tc>
          <w:tcPr>
            <w:tcW w:w="2820" w:type="dxa"/>
            <w:vAlign w:val="bottom"/>
            <w:gridSpan w:val="2"/>
          </w:tcPr>
          <w:p>
            <w:pPr>
              <w:ind w:left="228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3000" w:type="dxa"/>
            <w:vAlign w:val="bottom"/>
          </w:tcPr>
          <w:p>
            <w:pPr>
              <w:spacing w:after="0"/>
              <w:rPr>
                <w:sz w:val="17"/>
                <w:szCs w:val="17"/>
                <w:color w:val="auto"/>
              </w:rPr>
            </w:pPr>
          </w:p>
        </w:tc>
      </w:tr>
      <w:tr>
        <w:trPr>
          <w:trHeight w:val="196"/>
        </w:trPr>
        <w:tc>
          <w:tcPr>
            <w:tcW w:w="2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“Encumbrances”</w:t>
            </w: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4.01(d)</w:t>
            </w:r>
          </w:p>
        </w:tc>
      </w:tr>
      <w:tr>
        <w:trPr>
          <w:trHeight w:val="196"/>
        </w:trPr>
        <w:tc>
          <w:tcPr>
            <w:tcW w:w="1220" w:type="dxa"/>
            <w:vAlign w:val="bottom"/>
            <w:tcBorders>
              <w:top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rPr>
              <w:t>“EU”</w:t>
            </w:r>
          </w:p>
        </w:tc>
        <w:tc>
          <w:tcPr>
            <w:tcW w:w="1380" w:type="dxa"/>
            <w:vAlign w:val="bottom"/>
            <w:gridSpan w:val="11"/>
          </w:tcPr>
          <w:p>
            <w:pPr>
              <w:spacing w:after="0"/>
              <w:rPr>
                <w:sz w:val="17"/>
                <w:szCs w:val="17"/>
                <w:color w:val="auto"/>
              </w:rPr>
            </w:pP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4.01(cc)</w:t>
            </w: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r>
      <w:tr>
        <w:trPr>
          <w:trHeight w:val="196"/>
        </w:trPr>
        <w:tc>
          <w:tcPr>
            <w:tcW w:w="1940" w:type="dxa"/>
            <w:vAlign w:val="bottom"/>
            <w:tcBorders>
              <w:bottom w:val="single" w:sz="8" w:color="auto"/>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w w:val="99"/>
              </w:rPr>
              <w:t>“Governmental Authority”</w:t>
            </w:r>
          </w:p>
        </w:tc>
        <w:tc>
          <w:tcPr>
            <w:tcW w:w="660" w:type="dxa"/>
            <w:vAlign w:val="bottom"/>
            <w:gridSpan w:val="2"/>
          </w:tcPr>
          <w:p>
            <w:pPr>
              <w:spacing w:after="0"/>
              <w:rPr>
                <w:sz w:val="17"/>
                <w:szCs w:val="17"/>
                <w:color w:val="auto"/>
              </w:rPr>
            </w:pP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3.01(a)</w:t>
            </w:r>
          </w:p>
        </w:tc>
      </w:tr>
      <w:tr>
        <w:trPr>
          <w:trHeight w:val="196"/>
        </w:trPr>
        <w:tc>
          <w:tcPr>
            <w:tcW w:w="2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“HMT”</w:t>
            </w: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4.01(cc)</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2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“Indemnifying Party”</w:t>
            </w:r>
          </w:p>
        </w:tc>
        <w:tc>
          <w:tcPr>
            <w:tcW w:w="2820" w:type="dxa"/>
            <w:vAlign w:val="bottom"/>
            <w:gridSpan w:val="2"/>
          </w:tcPr>
          <w:p>
            <w:pPr>
              <w:ind w:left="2280"/>
              <w:spacing w:after="0" w:line="196" w:lineRule="exact"/>
              <w:rPr>
                <w:sz w:val="20"/>
                <w:szCs w:val="20"/>
                <w:color w:val="auto"/>
              </w:rPr>
            </w:pPr>
            <w:r>
              <w:rPr>
                <w:rFonts w:ascii="Times New Roman" w:cs="Times New Roman" w:eastAsia="Times New Roman" w:hAnsi="Times New Roman"/>
                <w:sz w:val="18"/>
                <w:szCs w:val="18"/>
                <w:color w:val="auto"/>
              </w:rPr>
              <w:t>6.01</w:t>
            </w:r>
          </w:p>
        </w:tc>
        <w:tc>
          <w:tcPr>
            <w:tcW w:w="3000" w:type="dxa"/>
            <w:vAlign w:val="bottom"/>
          </w:tcPr>
          <w:p>
            <w:pPr>
              <w:spacing w:after="0"/>
              <w:rPr>
                <w:sz w:val="17"/>
                <w:szCs w:val="17"/>
                <w:color w:val="auto"/>
              </w:rPr>
            </w:pPr>
          </w:p>
        </w:tc>
      </w:tr>
      <w:tr>
        <w:trPr>
          <w:trHeight w:val="196"/>
        </w:trPr>
        <w:tc>
          <w:tcPr>
            <w:tcW w:w="1560" w:type="dxa"/>
            <w:vAlign w:val="bottom"/>
            <w:tcBorders>
              <w:top w:val="single" w:sz="8" w:color="auto"/>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rPr>
              <w:t>“Indemnified Party”</w:t>
            </w:r>
          </w:p>
        </w:tc>
        <w:tc>
          <w:tcPr>
            <w:tcW w:w="1040" w:type="dxa"/>
            <w:vAlign w:val="bottom"/>
            <w:gridSpan w:val="4"/>
          </w:tcPr>
          <w:p>
            <w:pPr>
              <w:spacing w:after="0"/>
              <w:rPr>
                <w:sz w:val="17"/>
                <w:szCs w:val="17"/>
                <w:color w:val="auto"/>
              </w:rPr>
            </w:pPr>
          </w:p>
        </w:tc>
        <w:tc>
          <w:tcPr>
            <w:tcW w:w="2820" w:type="dxa"/>
            <w:vAlign w:val="bottom"/>
            <w:gridSpan w:val="2"/>
          </w:tcPr>
          <w:p>
            <w:pPr>
              <w:ind w:left="2280"/>
              <w:spacing w:after="0" w:line="196" w:lineRule="exact"/>
              <w:rPr>
                <w:sz w:val="20"/>
                <w:szCs w:val="20"/>
                <w:color w:val="auto"/>
              </w:rPr>
            </w:pPr>
            <w:r>
              <w:rPr>
                <w:rFonts w:ascii="Times New Roman" w:cs="Times New Roman" w:eastAsia="Times New Roman" w:hAnsi="Times New Roman"/>
                <w:sz w:val="18"/>
                <w:szCs w:val="18"/>
                <w:color w:val="auto"/>
              </w:rPr>
              <w:t>6.01</w:t>
            </w:r>
          </w:p>
        </w:tc>
        <w:tc>
          <w:tcPr>
            <w:tcW w:w="3000" w:type="dxa"/>
            <w:vAlign w:val="bottom"/>
          </w:tcPr>
          <w:p>
            <w:pPr>
              <w:spacing w:after="0"/>
              <w:rPr>
                <w:sz w:val="17"/>
                <w:szCs w:val="17"/>
                <w:color w:val="auto"/>
              </w:rPr>
            </w:pPr>
          </w:p>
        </w:tc>
      </w:tr>
      <w:tr>
        <w:trPr>
          <w:trHeight w:val="196"/>
        </w:trPr>
        <w:tc>
          <w:tcPr>
            <w:tcW w:w="1460" w:type="dxa"/>
            <w:vAlign w:val="bottom"/>
            <w:tcBorders>
              <w:top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rPr>
              <w:t>“Indemnity Notice”</w:t>
            </w:r>
          </w:p>
        </w:tc>
        <w:tc>
          <w:tcPr>
            <w:tcW w:w="1140" w:type="dxa"/>
            <w:vAlign w:val="bottom"/>
            <w:gridSpan w:val="8"/>
          </w:tcPr>
          <w:p>
            <w:pPr>
              <w:spacing w:after="0"/>
              <w:rPr>
                <w:sz w:val="17"/>
                <w:szCs w:val="17"/>
                <w:color w:val="auto"/>
              </w:rPr>
            </w:pPr>
          </w:p>
        </w:tc>
        <w:tc>
          <w:tcPr>
            <w:tcW w:w="2820" w:type="dxa"/>
            <w:vAlign w:val="bottom"/>
            <w:gridSpan w:val="2"/>
          </w:tcPr>
          <w:p>
            <w:pPr>
              <w:ind w:left="2280"/>
              <w:spacing w:after="0" w:line="196" w:lineRule="exact"/>
              <w:rPr>
                <w:sz w:val="20"/>
                <w:szCs w:val="20"/>
                <w:color w:val="auto"/>
              </w:rPr>
            </w:pPr>
            <w:r>
              <w:rPr>
                <w:rFonts w:ascii="Times New Roman" w:cs="Times New Roman" w:eastAsia="Times New Roman" w:hAnsi="Times New Roman"/>
                <w:sz w:val="18"/>
                <w:szCs w:val="18"/>
                <w:color w:val="auto"/>
              </w:rPr>
              <w:t>6.03</w:t>
            </w:r>
          </w:p>
        </w:tc>
        <w:tc>
          <w:tcPr>
            <w:tcW w:w="3000" w:type="dxa"/>
            <w:vAlign w:val="bottom"/>
          </w:tcPr>
          <w:p>
            <w:pPr>
              <w:spacing w:after="0"/>
              <w:rPr>
                <w:sz w:val="17"/>
                <w:szCs w:val="17"/>
                <w:color w:val="auto"/>
              </w:rPr>
            </w:pP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r>
      <w:tr>
        <w:trPr>
          <w:trHeight w:val="196"/>
        </w:trPr>
        <w:tc>
          <w:tcPr>
            <w:tcW w:w="1640" w:type="dxa"/>
            <w:vAlign w:val="bottom"/>
            <w:tcBorders>
              <w:bottom w:val="single" w:sz="8" w:color="auto"/>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w w:val="99"/>
              </w:rPr>
              <w:t>“Intellectual Property”</w:t>
            </w:r>
          </w:p>
        </w:tc>
        <w:tc>
          <w:tcPr>
            <w:tcW w:w="960" w:type="dxa"/>
            <w:vAlign w:val="bottom"/>
            <w:gridSpan w:val="3"/>
          </w:tcPr>
          <w:p>
            <w:pPr>
              <w:spacing w:after="0"/>
              <w:rPr>
                <w:sz w:val="17"/>
                <w:szCs w:val="17"/>
                <w:color w:val="auto"/>
              </w:rPr>
            </w:pP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4.01(u)</w:t>
            </w:r>
          </w:p>
        </w:tc>
      </w:tr>
      <w:tr>
        <w:trPr>
          <w:trHeight w:val="196"/>
        </w:trPr>
        <w:tc>
          <w:tcPr>
            <w:tcW w:w="66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“Losses”</w:t>
            </w:r>
          </w:p>
        </w:tc>
        <w:tc>
          <w:tcPr>
            <w:tcW w:w="1940" w:type="dxa"/>
            <w:vAlign w:val="bottom"/>
            <w:gridSpan w:val="20"/>
          </w:tcPr>
          <w:p>
            <w:pPr>
              <w:spacing w:after="0"/>
              <w:rPr>
                <w:sz w:val="17"/>
                <w:szCs w:val="17"/>
                <w:color w:val="auto"/>
              </w:rPr>
            </w:pPr>
          </w:p>
        </w:tc>
        <w:tc>
          <w:tcPr>
            <w:tcW w:w="2820" w:type="dxa"/>
            <w:vAlign w:val="bottom"/>
            <w:gridSpan w:val="2"/>
          </w:tcPr>
          <w:p>
            <w:pPr>
              <w:ind w:left="2280"/>
              <w:spacing w:after="0" w:line="196" w:lineRule="exact"/>
              <w:rPr>
                <w:sz w:val="20"/>
                <w:szCs w:val="20"/>
                <w:color w:val="auto"/>
              </w:rPr>
            </w:pPr>
            <w:r>
              <w:rPr>
                <w:rFonts w:ascii="Times New Roman" w:cs="Times New Roman" w:eastAsia="Times New Roman" w:hAnsi="Times New Roman"/>
                <w:sz w:val="18"/>
                <w:szCs w:val="18"/>
                <w:color w:val="auto"/>
              </w:rPr>
              <w:t>6.01</w:t>
            </w:r>
          </w:p>
        </w:tc>
        <w:tc>
          <w:tcPr>
            <w:tcW w:w="3000" w:type="dxa"/>
            <w:vAlign w:val="bottom"/>
          </w:tcPr>
          <w:p>
            <w:pPr>
              <w:spacing w:after="0"/>
              <w:rPr>
                <w:sz w:val="17"/>
                <w:szCs w:val="17"/>
                <w:color w:val="auto"/>
              </w:rPr>
            </w:pPr>
          </w:p>
        </w:tc>
      </w:tr>
      <w:tr>
        <w:trPr>
          <w:trHeight w:val="196"/>
        </w:trPr>
        <w:tc>
          <w:tcPr>
            <w:tcW w:w="2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“Material Contracts”</w:t>
            </w: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4.01(r)</w:t>
            </w:r>
          </w:p>
        </w:tc>
      </w:tr>
      <w:tr>
        <w:trPr>
          <w:trHeight w:val="196"/>
        </w:trPr>
        <w:tc>
          <w:tcPr>
            <w:tcW w:w="1500" w:type="dxa"/>
            <w:vAlign w:val="bottom"/>
            <w:tcBorders>
              <w:top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“MFN Period”</w:t>
            </w:r>
          </w:p>
        </w:tc>
        <w:tc>
          <w:tcPr>
            <w:tcW w:w="1100" w:type="dxa"/>
            <w:vAlign w:val="bottom"/>
            <w:gridSpan w:val="6"/>
          </w:tcPr>
          <w:p>
            <w:pPr>
              <w:spacing w:after="0"/>
              <w:rPr>
                <w:sz w:val="17"/>
                <w:szCs w:val="17"/>
                <w:color w:val="auto"/>
              </w:rPr>
            </w:pPr>
          </w:p>
        </w:tc>
        <w:tc>
          <w:tcPr>
            <w:tcW w:w="2820" w:type="dxa"/>
            <w:vAlign w:val="bottom"/>
            <w:gridSpan w:val="2"/>
          </w:tcPr>
          <w:p>
            <w:pPr>
              <w:ind w:left="2280"/>
              <w:spacing w:after="0" w:line="196" w:lineRule="exact"/>
              <w:rPr>
                <w:sz w:val="20"/>
                <w:szCs w:val="20"/>
                <w:color w:val="auto"/>
              </w:rPr>
            </w:pPr>
            <w:r>
              <w:rPr>
                <w:rFonts w:ascii="Times New Roman" w:cs="Times New Roman" w:eastAsia="Times New Roman" w:hAnsi="Times New Roman"/>
                <w:sz w:val="18"/>
                <w:szCs w:val="18"/>
                <w:color w:val="auto"/>
              </w:rPr>
              <w:t>5.03</w:t>
            </w:r>
          </w:p>
        </w:tc>
        <w:tc>
          <w:tcPr>
            <w:tcW w:w="3000" w:type="dxa"/>
            <w:vAlign w:val="bottom"/>
          </w:tcPr>
          <w:p>
            <w:pPr>
              <w:spacing w:after="0"/>
              <w:rPr>
                <w:sz w:val="17"/>
                <w:szCs w:val="17"/>
                <w:color w:val="auto"/>
              </w:rPr>
            </w:pPr>
          </w:p>
        </w:tc>
      </w:tr>
      <w:tr>
        <w:trPr>
          <w:trHeight w:val="196"/>
        </w:trPr>
        <w:tc>
          <w:tcPr>
            <w:tcW w:w="1060" w:type="dxa"/>
            <w:vAlign w:val="bottom"/>
            <w:tcBorders>
              <w:top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“OFAC”</w:t>
            </w:r>
          </w:p>
        </w:tc>
        <w:tc>
          <w:tcPr>
            <w:tcW w:w="1540" w:type="dxa"/>
            <w:vAlign w:val="bottom"/>
            <w:gridSpan w:val="14"/>
          </w:tcPr>
          <w:p>
            <w:pPr>
              <w:spacing w:after="0"/>
              <w:rPr>
                <w:sz w:val="17"/>
                <w:szCs w:val="17"/>
                <w:color w:val="auto"/>
              </w:rPr>
            </w:pP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4.01(cc)</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r>
      <w:tr>
        <w:trPr>
          <w:trHeight w:val="196"/>
        </w:trPr>
        <w:tc>
          <w:tcPr>
            <w:tcW w:w="72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8"/>
              </w:rPr>
              <w:t>“Permits”</w:t>
            </w:r>
          </w:p>
        </w:tc>
        <w:tc>
          <w:tcPr>
            <w:tcW w:w="1880" w:type="dxa"/>
            <w:vAlign w:val="bottom"/>
            <w:gridSpan w:val="19"/>
          </w:tcPr>
          <w:p>
            <w:pPr>
              <w:spacing w:after="0"/>
              <w:rPr>
                <w:sz w:val="17"/>
                <w:szCs w:val="17"/>
                <w:color w:val="auto"/>
              </w:rPr>
            </w:pP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4.01(g)</w:t>
            </w:r>
          </w:p>
        </w:tc>
      </w:tr>
      <w:tr>
        <w:trPr>
          <w:trHeight w:val="196"/>
        </w:trPr>
        <w:tc>
          <w:tcPr>
            <w:tcW w:w="2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“Purchase Price”</w:t>
            </w:r>
          </w:p>
        </w:tc>
        <w:tc>
          <w:tcPr>
            <w:tcW w:w="2820" w:type="dxa"/>
            <w:vAlign w:val="bottom"/>
            <w:gridSpan w:val="2"/>
          </w:tcPr>
          <w:p>
            <w:pPr>
              <w:ind w:left="228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3000" w:type="dxa"/>
            <w:vAlign w:val="bottom"/>
          </w:tcPr>
          <w:p>
            <w:pPr>
              <w:spacing w:after="0"/>
              <w:rPr>
                <w:sz w:val="17"/>
                <w:szCs w:val="17"/>
                <w:color w:val="auto"/>
              </w:rPr>
            </w:pPr>
          </w:p>
        </w:tc>
      </w:tr>
      <w:tr>
        <w:trPr>
          <w:trHeight w:val="196"/>
        </w:trPr>
        <w:tc>
          <w:tcPr>
            <w:tcW w:w="880" w:type="dxa"/>
            <w:vAlign w:val="bottom"/>
            <w:tcBorders>
              <w:top w:val="single" w:sz="8" w:color="auto"/>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8"/>
              </w:rPr>
              <w:t>“Purchaser”</w:t>
            </w:r>
          </w:p>
        </w:tc>
        <w:tc>
          <w:tcPr>
            <w:tcW w:w="340" w:type="dxa"/>
            <w:vAlign w:val="bottom"/>
            <w:tcBorders>
              <w:top w:val="single" w:sz="8" w:color="auto"/>
            </w:tcBorders>
            <w:gridSpan w:val="5"/>
          </w:tcPr>
          <w:p>
            <w:pPr>
              <w:spacing w:after="0"/>
              <w:rPr>
                <w:sz w:val="17"/>
                <w:szCs w:val="17"/>
                <w:color w:val="auto"/>
              </w:rPr>
            </w:pPr>
          </w:p>
        </w:tc>
        <w:tc>
          <w:tcPr>
            <w:tcW w:w="1380" w:type="dxa"/>
            <w:vAlign w:val="bottom"/>
            <w:gridSpan w:val="11"/>
          </w:tcPr>
          <w:p>
            <w:pPr>
              <w:spacing w:after="0"/>
              <w:rPr>
                <w:sz w:val="17"/>
                <w:szCs w:val="17"/>
                <w:color w:val="auto"/>
              </w:rPr>
            </w:pP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196"/>
        </w:trPr>
        <w:tc>
          <w:tcPr>
            <w:tcW w:w="2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“Returns”</w:t>
            </w: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4.01(w)</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r>
      <w:tr>
        <w:trPr>
          <w:trHeight w:val="196"/>
        </w:trPr>
        <w:tc>
          <w:tcPr>
            <w:tcW w:w="2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“Sanctions”</w:t>
            </w: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4.01(cc)</w:t>
            </w:r>
          </w:p>
        </w:tc>
      </w:tr>
      <w:tr>
        <w:trPr>
          <w:trHeight w:val="196"/>
        </w:trPr>
        <w:tc>
          <w:tcPr>
            <w:tcW w:w="860" w:type="dxa"/>
            <w:vAlign w:val="bottom"/>
            <w:tcBorders>
              <w:top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“Tax”</w:t>
            </w:r>
          </w:p>
        </w:tc>
        <w:tc>
          <w:tcPr>
            <w:tcW w:w="1740" w:type="dxa"/>
            <w:vAlign w:val="bottom"/>
            <w:gridSpan w:val="17"/>
          </w:tcPr>
          <w:p>
            <w:pPr>
              <w:spacing w:after="0"/>
              <w:rPr>
                <w:sz w:val="17"/>
                <w:szCs w:val="17"/>
                <w:color w:val="auto"/>
              </w:rPr>
            </w:pP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4.01(w)</w:t>
            </w:r>
          </w:p>
        </w:tc>
      </w:tr>
      <w:tr>
        <w:trPr>
          <w:trHeight w:val="20"/>
        </w:trPr>
        <w:tc>
          <w:tcPr>
            <w:tcW w:w="42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14"/>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r>
      <w:tr>
        <w:trPr>
          <w:trHeight w:val="196"/>
        </w:trPr>
        <w:tc>
          <w:tcPr>
            <w:tcW w:w="1480" w:type="dxa"/>
            <w:vAlign w:val="bottom"/>
            <w:tcBorders>
              <w:bottom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w w:val="99"/>
              </w:rPr>
              <w:t>“Third Party Claim”</w:t>
            </w:r>
          </w:p>
        </w:tc>
        <w:tc>
          <w:tcPr>
            <w:tcW w:w="1120" w:type="dxa"/>
            <w:vAlign w:val="bottom"/>
            <w:gridSpan w:val="7"/>
          </w:tcPr>
          <w:p>
            <w:pPr>
              <w:spacing w:after="0"/>
              <w:rPr>
                <w:sz w:val="17"/>
                <w:szCs w:val="17"/>
                <w:color w:val="auto"/>
              </w:rPr>
            </w:pP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6.02(a)</w:t>
            </w:r>
          </w:p>
        </w:tc>
      </w:tr>
      <w:tr>
        <w:trPr>
          <w:trHeight w:val="196"/>
        </w:trPr>
        <w:tc>
          <w:tcPr>
            <w:tcW w:w="26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“UNSC”</w:t>
            </w:r>
          </w:p>
        </w:tc>
        <w:tc>
          <w:tcPr>
            <w:tcW w:w="5820" w:type="dxa"/>
            <w:vAlign w:val="bottom"/>
            <w:gridSpan w:val="3"/>
          </w:tcPr>
          <w:p>
            <w:pPr>
              <w:ind w:left="2280"/>
              <w:spacing w:after="0" w:line="196" w:lineRule="exact"/>
              <w:rPr>
                <w:sz w:val="20"/>
                <w:szCs w:val="20"/>
                <w:color w:val="auto"/>
              </w:rPr>
            </w:pPr>
            <w:r>
              <w:rPr>
                <w:rFonts w:ascii="Times New Roman" w:cs="Times New Roman" w:eastAsia="Times New Roman" w:hAnsi="Times New Roman"/>
                <w:sz w:val="18"/>
                <w:szCs w:val="18"/>
                <w:color w:val="auto"/>
              </w:rPr>
              <w:t>4.01(cc)</w:t>
            </w:r>
          </w:p>
        </w:tc>
      </w:tr>
      <w:tr>
        <w:trPr>
          <w:trHeight w:val="20"/>
        </w:trPr>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     In this Agreement, except to the extent otherwise provided or that the context otherwise requires:</w:t>
      </w:r>
    </w:p>
    <w:p>
      <w:pPr>
        <w:spacing w:after="0" w:line="225" w:lineRule="exact"/>
        <w:rPr>
          <w:sz w:val="20"/>
          <w:szCs w:val="20"/>
          <w:color w:val="auto"/>
        </w:rPr>
      </w:pPr>
    </w:p>
    <w:p>
      <w:pPr>
        <w:ind w:right="20" w:firstLine="1148"/>
        <w:spacing w:after="0" w:line="282" w:lineRule="auto"/>
        <w:rPr>
          <w:sz w:val="20"/>
          <w:szCs w:val="20"/>
          <w:color w:val="auto"/>
        </w:rPr>
      </w:pPr>
      <w:r>
        <w:rPr>
          <w:rFonts w:ascii="Times New Roman" w:cs="Times New Roman" w:eastAsia="Times New Roman" w:hAnsi="Times New Roman"/>
          <w:sz w:val="18"/>
          <w:szCs w:val="18"/>
          <w:color w:val="auto"/>
        </w:rPr>
        <w:t>(i)         The words “Party” and “Parties” shall be construed to mean a party or the parties to this Agreement, and any reference to a party to this Agreement or any other agreement or document contemplated hereby shall include such party’s successors and permitted assigns.</w:t>
      </w:r>
    </w:p>
    <w:p>
      <w:pPr>
        <w:spacing w:after="0" w:line="162" w:lineRule="exact"/>
        <w:rPr>
          <w:sz w:val="20"/>
          <w:szCs w:val="20"/>
          <w:color w:val="auto"/>
        </w:rPr>
      </w:pPr>
    </w:p>
    <w:p>
      <w:pPr>
        <w:ind w:firstLine="1148"/>
        <w:spacing w:after="0" w:line="282" w:lineRule="auto"/>
        <w:rPr>
          <w:sz w:val="20"/>
          <w:szCs w:val="20"/>
          <w:color w:val="auto"/>
        </w:rPr>
      </w:pPr>
      <w:r>
        <w:rPr>
          <w:rFonts w:ascii="Times New Roman" w:cs="Times New Roman" w:eastAsia="Times New Roman" w:hAnsi="Times New Roman"/>
          <w:sz w:val="18"/>
          <w:szCs w:val="18"/>
          <w:color w:val="auto"/>
        </w:rPr>
        <w:t>(ii)        When a reference is made in this Agreement to an Article, Section, Exhibit, Schedule or clause, such reference is to an Article, Section, Exhibit, Schedule or clause of this Agreement.</w:t>
      </w:r>
    </w:p>
    <w:p>
      <w:pPr>
        <w:spacing w:after="0" w:line="162" w:lineRule="exact"/>
        <w:rPr>
          <w:sz w:val="20"/>
          <w:szCs w:val="20"/>
          <w:color w:val="auto"/>
        </w:rPr>
      </w:pPr>
    </w:p>
    <w:p>
      <w:pPr>
        <w:ind w:right="20" w:firstLine="1148"/>
        <w:spacing w:after="0" w:line="282" w:lineRule="auto"/>
        <w:rPr>
          <w:sz w:val="20"/>
          <w:szCs w:val="20"/>
          <w:color w:val="auto"/>
        </w:rPr>
      </w:pPr>
      <w:r>
        <w:rPr>
          <w:rFonts w:ascii="Times New Roman" w:cs="Times New Roman" w:eastAsia="Times New Roman" w:hAnsi="Times New Roman"/>
          <w:sz w:val="18"/>
          <w:szCs w:val="18"/>
          <w:color w:val="auto"/>
        </w:rPr>
        <w:t>(iii)       The headings for this Agreement are for reference purposes only and do not affect in any way the meaning or interpretation of this Agreement.</w:t>
      </w:r>
    </w:p>
    <w:p>
      <w:pPr>
        <w:spacing w:after="0" w:line="162" w:lineRule="exact"/>
        <w:rPr>
          <w:sz w:val="20"/>
          <w:szCs w:val="20"/>
          <w:color w:val="auto"/>
        </w:rPr>
      </w:pPr>
    </w:p>
    <w:p>
      <w:pPr>
        <w:ind w:firstLine="1148"/>
        <w:spacing w:after="0" w:line="282" w:lineRule="auto"/>
        <w:rPr>
          <w:sz w:val="20"/>
          <w:szCs w:val="20"/>
          <w:color w:val="auto"/>
        </w:rPr>
      </w:pPr>
      <w:r>
        <w:rPr>
          <w:rFonts w:ascii="Times New Roman" w:cs="Times New Roman" w:eastAsia="Times New Roman" w:hAnsi="Times New Roman"/>
          <w:sz w:val="18"/>
          <w:szCs w:val="18"/>
          <w:color w:val="auto"/>
        </w:rPr>
        <w:t>(iv)      Whenever the words “include,” “includes” or “including” are used in this Agreement, they are deemed to be followed by the words “without limitation.”</w:t>
      </w:r>
    </w:p>
    <w:p>
      <w:pPr>
        <w:spacing w:after="0" w:line="162" w:lineRule="exact"/>
        <w:rPr>
          <w:sz w:val="20"/>
          <w:szCs w:val="20"/>
          <w:color w:val="auto"/>
        </w:rPr>
      </w:pPr>
    </w:p>
    <w:p>
      <w:pPr>
        <w:ind w:firstLine="1148"/>
        <w:spacing w:after="0" w:line="282" w:lineRule="auto"/>
        <w:rPr>
          <w:sz w:val="20"/>
          <w:szCs w:val="20"/>
          <w:color w:val="auto"/>
        </w:rPr>
      </w:pPr>
      <w:r>
        <w:rPr>
          <w:rFonts w:ascii="Times New Roman" w:cs="Times New Roman" w:eastAsia="Times New Roman" w:hAnsi="Times New Roman"/>
          <w:sz w:val="18"/>
          <w:szCs w:val="18"/>
          <w:color w:val="auto"/>
        </w:rPr>
        <w:t>(v)       The words “hereof,” “herein” and “hereunder” and words of similar import, when used in this Agreement, refer to this Agreement as a whole and not to any particular provision of this Agreement.</w:t>
      </w:r>
    </w:p>
    <w:p>
      <w:pPr>
        <w:spacing w:after="0" w:line="162" w:lineRule="exact"/>
        <w:rPr>
          <w:sz w:val="20"/>
          <w:szCs w:val="20"/>
          <w:color w:val="auto"/>
        </w:rPr>
      </w:pPr>
    </w:p>
    <w:p>
      <w:pPr>
        <w:ind w:firstLine="1148"/>
        <w:spacing w:after="0" w:line="282" w:lineRule="auto"/>
        <w:rPr>
          <w:sz w:val="20"/>
          <w:szCs w:val="20"/>
          <w:color w:val="auto"/>
        </w:rPr>
      </w:pPr>
      <w:r>
        <w:rPr>
          <w:rFonts w:ascii="Times New Roman" w:cs="Times New Roman" w:eastAsia="Times New Roman" w:hAnsi="Times New Roman"/>
          <w:sz w:val="18"/>
          <w:szCs w:val="18"/>
          <w:color w:val="auto"/>
        </w:rPr>
        <w:t>(vi)      All terms defined in this Agreement have the defined meanings when used in any certificate or other document made or delivered pursuant hereto, unless otherwise defined therein.</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(vii)      The definitions contained in this Agreement are applicable to the singular as well as the plural forms of such terms.</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(viii)     The use of “or” is not intended to be exclusive unless expressly indicated otherwise.</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(ix)       The term “$” means United States Dollars.</w:t>
      </w:r>
    </w:p>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960" w:top="904" w:right="339" w:bottom="1440" w:gutter="0" w:footer="0" w:header="0"/>
        </w:sectPr>
      </w:pPr>
    </w:p>
    <w:bookmarkStart w:id="10" w:name="page11"/>
    <w:bookmarkEnd w:id="10"/>
    <w:p>
      <w:pPr>
        <w:ind w:left="1800"/>
        <w:spacing w:after="0"/>
        <w:rPr>
          <w:sz w:val="20"/>
          <w:szCs w:val="20"/>
          <w:color w:val="auto"/>
        </w:rPr>
      </w:pPr>
      <w:r>
        <w:rPr>
          <w:rFonts w:ascii="Times New Roman" w:cs="Times New Roman" w:eastAsia="Times New Roman" w:hAnsi="Times New Roman"/>
          <w:sz w:val="18"/>
          <w:szCs w:val="18"/>
          <w:color w:val="auto"/>
        </w:rPr>
        <w:t>(x)        The word “will” shall be construed to have the same meaning and effect as the word “shall.”</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(xi)        References to “law,” “laws” or to a particular statute or law shall be deemed also to include any and all Applicable Law.</w:t>
      </w:r>
    </w:p>
    <w:p>
      <w:pPr>
        <w:spacing w:after="0" w:line="225" w:lineRule="exact"/>
        <w:rPr>
          <w:sz w:val="20"/>
          <w:szCs w:val="20"/>
          <w:color w:val="auto"/>
        </w:rPr>
      </w:pPr>
    </w:p>
    <w:p>
      <w:pPr>
        <w:jc w:val="both"/>
        <w:ind w:left="640" w:firstLine="1148"/>
        <w:spacing w:after="0" w:line="266" w:lineRule="auto"/>
        <w:rPr>
          <w:sz w:val="20"/>
          <w:szCs w:val="20"/>
          <w:color w:val="auto"/>
        </w:rPr>
      </w:pPr>
      <w:r>
        <w:rPr>
          <w:rFonts w:ascii="Times New Roman" w:cs="Times New Roman" w:eastAsia="Times New Roman" w:hAnsi="Times New Roman"/>
          <w:sz w:val="18"/>
          <w:szCs w:val="18"/>
          <w:color w:val="auto"/>
        </w:rPr>
        <w:t>(xii)      A reference to any legislation or to any provision of any legislation shall include any modification, amendment, re-enactment thereof, any legislative provision substituted therefor and all rules, regulations and statutory instruments issued or related to such legislation.</w:t>
      </w:r>
    </w:p>
    <w:p>
      <w:pPr>
        <w:spacing w:after="0" w:line="17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(xiii)      References herein to any gender include the other gender.</w:t>
      </w:r>
    </w:p>
    <w:p>
      <w:pPr>
        <w:spacing w:after="0" w:line="225" w:lineRule="exact"/>
        <w:rPr>
          <w:sz w:val="20"/>
          <w:szCs w:val="20"/>
          <w:color w:val="auto"/>
        </w:rPr>
      </w:pPr>
    </w:p>
    <w:p>
      <w:pPr>
        <w:jc w:val="both"/>
        <w:ind w:left="640" w:firstLine="1148"/>
        <w:spacing w:after="0" w:line="289" w:lineRule="auto"/>
        <w:rPr>
          <w:sz w:val="20"/>
          <w:szCs w:val="20"/>
          <w:color w:val="auto"/>
        </w:rPr>
      </w:pPr>
      <w:r>
        <w:rPr>
          <w:rFonts w:ascii="Times New Roman" w:cs="Times New Roman" w:eastAsia="Times New Roman" w:hAnsi="Times New Roman"/>
          <w:sz w:val="17"/>
          <w:szCs w:val="17"/>
          <w:color w:val="auto"/>
        </w:rPr>
        <w:t>(xiv)     The Parties hereto have each participated in the negotiation and drafting of this Agreement and if any ambiguity or question of interpretation should arise, this Agreement shall be construed as if drafted jointly by the Parties hereto and no presumption or burden of proof shall arise favoring or burdening any Party by virtue of the authorship of any of the provisions in this Agreement or any interim drafts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PURCHASE AND SALE; CLOSING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Issuance, Sale and Purchase of the Convertible Note.</w:t>
      </w:r>
    </w:p>
    <w:p>
      <w:pPr>
        <w:spacing w:after="0" w:line="225" w:lineRule="exact"/>
        <w:rPr>
          <w:sz w:val="20"/>
          <w:szCs w:val="20"/>
          <w:color w:val="auto"/>
        </w:rPr>
      </w:pPr>
    </w:p>
    <w:p>
      <w:pPr>
        <w:jc w:val="both"/>
        <w:ind w:firstLine="1404"/>
        <w:spacing w:after="0" w:line="258" w:lineRule="auto"/>
        <w:rPr>
          <w:sz w:val="20"/>
          <w:szCs w:val="20"/>
          <w:color w:val="auto"/>
        </w:rPr>
      </w:pPr>
      <w:r>
        <w:rPr>
          <w:rFonts w:ascii="Times New Roman" w:cs="Times New Roman" w:eastAsia="Times New Roman" w:hAnsi="Times New Roman"/>
          <w:sz w:val="18"/>
          <w:szCs w:val="18"/>
          <w:color w:val="auto"/>
        </w:rPr>
        <w:t>Upon the terms and subject to the conditions of this Agreement, at the Closing (as defined below), the Purchaser hereby agrees to subscribe for and purchase, and the Company hereby agrees to issue and sell to the Purchaser a senior convertible note in the form attached hereto as Exhibit A (the “</w:t>
      </w:r>
      <w:r>
        <w:rPr>
          <w:rFonts w:ascii="Times New Roman" w:cs="Times New Roman" w:eastAsia="Times New Roman" w:hAnsi="Times New Roman"/>
          <w:sz w:val="18"/>
          <w:szCs w:val="18"/>
          <w:u w:val="single" w:color="auto"/>
          <w:color w:val="auto"/>
        </w:rPr>
        <w:t>Convertible Note</w:t>
      </w:r>
      <w:r>
        <w:rPr>
          <w:rFonts w:ascii="Times New Roman" w:cs="Times New Roman" w:eastAsia="Times New Roman" w:hAnsi="Times New Roman"/>
          <w:sz w:val="18"/>
          <w:szCs w:val="18"/>
          <w:color w:val="auto"/>
        </w:rPr>
        <w:t>”), convertible into certain number of Ordinary Shares of the Company or ADSs at the option of the holder or holders of the Convertible Note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on, and subject to, the terms and conditions set forth in the Convertible Note, for an aggregate purchase price of US$128,324,684.58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w:t>
      </w:r>
    </w:p>
    <w:p>
      <w:pPr>
        <w:spacing w:after="0" w:line="225" w:lineRule="exact"/>
        <w:rPr>
          <w:sz w:val="20"/>
          <w:szCs w:val="20"/>
          <w:color w:val="auto"/>
        </w:rPr>
      </w:pPr>
    </w:p>
    <w:p>
      <w:pPr>
        <w:jc w:val="both"/>
        <w:ind w:firstLine="1404"/>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Subject to satisfaction or, to the extent permissible, waiver by the Party or Parties entitled to the benefit of the relevant Conditions, of all the Conditions applicable to the Closing (other than Conditions that by their nature are to be satisfied at the Closing, but subject to the satisfaction or, to the extent permissible, waiver of those Conditions at the Closing), the closing of the sale and purchase of the Convertible Note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remotely by electronic means on the earlier of (i) the third (3rd) Business Day after the date on which the Conditions applicable to the Closing (other than the Conditions that by their nature are to be satisfied at the Closing, but subject to the satisfaction or, to the extent permissible, waiver of those Conditions at the Closing) are satisfied, or (ii) any other earlier time before such date as may be agreed by the Purchaser and the Company in writing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Payment and Delivery.</w:t>
      </w:r>
    </w:p>
    <w:p>
      <w:pPr>
        <w:spacing w:after="0" w:line="225" w:lineRule="exact"/>
        <w:rPr>
          <w:sz w:val="20"/>
          <w:szCs w:val="20"/>
          <w:color w:val="auto"/>
        </w:rPr>
      </w:pPr>
    </w:p>
    <w:p>
      <w:pPr>
        <w:ind w:left="640" w:right="20" w:firstLine="1148"/>
        <w:spacing w:after="0" w:line="282" w:lineRule="auto"/>
        <w:rPr>
          <w:sz w:val="20"/>
          <w:szCs w:val="20"/>
          <w:color w:val="auto"/>
        </w:rPr>
      </w:pPr>
      <w:r>
        <w:rPr>
          <w:rFonts w:ascii="Times New Roman" w:cs="Times New Roman" w:eastAsia="Times New Roman" w:hAnsi="Times New Roman"/>
          <w:sz w:val="18"/>
          <w:szCs w:val="18"/>
          <w:color w:val="auto"/>
        </w:rPr>
        <w:t>(i)         At the Closing, the Purchaser shall arrange for electronic funds transfer in immediately available funds of the Purchase Price in U.S. dollars to such bank account designated in writing by the Company to the Purchaser on the date of this Agreement; and</w:t>
      </w:r>
    </w:p>
    <w:p>
      <w:pPr>
        <w:spacing w:after="0" w:line="16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(ii)        At the Closing, the Company shall deliver:</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(1)         the duly executed Convertible Note dated as of the Closing Date and issued in the name of the Purchaser;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2300"/>
        <w:spacing w:after="0"/>
        <w:rPr>
          <w:sz w:val="20"/>
          <w:szCs w:val="20"/>
          <w:color w:val="auto"/>
        </w:rPr>
      </w:pPr>
      <w:r>
        <w:rPr>
          <w:rFonts w:ascii="Times New Roman" w:cs="Times New Roman" w:eastAsia="Times New Roman" w:hAnsi="Times New Roman"/>
          <w:sz w:val="18"/>
          <w:szCs w:val="18"/>
          <w:color w:val="auto"/>
        </w:rPr>
        <w:t xml:space="preserve">(2)         copies of all the written consents and waivers referred to in </w:t>
      </w:r>
      <w:r>
        <w:rPr>
          <w:rFonts w:ascii="Times New Roman" w:cs="Times New Roman" w:eastAsia="Times New Roman" w:hAnsi="Times New Roman"/>
          <w:sz w:val="18"/>
          <w:szCs w:val="18"/>
          <w:u w:val="single" w:color="auto"/>
          <w:color w:val="auto"/>
        </w:rPr>
        <w:t>Section 3.02(g)</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 xml:space="preserve">(3)         copies of the certificate referred to in Section </w:t>
      </w:r>
      <w:r>
        <w:rPr>
          <w:rFonts w:ascii="Times New Roman" w:cs="Times New Roman" w:eastAsia="Times New Roman" w:hAnsi="Times New Roman"/>
          <w:sz w:val="18"/>
          <w:szCs w:val="18"/>
          <w:u w:val="single" w:color="auto"/>
          <w:color w:val="auto"/>
        </w:rPr>
        <w:t>3.02(h)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xml:space="preserve"> Each certificate representing any Ordinary Shares received by the Purchaser after conversion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on, and subject to, the terms and conditions set forth in the Convertible Note shall be endorsed with the following legend:</w:t>
      </w:r>
    </w:p>
    <w:p>
      <w:pPr>
        <w:spacing w:after="0" w:line="207"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UNDER THE SECURITIES LAWS OF ANY OTHER JURISDICTIONS. THESE SECURITIES MAY NOT BE TRANSFERRED, SOLD, OFFERED FOR SALE, PLEDGED OR HYPOTHECATED: (A) IN THE ABSENCE OF (1) AN EFFECTIVE REGISTRATION STATEMENT UNDER THE SECURITIES ACT OR (2) AN EXEMPTION OR QUALIFICATION UNDER APPLICABLE SECURITIES LAWS, AND (B) UNLESS IN COMPLIANCE WITH THE CONVERTIBLE NOTE PURCHASE AGREEMENT BETWEEN THE COMPANY AND GEELY INTERNATIONAL (HONG KONG) LIMITED, DATED JUNE 12, 2026 (THE “PURCHASE AGREEMENT”). ANY ATTEMPT TO TRANSFER, SELL, PLEDGE OR HYPOTHECATE THIS SECURITY IN VIOLATION OF THESE RESTRICTIONS OR ANY OTHER RESTRICTIONS SET FORTH IN THE PURCHASE AGREEMENT SHALL BE VOID.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 TO THE CLOSING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Conditions to Obligations of Both Parties.</w:t>
      </w:r>
    </w:p>
    <w:p>
      <w:pPr>
        <w:spacing w:after="0" w:line="225" w:lineRule="exact"/>
        <w:rPr>
          <w:sz w:val="20"/>
          <w:szCs w:val="20"/>
          <w:color w:val="auto"/>
        </w:rPr>
      </w:pPr>
    </w:p>
    <w:p>
      <w:pPr>
        <w:jc w:val="both"/>
        <w:ind w:firstLine="1404"/>
        <w:spacing w:after="0" w:line="258" w:lineRule="auto"/>
        <w:rPr>
          <w:sz w:val="20"/>
          <w:szCs w:val="20"/>
          <w:color w:val="auto"/>
        </w:rPr>
      </w:pPr>
      <w:r>
        <w:rPr>
          <w:rFonts w:ascii="Times New Roman" w:cs="Times New Roman" w:eastAsia="Times New Roman" w:hAnsi="Times New Roman"/>
          <w:sz w:val="18"/>
          <w:szCs w:val="18"/>
          <w:color w:val="auto"/>
        </w:rPr>
        <w:t>(a)     No United States or non-United States federal, national, supranational, state, provincial, local or similar government, governmental, regulatory or administrative authority, branch, agency or commission or any court, tribunal, or arbitral or judicial body (including any grand jury) (each, a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have enacted, issued, promulgated, enforced or entered any law, rule, regulation, judgment, injunction, order or decree (in each case, whether temporary, preliminary or permanent) that is in effect and restrains, enjoins, prevents, prohibits or otherwise makes illegal the consummation of the transactions contemplated by the Transaction Agreements.</w:t>
      </w:r>
    </w:p>
    <w:p>
      <w:pPr>
        <w:spacing w:after="0" w:line="183"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(b)     No action, suit, proceeding or investigation shall have been instituted or threatened by a Governmental Authority or any third party that seeks to restrain, enjoin, prevent, prohibit or otherwise make illegal the consummation of the transactions contemplated by the Transaction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Conditions to Obligations of Purchaser.</w:t>
      </w:r>
    </w:p>
    <w:p>
      <w:pPr>
        <w:spacing w:after="0" w:line="225" w:lineRule="exact"/>
        <w:rPr>
          <w:sz w:val="20"/>
          <w:szCs w:val="20"/>
          <w:color w:val="auto"/>
        </w:rPr>
      </w:pPr>
    </w:p>
    <w:p>
      <w:pPr>
        <w:jc w:val="both"/>
        <w:ind w:firstLine="1386"/>
        <w:spacing w:after="0" w:line="266" w:lineRule="auto"/>
        <w:rPr>
          <w:sz w:val="20"/>
          <w:szCs w:val="20"/>
          <w:color w:val="auto"/>
        </w:rPr>
      </w:pPr>
      <w:r>
        <w:rPr>
          <w:rFonts w:ascii="Times New Roman" w:cs="Times New Roman" w:eastAsia="Times New Roman" w:hAnsi="Times New Roman"/>
          <w:sz w:val="18"/>
          <w:szCs w:val="18"/>
          <w:color w:val="auto"/>
        </w:rPr>
        <w:t>The obligations of the Purchaser to subscribe for, purchase and pay for the Convertible Note as contemplated by this Agreement are subject to the satisfaction, on or before the Closing Date, of the following conditions, any of which may be waived in writing by the Purchaser in its sole discretion:</w:t>
      </w:r>
    </w:p>
    <w:p>
      <w:pPr>
        <w:spacing w:after="0" w:line="176" w:lineRule="exact"/>
        <w:rPr>
          <w:sz w:val="20"/>
          <w:szCs w:val="20"/>
          <w:color w:val="auto"/>
        </w:rPr>
      </w:pPr>
    </w:p>
    <w:p>
      <w:pPr>
        <w:jc w:val="both"/>
        <w:ind w:firstLine="1404"/>
        <w:spacing w:after="0" w:line="255" w:lineRule="auto"/>
        <w:rPr>
          <w:sz w:val="20"/>
          <w:szCs w:val="20"/>
          <w:color w:val="auto"/>
        </w:rPr>
      </w:pPr>
      <w:r>
        <w:rPr>
          <w:rFonts w:ascii="Times New Roman" w:cs="Times New Roman" w:eastAsia="Times New Roman" w:hAnsi="Times New Roman"/>
          <w:sz w:val="18"/>
          <w:szCs w:val="18"/>
          <w:color w:val="auto"/>
        </w:rPr>
        <w:t xml:space="preserve">(a)     The Fundamental Warranties shall have been true and correct in all respects on the date of this Agreement and true and accurate on and as of the Closing Date as though such representations and warranties were made on and as of the Closing Date (except for representations and warranties that expressly speak as of a specific date, in which case on and as of such specified date). Other representations and warranties of the Company contained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of this Agreement shall have been true and correct on the date of this Agreement, and true and correct in all material respects (or, if qualified by materiality or Material Adverse Effect, true and correct in all respects) on and as of the Closing Date as though such representations and warranties were made on and as of the Closing Date (except for representations and warranties that expressly speak as of a specified date, in which case on and as of such specified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(b)    The Company shall have performed and complied with all, and not be in breach or default in under any agreements, covenants, conditions and obligations contained in this Agreement that are required to be performed or complied with on or before the Closing Date in all material aspects.</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     There shall have been no Material Adverse Effect with respect to the Company.</w:t>
      </w:r>
    </w:p>
    <w:p>
      <w:pPr>
        <w:spacing w:after="0" w:line="225"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(d)     All corporate and other actions required to be taken by the Company in connection with the issuance and sale of the Convertible Note and the Company’s execution, delivery and performance of this Agreement and the other Transaction Agreements and the transactions contemplated hereby and thereby shall have been completed.</w:t>
      </w:r>
    </w:p>
    <w:p>
      <w:pPr>
        <w:spacing w:after="0" w:line="176" w:lineRule="exact"/>
        <w:rPr>
          <w:sz w:val="20"/>
          <w:szCs w:val="20"/>
          <w:color w:val="auto"/>
        </w:rPr>
      </w:pPr>
    </w:p>
    <w:p>
      <w:pPr>
        <w:jc w:val="both"/>
        <w:ind w:firstLine="1404"/>
        <w:spacing w:after="0" w:line="282" w:lineRule="auto"/>
        <w:rPr>
          <w:sz w:val="20"/>
          <w:szCs w:val="20"/>
          <w:color w:val="auto"/>
        </w:rPr>
      </w:pPr>
      <w:r>
        <w:rPr>
          <w:rFonts w:ascii="Times New Roman" w:cs="Times New Roman" w:eastAsia="Times New Roman" w:hAnsi="Times New Roman"/>
          <w:sz w:val="18"/>
          <w:szCs w:val="18"/>
          <w:color w:val="auto"/>
        </w:rPr>
        <w:t>(e)     No stop order or suspension of trading shall have been imposed by the NASDAQ Stock Exchange, the SEC or any other Governmental Authority with respect to the public trading of the ADSs.</w:t>
      </w:r>
    </w:p>
    <w:p>
      <w:pPr>
        <w:spacing w:after="0" w:line="162" w:lineRule="exact"/>
        <w:rPr>
          <w:sz w:val="20"/>
          <w:szCs w:val="20"/>
          <w:color w:val="auto"/>
        </w:rPr>
      </w:pPr>
    </w:p>
    <w:p>
      <w:pPr>
        <w:jc w:val="both"/>
        <w:ind w:firstLine="1404"/>
        <w:spacing w:after="0" w:line="282" w:lineRule="auto"/>
        <w:rPr>
          <w:sz w:val="20"/>
          <w:szCs w:val="20"/>
          <w:color w:val="auto"/>
        </w:rPr>
      </w:pPr>
      <w:r>
        <w:rPr>
          <w:rFonts w:ascii="Times New Roman" w:cs="Times New Roman" w:eastAsia="Times New Roman" w:hAnsi="Times New Roman"/>
          <w:sz w:val="18"/>
          <w:szCs w:val="18"/>
          <w:color w:val="auto"/>
        </w:rPr>
        <w:t>(f)     The Company shall have duly executed and delivered or shall have caused to be duly executed and delivered each Transaction Agreement to which it is a party to the Purchaser at or prior to the Closing.</w:t>
      </w:r>
    </w:p>
    <w:p>
      <w:pPr>
        <w:spacing w:after="0" w:line="162"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(g)    All consents required to be obtained by the Company in connection with the issuance and sale of the Convertible Note and the Company’s execution, delivery and performance of this Agreement and the other Transaction Agreements and the transactions contemplated hereby and thereby shall have been obtained.</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(h)     The Purchaser shall have received a certificate signed by a director of the Company confirming the satisfaction of Sections 3.02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Conditions to Obligations of the Company.</w:t>
      </w:r>
    </w:p>
    <w:p>
      <w:pPr>
        <w:spacing w:after="0" w:line="225" w:lineRule="exact"/>
        <w:rPr>
          <w:sz w:val="20"/>
          <w:szCs w:val="20"/>
          <w:color w:val="auto"/>
        </w:rPr>
      </w:pPr>
    </w:p>
    <w:p>
      <w:pPr>
        <w:jc w:val="both"/>
        <w:ind w:firstLine="1386"/>
        <w:spacing w:after="0" w:line="266" w:lineRule="auto"/>
        <w:rPr>
          <w:sz w:val="20"/>
          <w:szCs w:val="20"/>
          <w:color w:val="auto"/>
        </w:rPr>
      </w:pPr>
      <w:r>
        <w:rPr>
          <w:rFonts w:ascii="Times New Roman" w:cs="Times New Roman" w:eastAsia="Times New Roman" w:hAnsi="Times New Roman"/>
          <w:sz w:val="18"/>
          <w:szCs w:val="18"/>
          <w:color w:val="auto"/>
        </w:rPr>
        <w:t>The obligations of the Company to issue and sell the Convertible Note to the Purchaser as contemplated by this Agreement are subject to the satisfaction, on or before the Closing Date, of each of the following conditions, any of which may be waived in writing by the Company in its sole discretion:</w:t>
      </w:r>
    </w:p>
    <w:p>
      <w:pPr>
        <w:spacing w:after="0" w:line="176" w:lineRule="exact"/>
        <w:rPr>
          <w:sz w:val="20"/>
          <w:szCs w:val="20"/>
          <w:color w:val="auto"/>
        </w:rPr>
      </w:pPr>
    </w:p>
    <w:p>
      <w:pPr>
        <w:jc w:val="both"/>
        <w:ind w:firstLine="1404"/>
        <w:spacing w:after="0" w:line="258" w:lineRule="auto"/>
        <w:rPr>
          <w:sz w:val="20"/>
          <w:szCs w:val="20"/>
          <w:color w:val="auto"/>
        </w:rPr>
      </w:pPr>
      <w:r>
        <w:rPr>
          <w:rFonts w:ascii="Times New Roman" w:cs="Times New Roman" w:eastAsia="Times New Roman" w:hAnsi="Times New Roman"/>
          <w:sz w:val="18"/>
          <w:szCs w:val="18"/>
          <w:color w:val="auto"/>
        </w:rPr>
        <w:t xml:space="preserve">(a)     The representations and warranties of the Purchaser contained in Section 4.02 of this Agreement shall have been true and correct in all material respects (or, if qualified by materiality or Material Adverse Effect, true and correct in all respects) on the date of this Agreement and on and as of the Closing Date as though such representations and warranties were made on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representation and warranty of the Purchaser contained in Sections 4.02(a) to 4.02(c) of this Agreement shall have been true and correct in all respects on the date of this Agreement and on and as of the Closing Date as though such representations and warranties were made on and as of the Closing Date.</w:t>
      </w:r>
    </w:p>
    <w:p>
      <w:pPr>
        <w:spacing w:after="0" w:line="183" w:lineRule="exact"/>
        <w:rPr>
          <w:sz w:val="20"/>
          <w:szCs w:val="20"/>
          <w:color w:val="auto"/>
        </w:rPr>
      </w:pPr>
    </w:p>
    <w:p>
      <w:pPr>
        <w:jc w:val="both"/>
        <w:ind w:firstLine="1404"/>
        <w:spacing w:after="0" w:line="282" w:lineRule="auto"/>
        <w:rPr>
          <w:sz w:val="20"/>
          <w:szCs w:val="20"/>
          <w:color w:val="auto"/>
        </w:rPr>
      </w:pPr>
      <w:r>
        <w:rPr>
          <w:rFonts w:ascii="Times New Roman" w:cs="Times New Roman" w:eastAsia="Times New Roman" w:hAnsi="Times New Roman"/>
          <w:sz w:val="18"/>
          <w:szCs w:val="18"/>
          <w:color w:val="auto"/>
        </w:rPr>
        <w:t>(b)    The Purchaser shall have performed and complied with all, and not be in breach or default under any agreements, covenants, conditions and obligations contained in this Agreement that are required to be performed or complied with on or before the Closing Date.</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(c)     The Purchaser shall have duly executed and delivered each Transaction Agreement to which it is a party to the Company at or prior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Closing.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Representations and Warranties of the Company.</w:t>
      </w:r>
    </w:p>
    <w:p>
      <w:pPr>
        <w:spacing w:after="0" w:line="225" w:lineRule="exact"/>
        <w:rPr>
          <w:sz w:val="20"/>
          <w:szCs w:val="20"/>
          <w:color w:val="auto"/>
        </w:rPr>
      </w:pPr>
    </w:p>
    <w:p>
      <w:pPr>
        <w:jc w:val="both"/>
        <w:ind w:firstLine="1386"/>
        <w:spacing w:after="0" w:line="282" w:lineRule="auto"/>
        <w:rPr>
          <w:sz w:val="20"/>
          <w:szCs w:val="20"/>
          <w:color w:val="auto"/>
        </w:rPr>
      </w:pPr>
      <w:r>
        <w:rPr>
          <w:rFonts w:ascii="Times New Roman" w:cs="Times New Roman" w:eastAsia="Times New Roman" w:hAnsi="Times New Roman"/>
          <w:sz w:val="18"/>
          <w:szCs w:val="18"/>
          <w:color w:val="auto"/>
        </w:rPr>
        <w:t>The Company hereby represents and warrants to the Purchaser, as of the date hereof and as of the Closing Date that, except as set forth in the Company SEC Documents:</w:t>
      </w:r>
    </w:p>
    <w:p>
      <w:pPr>
        <w:spacing w:after="0" w:line="162"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Due Formation</w:t>
      </w:r>
      <w:r>
        <w:rPr>
          <w:rFonts w:ascii="Times New Roman" w:cs="Times New Roman" w:eastAsia="Times New Roman" w:hAnsi="Times New Roman"/>
          <w:sz w:val="18"/>
          <w:szCs w:val="18"/>
          <w:color w:val="auto"/>
        </w:rPr>
        <w:t>. The Company is an exempted company, duly incorporated, validly existing and in good standing under the laws of the Cayman Islands. Each of the Company and the Company’s Subsidiaries is duly formed, validly existing and in good standing in the jurisdiction of its organization. Each of the Company and the Subsidiaries has all requisite power and authority to carry on its business as it is currently being conducted.</w:t>
      </w:r>
    </w:p>
    <w:p>
      <w:pPr>
        <w:spacing w:after="0" w:line="176" w:lineRule="exact"/>
        <w:rPr>
          <w:sz w:val="20"/>
          <w:szCs w:val="20"/>
          <w:color w:val="auto"/>
        </w:rPr>
      </w:pPr>
    </w:p>
    <w:p>
      <w:pPr>
        <w:jc w:val="both"/>
        <w:ind w:firstLine="1404"/>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Authority; Valid Agreement</w:t>
      </w:r>
      <w:r>
        <w:rPr>
          <w:rFonts w:ascii="Times New Roman" w:cs="Times New Roman" w:eastAsia="Times New Roman" w:hAnsi="Times New Roman"/>
          <w:sz w:val="18"/>
          <w:szCs w:val="18"/>
          <w:color w:val="auto"/>
        </w:rPr>
        <w:t>. The Company has all requisite legal power and authority to execute, deliver and perform its obligations under the Transaction Agreements to which it is a party and each other agreement, certificate, document and instrument to be executed by the Company pursuant to this Agreement and each other Transaction Agreement. The execution, delivery and performance by the Company of this Agreement and each other Transaction Agreement to which it is a party and the performance by the Company of its obligations hereunder and thereunder have been duly authorized by all necessary corporate action on the part of the Company. This Agreement has been, and each other Transaction Agreements to which it is a party will be duly executed and delivered by the Company and, assuming due authorization, execution and delivery by the Purchaser, constitutes (or, when executed and delivered in accordance herewith will constitute) a legal, valid and binding obligation of the Company, enforceable against the Company in accordance with its terms, except as enforcement may be limited by general principles of equity, whether applied in a court of law or a court of equity, and by applicable bankruptcy, insolvency, fraudulent transfer, reorganization, moratorium and similar law affecting creditors’ rights and remedies generally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 Without limiting the generality of the foregoing, as of the Closing, no approval by the shareholders of the Company is required in connection with this Agreement or other Transaction Agreements, the performance by the Company of its obligations hereunder or thereunder, or the consummation by the Company of the transactions contemplated hereby or thereby, except for those that have been obtained, waived or exempted at or prior to the Closing.</w:t>
      </w:r>
    </w:p>
    <w:p>
      <w:pPr>
        <w:spacing w:after="0" w:line="187" w:lineRule="exact"/>
        <w:rPr>
          <w:sz w:val="20"/>
          <w:szCs w:val="20"/>
          <w:color w:val="auto"/>
        </w:rPr>
      </w:pPr>
    </w:p>
    <w:p>
      <w:pPr>
        <w:jc w:val="both"/>
        <w:ind w:firstLine="1404"/>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Convertible Note</w:t>
      </w:r>
      <w:r>
        <w:rPr>
          <w:rFonts w:ascii="Times New Roman" w:cs="Times New Roman" w:eastAsia="Times New Roman" w:hAnsi="Times New Roman"/>
          <w:sz w:val="18"/>
          <w:szCs w:val="18"/>
          <w:color w:val="auto"/>
        </w:rPr>
        <w:t>. The Convertible Note, when issued and delivered by the Company, will constitute direct, unconditional, unsubordinated obligations of the Company and will at all times rank senior to all present and future unconditional and unsubordinated obligations of the Company and its Subsidiaries (other than (i) those preferred by Applicable Law that are mandatory and of general application and (ii) the initial note in the original principal amount of US$10,000,000 issued pursuant to the ATW 2025 CB Purchase Agreement, as disclosed in the Company SEC Documents), unless otherwise agreed by the Purchaser in advance.</w:t>
      </w:r>
    </w:p>
    <w:p>
      <w:pPr>
        <w:spacing w:after="0" w:line="183" w:lineRule="exact"/>
        <w:rPr>
          <w:sz w:val="20"/>
          <w:szCs w:val="20"/>
          <w:color w:val="auto"/>
        </w:rPr>
      </w:pPr>
    </w:p>
    <w:p>
      <w:pPr>
        <w:jc w:val="both"/>
        <w:ind w:firstLine="1404"/>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xml:space="preserve">. The Conversion Shares have been duly and validly authorized for issuance by the Company and, when issued and delivered by the Company to the Purchaser in accordance with the terms of the Convertible Note will be (i) duly and validly issued, fully paid and non-assessable,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and carry the same rights in all aspects as, the other Ordinary Shares then in issue, (ii) entitled to all dividends and other distributions declared, paid or made thereon, and (iii) free and clear of any pledge, mortgage, security interest, encumbrance, lien, charge, assessment, right of first refusal, right of pre-emption, third party right or interest, claim or restriction of any kind or nature, except for restrictions arising under the Securities Act or as disclosed in the Company SEC Documents or created by virtue of the transactions under this Agreement (collectively, the “</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Upon entry of the Purchaser into the register of members of the Company as the legal owner of the Conversion Shares, the Company will transfer to the Purchaser good and valid title to the Conversion Shares, free and clear of any Encumbrances.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404"/>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Non-contravention</w:t>
      </w:r>
      <w:r>
        <w:rPr>
          <w:rFonts w:ascii="Times New Roman" w:cs="Times New Roman" w:eastAsia="Times New Roman" w:hAnsi="Times New Roman"/>
          <w:sz w:val="18"/>
          <w:szCs w:val="18"/>
          <w:color w:val="auto"/>
        </w:rPr>
        <w:t>. None of the execution and the delivery of this Agreement and other Transaction Agreements, nor the consummation of the transactions contemplated hereby or thereby, will (i) violate any provision of the organizational documents of the Company, (ii) violate any constitution, statute, regulation, rule, injunction, judgment, order, decree, ruling, charge, or other restriction of any government, governmental entity or court to which the Company is subject, or (iii) conflict with, result in a breach of, constitute a default under, result in the acceleration of or creation of any Encumbrances under, or create in any party the right to accelerate, terminate, modify, or cancel, any agreement, contract, lease, license, instrument, or other arrangement to which the Company or any of its Subsidiaries is a party or by which the Company or any of its Subsidiaries is bound or to which any of the Company’s or any of its Subsidiaries’ assets are subject, except, in the case of (ii) and (iii) above, for such conflicts, breach, defaults, rights or violations, which would not reasonably be expected to result in a Material Adverse Effect. There is no action, suit or proceeding, pending or, to the knowledge of the Company, threatened against the Company that questions the validity of the Transaction Agreements or the right of the Company to enter into this Agreement or to consummate the transactions contemplated hereby or thereby.</w:t>
      </w:r>
    </w:p>
    <w:p>
      <w:pPr>
        <w:spacing w:after="0" w:line="194" w:lineRule="exact"/>
        <w:rPr>
          <w:sz w:val="20"/>
          <w:szCs w:val="20"/>
          <w:color w:val="auto"/>
        </w:rPr>
      </w:pPr>
    </w:p>
    <w:p>
      <w:pPr>
        <w:jc w:val="both"/>
        <w:ind w:firstLine="1404"/>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None of the execution and delivery by the Company of this Agreement or any Transaction Agreement, nor the consummation by the Company of any of the transactions contemplated here by or thereby, nor the performance by the Company of this Agreement or other Transaction Agreements in accordance with their respective terms requires the consent, approval, order or authorization of, or registration with, or the giving notice to, any governmental or public body or authority or any third party, except such as have been or will have been obtained, made or given on or prior to the Closing Date and except for any filing or notification required to made with the SEC, or the NASDAQ Stock Exchange, or the CSRC regarding the issuance of the Convertible Note or the Conversion Shares.</w:t>
      </w:r>
    </w:p>
    <w:p>
      <w:pPr>
        <w:spacing w:after="0" w:line="187" w:lineRule="exact"/>
        <w:rPr>
          <w:sz w:val="20"/>
          <w:szCs w:val="20"/>
          <w:color w:val="auto"/>
        </w:rPr>
      </w:pPr>
    </w:p>
    <w:p>
      <w:pPr>
        <w:jc w:val="both"/>
        <w:ind w:firstLine="1404"/>
        <w:spacing w:after="0" w:line="25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business of the Company and its Subsidiaries is not being conducted, and has not been conducted at any time during the three years prior to the date hereof, in violation of any Applicable Law (including, without limitation, the U.S. Foreign Corrupt Practices Act, the UK Bribery Act 2010, the PRC anti- bribery laws,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or regulatory agency, in each case as supplemented, amended, re-enacted or replaced from time to time) or government order applicable to the Company in any material respect. Except as disclosed in the Company SEC Documents, the Company and each of its Subsidiaries have all permits, licenses, authorizations, consents, orders and approvals in material respects (collectively,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that are required in order to carry on their business as presently conducted. Except as disclosed in the Company SEC Documents, all such Permits are in full force and effect and, to the knowledge of the Company, no suspension or cancellation of any of them is threatened. The Company has complied with the applicable listing and corporate governance rules and regulations of the NASDAQ Stock Exchange in all material respects. The Company and its Subsidiaries have taken no action designed to, or reasonably likely to have the effect of, delisting the ADSs from the NASDAQ Stock Exchange. There are no proceedings pending or, to the Company’s knowledge, threatened against the Company relating to the continued listing of the ADSs on the NASDAQ Stock Exchange and the Company has not received any notification that the SEC or the NASDAQ Stock Exchange is contemplating suspending or terminating such listing (or the applicable registration under the Exchange Act related thereto).</w:t>
      </w:r>
    </w:p>
    <w:p>
      <w:pPr>
        <w:spacing w:after="0" w:line="196"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Information</w:t>
      </w:r>
      <w:r>
        <w:rPr>
          <w:rFonts w:ascii="Times New Roman" w:cs="Times New Roman" w:eastAsia="Times New Roman" w:hAnsi="Times New Roman"/>
          <w:sz w:val="18"/>
          <w:szCs w:val="18"/>
          <w:color w:val="auto"/>
        </w:rPr>
        <w:t>. All information which has been provided by or on behalf of the Company or its authorized representatives to the Purchaser, its advisers or agents in the course of the negotiation leading to this Agreement and the other Transaction Agreements is true, complete and accurate.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42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148"/>
        <w:spacing w:after="0" w:line="254" w:lineRule="auto"/>
        <w:rPr>
          <w:sz w:val="20"/>
          <w:szCs w:val="20"/>
          <w:color w:val="auto"/>
        </w:rPr>
      </w:pPr>
      <w:r>
        <w:rPr>
          <w:rFonts w:ascii="Times New Roman" w:cs="Times New Roman" w:eastAsia="Times New Roman" w:hAnsi="Times New Roman"/>
          <w:sz w:val="18"/>
          <w:szCs w:val="18"/>
          <w:color w:val="auto"/>
        </w:rPr>
        <w:t>(i)         The authorized share capital of the Company consists of 5,000,000,000 Ordinary Shares, of which 648,134,414 Ordinary Shares are issued and outstanding as of the date hereof, and 51,550,661 Ordinary Shares have been reserved under the 2022 Stock Incentive Plan of the Company as disclosed in the Company SEC Documents. All of the Company’s issued and outstanding Ordinary Shares are fully paid and non-assessable. Except as disclosed in the Company SEC Documents, the Company has no outstanding bonds, debentures, notes or other obligations, the holders of which have been granted the right to vote (or which are convertible into or exercisable for securities having the right to vote) with the shareholders of the Company on any matter. All issued and outstanding Ordinary Shares have been duly authorized and validly issued and are fully paid and non-assessable, are free of preemptive rights, were issued in compliance with applicable U.S. and other applicable securities laws and were not issued in violation of any preemptive right, resale right, right of first refusal, or similar right and the ADSs have been duly listed and admitted and authorized for trading on the NASDAQ Stock Exchange.</w:t>
      </w:r>
    </w:p>
    <w:p>
      <w:pPr>
        <w:spacing w:after="0" w:line="188" w:lineRule="exact"/>
        <w:rPr>
          <w:sz w:val="20"/>
          <w:szCs w:val="20"/>
          <w:color w:val="auto"/>
        </w:rPr>
      </w:pPr>
    </w:p>
    <w:p>
      <w:pPr>
        <w:jc w:val="both"/>
        <w:ind w:left="640" w:firstLine="1148"/>
        <w:spacing w:after="0" w:line="261" w:lineRule="auto"/>
        <w:rPr>
          <w:sz w:val="20"/>
          <w:szCs w:val="20"/>
          <w:color w:val="auto"/>
        </w:rPr>
      </w:pPr>
      <w:r>
        <w:rPr>
          <w:rFonts w:ascii="Times New Roman" w:cs="Times New Roman" w:eastAsia="Times New Roman" w:hAnsi="Times New Roman"/>
          <w:sz w:val="18"/>
          <w:szCs w:val="18"/>
          <w:color w:val="auto"/>
        </w:rPr>
        <w:t xml:space="preserve">(ii)        Except as set forth above in this </w:t>
      </w:r>
      <w:r>
        <w:rPr>
          <w:rFonts w:ascii="Times New Roman" w:cs="Times New Roman" w:eastAsia="Times New Roman" w:hAnsi="Times New Roman"/>
          <w:sz w:val="18"/>
          <w:szCs w:val="18"/>
          <w:u w:val="single" w:color="auto"/>
          <w:color w:val="auto"/>
        </w:rPr>
        <w:t>Section 4.01(i)</w:t>
      </w:r>
      <w:r>
        <w:rPr>
          <w:rFonts w:ascii="Times New Roman" w:cs="Times New Roman" w:eastAsia="Times New Roman" w:hAnsi="Times New Roman"/>
          <w:sz w:val="18"/>
          <w:szCs w:val="18"/>
          <w:color w:val="auto"/>
        </w:rPr>
        <w:t>, there are no outstanding (A) shares of capital stock or voting securities of the Company, (B) securities of the Company convertible into or exchangeable for shares of capital stock or voting securities of the Company or</w:t>
      </w:r>
    </w:p>
    <w:p>
      <w:pPr>
        <w:jc w:val="both"/>
        <w:ind w:left="640" w:firstLine="6"/>
        <w:spacing w:after="0" w:line="253" w:lineRule="auto"/>
        <w:tabs>
          <w:tab w:leader="none" w:pos="9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or other outstanding rights, options, warrants, conversion rights, “phantom” stock rights, stock appreciation rights, redemption rights, repurchase rights, agreements, arrangements, calls, commitments or rights of any kind that obligate the Company to issue or sell any shares of capital stock or other securities of the Company or any securities or obligations convertible or exchangeable into or exercisable for, or giving any person a right to subscribe for or acquire, any securities of the Company, and no securities or obligations evidencing such rights are authorized, issued or outstanding.</w:t>
      </w:r>
    </w:p>
    <w:p>
      <w:pPr>
        <w:spacing w:after="0" w:line="187" w:lineRule="exact"/>
        <w:rPr>
          <w:sz w:val="20"/>
          <w:szCs w:val="20"/>
          <w:color w:val="auto"/>
        </w:rPr>
      </w:pPr>
    </w:p>
    <w:p>
      <w:pPr>
        <w:jc w:val="both"/>
        <w:ind w:left="640" w:firstLine="1148"/>
        <w:spacing w:after="0" w:line="266" w:lineRule="auto"/>
        <w:rPr>
          <w:sz w:val="20"/>
          <w:szCs w:val="20"/>
          <w:color w:val="auto"/>
        </w:rPr>
      </w:pPr>
      <w:r>
        <w:rPr>
          <w:rFonts w:ascii="Times New Roman" w:cs="Times New Roman" w:eastAsia="Times New Roman" w:hAnsi="Times New Roman"/>
          <w:sz w:val="18"/>
          <w:szCs w:val="18"/>
          <w:color w:val="auto"/>
        </w:rPr>
        <w:t>(iii)       Except as disclosed in the Company SEC Documents, to the knowledge of the Company, there are no registration rights, rights of first offer, rights of first refusal, tag-along rights with respect to the securities of the Company or any Subsidiary of the Company that have been granted to any Person.</w:t>
      </w:r>
    </w:p>
    <w:p>
      <w:pPr>
        <w:spacing w:after="0" w:line="176" w:lineRule="exact"/>
        <w:rPr>
          <w:sz w:val="20"/>
          <w:szCs w:val="20"/>
          <w:color w:val="auto"/>
        </w:rPr>
      </w:pPr>
    </w:p>
    <w:p>
      <w:pPr>
        <w:jc w:val="both"/>
        <w:ind w:left="640" w:firstLine="1148"/>
        <w:spacing w:after="0" w:line="266" w:lineRule="auto"/>
        <w:rPr>
          <w:sz w:val="20"/>
          <w:szCs w:val="20"/>
          <w:color w:val="auto"/>
        </w:rPr>
      </w:pPr>
      <w:r>
        <w:rPr>
          <w:rFonts w:ascii="Times New Roman" w:cs="Times New Roman" w:eastAsia="Times New Roman" w:hAnsi="Times New Roman"/>
          <w:sz w:val="18"/>
          <w:szCs w:val="18"/>
          <w:color w:val="auto"/>
        </w:rPr>
        <w:t>(iv)      All outstanding shares of capital stock or other securities or ownership interests of the Subsidiaries are duly authorized, validly issued, fully paid and non-assessable and all such shares or other securities or ownership interests in any Subsidiary of the Company are owned, directly or indirectly, by the Company free and clear of any Encumbrance.</w:t>
      </w:r>
    </w:p>
    <w:p>
      <w:pPr>
        <w:spacing w:after="0" w:line="176" w:lineRule="exact"/>
        <w:rPr>
          <w:sz w:val="20"/>
          <w:szCs w:val="20"/>
          <w:color w:val="auto"/>
        </w:rPr>
      </w:pPr>
    </w:p>
    <w:p>
      <w:pPr>
        <w:jc w:val="both"/>
        <w:ind w:firstLine="1404"/>
        <w:spacing w:after="0" w:line="254"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SEC Matters</w:t>
      </w:r>
      <w:r>
        <w:rPr>
          <w:rFonts w:ascii="Times New Roman" w:cs="Times New Roman" w:eastAsia="Times New Roman" w:hAnsi="Times New Roman"/>
          <w:sz w:val="18"/>
          <w:szCs w:val="18"/>
          <w:color w:val="auto"/>
        </w:rPr>
        <w:t>. The Company has filed or furnished, as applicable, on a timely basis, all registration statements, proxy statements and other documents required to be filed or furnished by it with the SEC, including the Company SEC Documents. None of the Subsidiaries is required to file periodic reports with the SEC pursuant to the Exchange Act. As of their respective effective dates (in the case of the Company SEC Documents that are registration statements filed pursuant to the requirements of the Securities Act) and as of their respective SEC filing dates (in the case of all other Company SEC Documents), or in each case, if amended prior to the date hereof, as of the date of the last such amendment: (A) each of the Company SEC Documents complied in all material respects with the applicable requirements of the Securities Act or the Exchange Act and the Sarbanes-Oxley Act of 2002, as amended, and any rules and regulations promulgated thereunder applicable to the Company SEC Documents (as the case may be) and (B) none of the Company SEC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1420"/>
        <w:spacing w:after="0"/>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jc w:val="both"/>
        <w:ind w:left="640" w:firstLine="1148"/>
        <w:spacing w:after="0" w:line="254" w:lineRule="auto"/>
        <w:rPr>
          <w:sz w:val="20"/>
          <w:szCs w:val="20"/>
          <w:color w:val="auto"/>
        </w:rPr>
      </w:pPr>
      <w:r>
        <w:rPr>
          <w:rFonts w:ascii="Times New Roman" w:cs="Times New Roman" w:eastAsia="Times New Roman" w:hAnsi="Times New Roman"/>
          <w:sz w:val="18"/>
          <w:szCs w:val="18"/>
          <w:color w:val="auto"/>
        </w:rPr>
        <w:t>(i)         The financial statements (including any related notes) contained in the Company SEC Documents: (A) complied as to form in all material respects with applicable accounting requirements and the published rules and regulations of the SEC with respect thereto, (B) were prepared in accordance with GAAP applied on a consistent basis throughout the periods covered thereby (except (a) as may be otherwise specifically provided in such financial statements or the notes thereto, or (b) in the case of unaudited interim statements, to the extent they may exclude footnotes or may be condensed to summary statements) and (C) fairly present in all material respects the consolidated financial position of the Company and the Subsidiaries as of the respective dates thereof and the consolidated results of operations and cash flows of the Company and its Subsidiaries for the periods covered thereby (other than as may have corrected or clarified in a subsequent Company SEC Document), in each case except as disclosed therein and as permitted under the Exchange Act.</w:t>
      </w:r>
    </w:p>
    <w:p>
      <w:pPr>
        <w:spacing w:after="0" w:line="192" w:lineRule="exact"/>
        <w:rPr>
          <w:sz w:val="20"/>
          <w:szCs w:val="20"/>
          <w:color w:val="auto"/>
        </w:rPr>
      </w:pPr>
    </w:p>
    <w:p>
      <w:pPr>
        <w:jc w:val="both"/>
        <w:ind w:left="640" w:firstLine="1148"/>
        <w:spacing w:after="0" w:line="254" w:lineRule="auto"/>
        <w:rPr>
          <w:sz w:val="20"/>
          <w:szCs w:val="20"/>
          <w:color w:val="auto"/>
        </w:rPr>
      </w:pPr>
      <w:r>
        <w:rPr>
          <w:rFonts w:ascii="Times New Roman" w:cs="Times New Roman" w:eastAsia="Times New Roman" w:hAnsi="Times New Roman"/>
          <w:sz w:val="18"/>
          <w:szCs w:val="18"/>
          <w:color w:val="auto"/>
        </w:rPr>
        <w:t>(ii)        Neither the Company nor any of its Subsidiaries is a party to, nor has any commitment to become a party to, any joint venture, off- balance sheet partnership or any similar contract, agreement, arrangement or undertaking (including any contract, agreement, arrangement or undertaking relating to any transaction or relationship between or among one or more of the Company and/or any of its Subsidiaries, on the one hand, and any unconsolidated Affiliate, including any structured finance, special purpose or limited purpose entity or Person, on the other hand), or any “off-balance sheet arrangements” (as defined in Item 303(a) of Regulation S-K promulgated by the SEC), where the result, purpose or intended effect of such contract, agreement, arrangement or undertaking is to avoid disclosure of any material transaction involving, or material liabilities of, the Company or any of the Subsidiaries in the Company’s or such Subsidiary’s published financial statements or other Company SEC Documents.</w:t>
      </w:r>
    </w:p>
    <w:p>
      <w:pPr>
        <w:spacing w:after="0" w:line="192" w:lineRule="exact"/>
        <w:rPr>
          <w:sz w:val="20"/>
          <w:szCs w:val="20"/>
          <w:color w:val="auto"/>
        </w:rPr>
      </w:pPr>
    </w:p>
    <w:p>
      <w:pPr>
        <w:jc w:val="both"/>
        <w:ind w:left="640" w:firstLine="1148"/>
        <w:spacing w:after="0" w:line="266" w:lineRule="auto"/>
        <w:rPr>
          <w:sz w:val="20"/>
          <w:szCs w:val="20"/>
          <w:color w:val="auto"/>
        </w:rPr>
      </w:pPr>
      <w:r>
        <w:rPr>
          <w:rFonts w:ascii="Times New Roman" w:cs="Times New Roman" w:eastAsia="Times New Roman" w:hAnsi="Times New Roman"/>
          <w:sz w:val="18"/>
          <w:szCs w:val="18"/>
          <w:color w:val="auto"/>
        </w:rPr>
        <w:t>(iii)       The independent registered public accounting firm engaged by the Company, who has certified certain financial statements of the Company, is an independent public accountant as required by the Securities Act and the rules and regulations of the SEC thereunder and is independent in accordance with the requirements of the U.S. Public Company Accounting Oversight Board.</w:t>
      </w:r>
    </w:p>
    <w:p>
      <w:pPr>
        <w:spacing w:after="0" w:line="176" w:lineRule="exact"/>
        <w:rPr>
          <w:sz w:val="20"/>
          <w:szCs w:val="20"/>
          <w:color w:val="auto"/>
        </w:rPr>
      </w:pPr>
    </w:p>
    <w:p>
      <w:pPr>
        <w:jc w:val="both"/>
        <w:ind w:firstLine="1404"/>
        <w:spacing w:after="0" w:line="253"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Internal Control and Procedures</w:t>
      </w:r>
      <w:r>
        <w:rPr>
          <w:rFonts w:ascii="Times New Roman" w:cs="Times New Roman" w:eastAsia="Times New Roman" w:hAnsi="Times New Roman"/>
          <w:sz w:val="18"/>
          <w:szCs w:val="18"/>
          <w:color w:val="auto"/>
        </w:rPr>
        <w:t>. The Company has established and maintains a system of internal control over financial reporting (as defined in Rule 13a-15 or 15d-15, as applicable, under the Exchange Act) sufficient to provide reasonable assurance regarding the reliability of financial reporting, including policies and procedures that (A) mandate the maintenance of records that in reasonable detail accurately and fairly reflect the material transactions and dispositions of the assets of the Company, (B) provide reasonable assurance that transactions are recorded as necessary to permit preparation of financial statements in accordance with GAAP, and that receipts and expenditures of the Company are being made only in accordance with appropriate authorizations of management and the board of directors of the Company and (C) provide reasonable assurance regarding prevention or timely detection of unauthorized acquisition, use or disposition of the assets of the Company. Save as disclosed in the Company SEC Documents, there are no material weaknesses or significant deficiencies in the Company’s internal controls. The Company’s auditors and the audit committee of the board of directors of the Company have not been advised of any fraud, whether or not material, that involves management or other employees who have a significant role in the Company’s internal controls over financial reporting. Since December 31, 2025, there has been no change in the Company’s internal control over financial reporting that has materially affected, or is reasonably likely to materially affect, the Company’s internal control over financial reporting, except for the implementation of certain measures to address the material weakness in the Company’s internal control over financial reporting that has been disclosed in the Company SEC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404"/>
        <w:spacing w:after="0" w:line="254"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There are no liabilities of the Company or any Subsidiary of any kind, whether accrued, contingent, absolute, determined, determinable or otherwise, and there is no existing condition, situation or set of circumstances which could reasonably be expected to result in such a liability, other than: (i) liabilities reflected on, reserved against, or disclosed in the Company’s audited consolidated balance sheet as of December 31, 2025, (ii) liabilities incurred since December 31, 2025 in the ordinary course of business consistent with past practices, (iii) any other undisclosed liabilities that are not material to the Company and its Subsidiaries on a consolidated basis, and (iv) any liabilities incurred as a result of the Company’s performing the transactions contemplated by any Transaction Agreement. There are no unconsolidated Subsidiaries of the Company or any off-balance sheet arrangements of any type (including any off-balance sheet arrangement required to be disclosed pursuant to Item 303(a)(4) of Regulation S-K promulgated under the Securities Act) that have not been so described in the Company SEC Documents nor any obligations to enter into any such arrangements.</w:t>
      </w:r>
    </w:p>
    <w:p>
      <w:pPr>
        <w:spacing w:after="0" w:line="188"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after giving effect to the offering and sale of the Convertible Note, the consummation of the offering and the application of the proceeds hereof, will not be an “investment company,” as such term is defined in the U.S. Investment Company Act of 1940, as amended.</w:t>
      </w:r>
    </w:p>
    <w:p>
      <w:pPr>
        <w:spacing w:after="0" w:line="176" w:lineRule="exact"/>
        <w:rPr>
          <w:sz w:val="20"/>
          <w:szCs w:val="20"/>
          <w:color w:val="auto"/>
        </w:rPr>
      </w:pPr>
    </w:p>
    <w:p>
      <w:pPr>
        <w:jc w:val="both"/>
        <w:ind w:firstLine="1404"/>
        <w:spacing w:after="0" w:line="255"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No Registration</w:t>
      </w:r>
      <w:r>
        <w:rPr>
          <w:rFonts w:ascii="Times New Roman" w:cs="Times New Roman" w:eastAsia="Times New Roman" w:hAnsi="Times New Roman"/>
          <w:sz w:val="18"/>
          <w:szCs w:val="18"/>
          <w:color w:val="auto"/>
        </w:rPr>
        <w:t xml:space="preserve">. Assuming the accuracy of the representations and warranties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of this Agreement, it is not necessary in connection with the issuance and sale of the Convertible Note (and, when issued, the Conversion Shares) to register the Convertible Note (and, when issued, the Conversion Shares) under the Securities Act or to qualify or register them under applicable U.S. state securities laws. No directed selling efforts (as defined in Rule 902 of Regulation S under the Securities Act) have been made by any of the Company, any of its Affiliates or any person acting on its behalf with respect to any Convertible Note; and none of such Persons has taken any actions that would result in the sale of any of the Convertible Note to the Purchaser under this Agreement requiring registration under the Securities Act; and the Company is a “foreign issuer” (as defined in Regulation S).</w:t>
      </w:r>
    </w:p>
    <w:p>
      <w:pPr>
        <w:spacing w:after="0" w:line="189"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s. The Company has not dealt with any broker, finder, commission agent, placement agent or arranger in connection with the sale of the Convertible Note, and the Company is not under any obligation to pay any broker’s fee or commission in connection with the sale of the Convertible Note.</w:t>
      </w:r>
    </w:p>
    <w:p>
      <w:pPr>
        <w:spacing w:after="0" w:line="176" w:lineRule="exact"/>
        <w:rPr>
          <w:sz w:val="20"/>
          <w:szCs w:val="20"/>
          <w:color w:val="auto"/>
        </w:rPr>
      </w:pPr>
    </w:p>
    <w:p>
      <w:pPr>
        <w:jc w:val="both"/>
        <w:ind w:firstLine="1404"/>
        <w:spacing w:after="0" w:line="28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Absence of Changes</w:t>
      </w:r>
      <w:r>
        <w:rPr>
          <w:rFonts w:ascii="Times New Roman" w:cs="Times New Roman" w:eastAsia="Times New Roman" w:hAnsi="Times New Roman"/>
          <w:sz w:val="18"/>
          <w:szCs w:val="18"/>
          <w:color w:val="auto"/>
        </w:rPr>
        <w:t>. Since December 31, 2025, the Company and its Subsidiaries have conducted their business in the ordinary course of business consistent with past practice and there has not been:</w:t>
      </w:r>
    </w:p>
    <w:p>
      <w:pPr>
        <w:spacing w:after="0" w:line="162" w:lineRule="exact"/>
        <w:rPr>
          <w:sz w:val="20"/>
          <w:szCs w:val="20"/>
          <w:color w:val="auto"/>
        </w:rPr>
      </w:pPr>
    </w:p>
    <w:p>
      <w:pPr>
        <w:jc w:val="both"/>
        <w:ind w:left="640" w:firstLine="1148"/>
        <w:spacing w:after="0" w:line="266" w:lineRule="auto"/>
        <w:rPr>
          <w:sz w:val="20"/>
          <w:szCs w:val="20"/>
          <w:color w:val="auto"/>
        </w:rPr>
      </w:pPr>
      <w:r>
        <w:rPr>
          <w:rFonts w:ascii="Times New Roman" w:cs="Times New Roman" w:eastAsia="Times New Roman" w:hAnsi="Times New Roman"/>
          <w:sz w:val="18"/>
          <w:szCs w:val="18"/>
          <w:color w:val="auto"/>
        </w:rPr>
        <w:t>(i)         any declaration, setting aside or payment of any dividend or other distribution with respect to any securities of the Company or any of its Subsidiaries (except for dividends or other distributions by any Subsidiary to the Company or to any of the Company’s wholly owned Subsidiaries);</w:t>
      </w:r>
    </w:p>
    <w:p>
      <w:pPr>
        <w:spacing w:after="0" w:line="176" w:lineRule="exact"/>
        <w:rPr>
          <w:sz w:val="20"/>
          <w:szCs w:val="20"/>
          <w:color w:val="auto"/>
        </w:rPr>
      </w:pPr>
    </w:p>
    <w:p>
      <w:pPr>
        <w:jc w:val="both"/>
        <w:ind w:left="640" w:firstLine="1148"/>
        <w:spacing w:after="0" w:line="261" w:lineRule="auto"/>
        <w:rPr>
          <w:sz w:val="20"/>
          <w:szCs w:val="20"/>
          <w:color w:val="auto"/>
        </w:rPr>
      </w:pPr>
      <w:r>
        <w:rPr>
          <w:rFonts w:ascii="Times New Roman" w:cs="Times New Roman" w:eastAsia="Times New Roman" w:hAnsi="Times New Roman"/>
          <w:sz w:val="18"/>
          <w:szCs w:val="18"/>
          <w:color w:val="auto"/>
        </w:rPr>
        <w:t>(ii)       any issuances or sales of shares of capital stock or other securities or obligations convertible or exchangeable into or exercisable for, or giving any person a right to subscribe for or acquire, any securities of the Company or any of its Subsidiaries or any redemption, share splits, reclassifications, share dividends, share combinations or other recapitalizations of any such securities other than pursuant to any Employee Benefit Plan effective as at the date of this Agreement;</w:t>
      </w:r>
    </w:p>
    <w:p>
      <w:pPr>
        <w:spacing w:after="0" w:line="18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(iii)       any amendment to the constitutional documents of the Company;</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(iv)       any redemption or repurchase of any equity securities of the Company; or</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(v)        any entry into any contract, agreement, instrument or other document in respect of any of the foregoing.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404"/>
        <w:spacing w:after="0" w:line="257"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The Company has filed as exhibits to the Company SEC Documents all contracts, agreements and instruments (including all amendments thereto) to which the Company or any of its Subsidiaries is a party or by which it is bound and which is material to the business of the Company and its Subsidiaries, taken as a whole, and are required to be filed as an exhibit to the Company SEC Documents pursuant to Item 601(b)</w:t>
      </w:r>
    </w:p>
    <w:p>
      <w:pPr>
        <w:spacing w:after="0" w:line="1" w:lineRule="exact"/>
        <w:rPr>
          <w:sz w:val="20"/>
          <w:szCs w:val="20"/>
          <w:color w:val="auto"/>
        </w:rPr>
      </w:pPr>
    </w:p>
    <w:p>
      <w:pPr>
        <w:jc w:val="both"/>
        <w:ind w:firstLine="8"/>
        <w:spacing w:after="0" w:line="252"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Item 601(b)(10) of Regulation S-K promulgated by the SEC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Each Material Contract is in full force and effect and, to the knowledge of the Company, enforceable against the counterparties of the Company or the Subsidiaries party thereto, except for the contracts and agreements that have already expired pursuant to the terms therein (which for the avoidance of doubt excludes those contracts or agreements that had been terminated by the other party thereto for cause). The Company and its Subsidiaries and, to the knowledge of the Company, each other party thereto, are not in default under, or in breach or violation of, any Material Contract, in all material respects. To the Company’s knowledge, no event, fact or circumstance has occurred that will have or is reasonably expected to have a material adverse impact on the renewal or extension of any Material Contract.</w:t>
      </w:r>
    </w:p>
    <w:p>
      <w:pPr>
        <w:spacing w:after="0" w:line="190" w:lineRule="exact"/>
        <w:rPr>
          <w:sz w:val="20"/>
          <w:szCs w:val="20"/>
          <w:color w:val="auto"/>
        </w:rPr>
      </w:pPr>
    </w:p>
    <w:p>
      <w:pPr>
        <w:jc w:val="both"/>
        <w:ind w:firstLine="1404"/>
        <w:spacing w:after="0" w:line="258"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the Company SEC Documents and to the knowledge of the Company, any officer and director of the Company or any of its Subsidiaries in their capacities as such, there are no pending or threatened material actions, claims, demands, investigations, examinations, indictments, litigations, suits or other criminal, civil or administrative or investigative proceedings before or by any Governmental Authority or by any other person against the Company or any of its Subsidiaries or any proceedings that seek to restrain or enjoin the consummation of the transactions under the Transaction Agreements.</w:t>
      </w:r>
    </w:p>
    <w:p>
      <w:pPr>
        <w:spacing w:after="0" w:line="183" w:lineRule="exact"/>
        <w:rPr>
          <w:sz w:val="20"/>
          <w:szCs w:val="20"/>
          <w:color w:val="auto"/>
        </w:rPr>
      </w:pPr>
    </w:p>
    <w:p>
      <w:pPr>
        <w:jc w:val="both"/>
        <w:ind w:firstLine="1404"/>
        <w:spacing w:after="0" w:line="258"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Ownership of Assets</w:t>
      </w:r>
      <w:r>
        <w:rPr>
          <w:rFonts w:ascii="Times New Roman" w:cs="Times New Roman" w:eastAsia="Times New Roman" w:hAnsi="Times New Roman"/>
          <w:sz w:val="18"/>
          <w:szCs w:val="18"/>
          <w:color w:val="auto"/>
        </w:rPr>
        <w:t>. The Company and its Subsidiaries have good and marketable title to, or in the case of leased property and assets, have valid leasehold interests in, all property and assets (whether real, personal, tangible or intangible) reflected on the Company’s consolidated unaudited balance sheet as of December 31, 2025 or acquired thereafter, except for properties and assets sold since such date in the ordinary course of business consistent with past practices and except where the failure to have such good and marketable title or valid leasehold interests would not have a Material Adverse Effect.</w:t>
      </w:r>
    </w:p>
    <w:p>
      <w:pPr>
        <w:spacing w:after="0" w:line="183" w:lineRule="exact"/>
        <w:rPr>
          <w:sz w:val="20"/>
          <w:szCs w:val="20"/>
          <w:color w:val="auto"/>
        </w:rPr>
      </w:pPr>
    </w:p>
    <w:p>
      <w:pPr>
        <w:jc w:val="both"/>
        <w:ind w:firstLine="1404"/>
        <w:spacing w:after="0" w:line="253"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All registered or unregistered, (i) patents, patentable inventions and other patent rights (including any divisions, continuations, continuations-in-part, reissues, reexaminations and interferences thereof); (ii) trademarks, service marks, trade dress, trade names, taglines, brand names, logos and corporate names and all goodwill related thereto; (iii) copyrights, mask works and designs; (iv) trade secrets, know-how, inventions, processes, procedures, databases, confidential business information and other proprietary information and rights; (v) computer software programs, including all source code, object code, specifications, designs and documentation related thereto; and (vi)domain names, Internet addresses and other computer identifiers, in each case that is material to the business of the Company or any of its Subsidiaries as currently being conducted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is either (a) owned by the Company or one or more of its Subsidiaries or (b) is used by the Company or one or more of its Subsidiaries pursuant to a valid license. To the knowledge of the Company, there are no material infringements or other material violations of any Intellectual Property owned by the Company or any of its Subsidiaries by any third party. The Company and its Subsidiaries have taken all necessary actions to maintain and protect each item of Intellectual Property. The conduct of the business of the Company and its Subsidiaries does not infringe or otherwise violate any intellectual property or other proprietary rights of any other person in material respects, and there is no action pending or, to the knowledge of the Company, threatened alleging any such infringement or violation or challenging the Company’s or any of its Subsidiaries’ rights in or to any Intellectual Property which, either individually or in the aggregate, could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1420"/>
        <w:spacing w:after="0"/>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148"/>
        <w:spacing w:after="0" w:line="253" w:lineRule="auto"/>
        <w:rPr>
          <w:sz w:val="20"/>
          <w:szCs w:val="20"/>
          <w:color w:val="auto"/>
        </w:rPr>
      </w:pPr>
      <w:r>
        <w:rPr>
          <w:rFonts w:ascii="Times New Roman" w:cs="Times New Roman" w:eastAsia="Times New Roman" w:hAnsi="Times New Roman"/>
          <w:sz w:val="18"/>
          <w:szCs w:val="18"/>
          <w:color w:val="auto"/>
        </w:rPr>
        <w:t>(i)         Neither the Company nor any of its Significant Subsidiaries is a party to or bound by any collective bargaining agreement or other labor union contract applicable to persons employed by the Company or any of its Significant Subsidiaries. There are no unfair labor practice complaints pending, or to the knowledge of the Company, threatened, against the Company or any of its Significant Subsidiaries before any Governmental Authority. Each of the Company and its Subsidiaries complies with all Applicable Laws relating to employment and employment practices (including without limitation, terms and conditions of employment, termination of employment, mandatory severance benefits, pension programs, social insurance programs, employee health and safety, equal employment, employment of veterans and the handicapped, and prohibition of discrimination) in all material aspects. There is no material claim with respect to payment of wages, salary, overtime pay, withholding individual income taxes, social security fund or housing fund that has been asserted and is now pending or, to the knowledge of the Company, threatened before any Governmental Authority with respect to any persons currently or formerly employed by the Company or any of its Significant Subsidiaries.</w:t>
      </w:r>
    </w:p>
    <w:p>
      <w:pPr>
        <w:spacing w:after="0" w:line="194" w:lineRule="exact"/>
        <w:rPr>
          <w:sz w:val="20"/>
          <w:szCs w:val="20"/>
          <w:color w:val="auto"/>
        </w:rPr>
      </w:pPr>
    </w:p>
    <w:p>
      <w:pPr>
        <w:jc w:val="both"/>
        <w:ind w:left="640" w:firstLine="1148"/>
        <w:spacing w:after="0" w:line="258" w:lineRule="auto"/>
        <w:rPr>
          <w:sz w:val="20"/>
          <w:szCs w:val="20"/>
          <w:color w:val="auto"/>
        </w:rPr>
      </w:pPr>
      <w:r>
        <w:rPr>
          <w:rFonts w:ascii="Times New Roman" w:cs="Times New Roman" w:eastAsia="Times New Roman" w:hAnsi="Times New Roman"/>
          <w:sz w:val="18"/>
          <w:szCs w:val="18"/>
          <w:color w:val="auto"/>
        </w:rPr>
        <w:t>(ii)        Each Employee Benefit Plan is in compliance in all material respects with its terms and the requirements of all Applicable Laws. All employer and employee contributions to each Employee Benefit Plan required by the terms of such Employee Benefit Plan or by the Applicable Laws have been made, or, if applicable, accrued in accordance with normal accounting practices and in compliance in all material respects with its terms and the requirements of all Applicable Laws. Each Employee Benefit Plan required to be registered has been registered and has been maintained in good standing with applicable Governmental Authorities.</w:t>
      </w:r>
    </w:p>
    <w:p>
      <w:pPr>
        <w:spacing w:after="0" w:line="183" w:lineRule="exact"/>
        <w:rPr>
          <w:sz w:val="20"/>
          <w:szCs w:val="20"/>
          <w:color w:val="auto"/>
        </w:rPr>
      </w:pPr>
    </w:p>
    <w:p>
      <w:pPr>
        <w:jc w:val="both"/>
        <w:ind w:firstLine="1404"/>
        <w:spacing w:after="0" w:line="269" w:lineRule="auto"/>
        <w:rPr>
          <w:sz w:val="20"/>
          <w:szCs w:val="20"/>
          <w:color w:val="auto"/>
        </w:rPr>
      </w:pPr>
      <w:r>
        <w:rPr>
          <w:rFonts w:ascii="Times New Roman" w:cs="Times New Roman" w:eastAsia="Times New Roman" w:hAnsi="Times New Roman"/>
          <w:sz w:val="17"/>
          <w:szCs w:val="17"/>
          <w:color w:val="auto"/>
        </w:rPr>
        <w:t xml:space="preserve">(w)    </w:t>
      </w:r>
      <w:r>
        <w:rPr>
          <w:rFonts w:ascii="Times New Roman" w:cs="Times New Roman" w:eastAsia="Times New Roman" w:hAnsi="Times New Roman"/>
          <w:sz w:val="17"/>
          <w:szCs w:val="17"/>
          <w:u w:val="single" w:color="auto"/>
          <w:color w:val="auto"/>
        </w:rPr>
        <w:t>Tax Status</w:t>
      </w:r>
      <w:r>
        <w:rPr>
          <w:rFonts w:ascii="Times New Roman" w:cs="Times New Roman" w:eastAsia="Times New Roman" w:hAnsi="Times New Roman"/>
          <w:sz w:val="17"/>
          <w:szCs w:val="17"/>
          <w:color w:val="auto"/>
        </w:rPr>
        <w:t>. Except as disclosed in the Company SEC Documents, the Company and each of its Subsidiaries (i) has made or filed in the appropriate jurisdictions all material foreign, federal and state income and all other tax returns required to be filed or maintained in connection with the calculation, determination, assessment or collection of any and all federal, state, local, foreign and other taxes, levies, fees, imposts, duties, governmental fees and charges of whatever kind (including any interest, penalties or additions to the tax imposed in connection therewith or with respect thereto) (each a “</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including all amended returns required as a result of examination adjustments made by any Governmental Authority responsible for the imposition of any Tax (collectively, the “</w:t>
      </w:r>
      <w:r>
        <w:rPr>
          <w:rFonts w:ascii="Times New Roman" w:cs="Times New Roman" w:eastAsia="Times New Roman" w:hAnsi="Times New Roman"/>
          <w:sz w:val="17"/>
          <w:szCs w:val="17"/>
          <w:u w:val="single" w:color="auto"/>
          <w:color w:val="auto"/>
        </w:rPr>
        <w:t>Returns</w:t>
      </w:r>
      <w:r>
        <w:rPr>
          <w:rFonts w:ascii="Times New Roman" w:cs="Times New Roman" w:eastAsia="Times New Roman" w:hAnsi="Times New Roman"/>
          <w:sz w:val="17"/>
          <w:szCs w:val="17"/>
          <w:color w:val="auto"/>
        </w:rPr>
        <w:t>”), and such Returns are true, correct and complete in all material respects, and (ii) has paid all material Taxes and other governmental assessments and charges shown or determined to be due on such Returns, except those being contested or will be contested in good faith. Except as disclosed in the Company SEC Documents, neither the Company nor any of its Subsidiaries has received notice regarding unpaid foreign, federal and state income in any amount or any Taxes in any material amount claimed to be due by the taxing authority of any jurisdiction, and the Company is not aware of any reasonable basis for such claim. No Returns filed by or on behalf of the Company or any of its Subsidiaries with respect to material Taxes are currently being audited, and neither the Company nor any of its Subsidiaries has received notice of any such audit.</w:t>
      </w:r>
    </w:p>
    <w:p>
      <w:pPr>
        <w:spacing w:after="0" w:line="182"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Tax Election</w:t>
      </w:r>
      <w:r>
        <w:rPr>
          <w:rFonts w:ascii="Times New Roman" w:cs="Times New Roman" w:eastAsia="Times New Roman" w:hAnsi="Times New Roman"/>
          <w:sz w:val="18"/>
          <w:szCs w:val="18"/>
          <w:color w:val="auto"/>
        </w:rPr>
        <w:t>. No Tax elections under the income tax laws of the United States have been made with respect to the Company or any of its Subsidiaries. None of the Company or any of its Subsidiaries is, or is at risk of being or becoming, classified as a “passive foreign investment company” or a “controlled foreign corporation” for United States federal income tax purposes.</w:t>
      </w:r>
    </w:p>
    <w:p>
      <w:pPr>
        <w:spacing w:after="0" w:line="176"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Both before and after giving effect to the transactions contemplated by this Agreement and other Transaction Agreements, each of the Company and its Subsidiaries will have adequate capital and liquidity with which to engage in their businesses as currently conducted and as described in the Company SEC Documents.</w:t>
      </w:r>
    </w:p>
    <w:p>
      <w:pPr>
        <w:spacing w:after="0" w:line="176" w:lineRule="exact"/>
        <w:rPr>
          <w:sz w:val="20"/>
          <w:szCs w:val="20"/>
          <w:color w:val="auto"/>
        </w:rPr>
      </w:pPr>
    </w:p>
    <w:p>
      <w:pPr>
        <w:jc w:val="both"/>
        <w:ind w:firstLine="1404"/>
        <w:spacing w:after="0" w:line="261"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All related party transactions required to be disclosed under applicable rules of the NASDAQ Stock Exchange or the applicable securities law have been accurately described in the Company SEC Documents in all material respects. Any such related party transaction was entered into on terms and conditions no less favorable to the Company or its applicable Subsidiary than those applicable in comparable transactions between independent parties acting at arm’s length.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404"/>
        <w:spacing w:after="0" w:line="253"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Each of the Company and its Subsidiaries (i) has at all times complied and are presently in compliance with all applicable Environmental Laws in all material respects; (ii) has not received any notice, demand, claim, letter or request for information, relating to any alleged violation of Environmental Law, or otherwise identifies an environmental concern, health and safety concern or any other concern relating to the security and protection of people, property, flora and fauna relating thereto; (iii) possesses all approvals, consents or authorizations required under Environmental Laws for its business as presently conducted and there are no circumstances that could reasonably be expected to result in any such approvals, consents or authorizations being revoked, terminated, revised, amended or not renewed in the ordinary course of its business. There has been no incident of any occupational disease incurred by any employees of the Company or any of its Subsidiaries due to harmful factors present in their working environment or the nature of their work, and there are no other circumstances or conditions.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w:t>
      </w:r>
    </w:p>
    <w:p>
      <w:pPr>
        <w:spacing w:after="0" w:line="192" w:lineRule="exact"/>
        <w:rPr>
          <w:sz w:val="20"/>
          <w:szCs w:val="20"/>
          <w:color w:val="auto"/>
        </w:rPr>
      </w:pPr>
    </w:p>
    <w:p>
      <w:pPr>
        <w:jc w:val="both"/>
        <w:ind w:firstLine="1412"/>
        <w:spacing w:after="0" w:line="258" w:lineRule="auto"/>
        <w:tabs>
          <w:tab w:leader="none" w:pos="18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application of the net proceeds from the issue and sale of the Convertible Note will not (i) contravene any provision of any current and Applicable Laws or the current constituent documents of the Company or any of its Subsidiaries, (ii) contravene the terms or provisions of, or constitute a default under, any material indenture, mortgage, deed of trust, loan agreement, note, lease or other agreement or instrument currently binding upon the Company or any of its Subsidiaries, or (iii) contravene or violate the terms or provisions of any order or decree of any government entity having jurisdiction over the Company or any Subsidiary.</w:t>
      </w:r>
    </w:p>
    <w:p>
      <w:pPr>
        <w:spacing w:after="0" w:line="1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148"/>
        <w:spacing w:after="0" w:line="254" w:lineRule="auto"/>
        <w:rPr>
          <w:sz w:val="20"/>
          <w:szCs w:val="20"/>
          <w:color w:val="auto"/>
        </w:rPr>
      </w:pPr>
      <w:r>
        <w:rPr>
          <w:rFonts w:ascii="Times New Roman" w:cs="Times New Roman" w:eastAsia="Times New Roman" w:hAnsi="Times New Roman"/>
          <w:sz w:val="18"/>
          <w:szCs w:val="18"/>
          <w:color w:val="auto"/>
        </w:rPr>
        <w:t>(i)        None of the Company, any of its Subsidiaries, or any director or officer thereof, or, to the Company's knowledge, any agent, affiliate, employee or other representative of the Company or any of its Subsidiaries, is a Person that is, or is owned or controlled by one or more Persons that are: (A) the subject of any sanctions administered or enforced by the U.S. Department of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U.S. Department of State, the United Nations Security Council (“</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u w:val="single" w:color="auto"/>
          <w:color w:val="auto"/>
        </w:rPr>
        <w:t>EU</w:t>
      </w:r>
      <w:r>
        <w:rPr>
          <w:rFonts w:ascii="Times New Roman" w:cs="Times New Roman" w:eastAsia="Times New Roman" w:hAnsi="Times New Roman"/>
          <w:sz w:val="18"/>
          <w:szCs w:val="18"/>
          <w:color w:val="auto"/>
        </w:rPr>
        <w:t>”) (including under Council Regulation (EC) No. 194/2008), Her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the State Secretariat for Economic Affairs,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”),or engaged in any activities sanctionable under the Comprehensive Iran Sanctions, Accountability, and Divestment Act of 2010, the Iran Sanctions Act, the Iran Threat Reduction and Syria Human Rights Act, or any applicable executive order, or (B) located, organized or resident in a country or territory that is the subject of Sanctions (including, without limitation, Crimea, Cuba, Iran, North Korea and Syria).</w:t>
      </w:r>
    </w:p>
    <w:p>
      <w:pPr>
        <w:spacing w:after="0" w:line="188" w:lineRule="exact"/>
        <w:rPr>
          <w:sz w:val="20"/>
          <w:szCs w:val="20"/>
          <w:color w:val="auto"/>
        </w:rPr>
      </w:pPr>
    </w:p>
    <w:p>
      <w:pPr>
        <w:jc w:val="both"/>
        <w:ind w:left="640" w:firstLine="1148"/>
        <w:spacing w:after="0" w:line="258" w:lineRule="auto"/>
        <w:rPr>
          <w:sz w:val="20"/>
          <w:szCs w:val="20"/>
          <w:color w:val="auto"/>
        </w:rPr>
      </w:pPr>
      <w:r>
        <w:rPr>
          <w:rFonts w:ascii="Times New Roman" w:cs="Times New Roman" w:eastAsia="Times New Roman" w:hAnsi="Times New Roman"/>
          <w:sz w:val="18"/>
          <w:szCs w:val="18"/>
          <w:color w:val="auto"/>
        </w:rPr>
        <w:t>(ii)        The Company will not, directly or indirectly, use the proceeds of the offering received by the Company, or lend, contribute or otherwise make available such proceeds to any Subsidiary, Affiliate, joint venture partner or other Person: (A) to fund or facilitate any activities or business of or with any Person or in any country or territory that, at the time of such funding or facilitation, is the subject of Sanctions; or (B) in any other manner that will result in a violation of Sanctions by any Person (including any Person participating in the offering, whether as underwriter, advisor, investor or otherwise).</w:t>
      </w:r>
    </w:p>
    <w:p>
      <w:pPr>
        <w:spacing w:after="0" w:line="183" w:lineRule="exact"/>
        <w:rPr>
          <w:sz w:val="20"/>
          <w:szCs w:val="20"/>
          <w:color w:val="auto"/>
        </w:rPr>
      </w:pPr>
    </w:p>
    <w:p>
      <w:pPr>
        <w:jc w:val="both"/>
        <w:ind w:left="640" w:firstLine="1148"/>
        <w:spacing w:after="0" w:line="266" w:lineRule="auto"/>
        <w:rPr>
          <w:sz w:val="20"/>
          <w:szCs w:val="20"/>
          <w:color w:val="auto"/>
        </w:rPr>
      </w:pPr>
      <w:r>
        <w:rPr>
          <w:rFonts w:ascii="Times New Roman" w:cs="Times New Roman" w:eastAsia="Times New Roman" w:hAnsi="Times New Roman"/>
          <w:sz w:val="18"/>
          <w:szCs w:val="18"/>
          <w:color w:val="auto"/>
        </w:rPr>
        <w:t>(iii)       For the past five (5) years, the Company and its Subsidiaries have not knowingly engaged in, are not now knowingly engaged in, and will not knowingly engage in, any dealings or transactions with any Person, or in any country or territory, that at the time of the dealing or transaction is or was the subject of Sanctions.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404"/>
        <w:spacing w:after="0" w:line="252"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No Stamp Duty</w:t>
      </w:r>
      <w:r>
        <w:rPr>
          <w:rFonts w:ascii="Times New Roman" w:cs="Times New Roman" w:eastAsia="Times New Roman" w:hAnsi="Times New Roman"/>
          <w:sz w:val="18"/>
          <w:szCs w:val="18"/>
          <w:color w:val="auto"/>
        </w:rPr>
        <w:t>. Except as disclosed in the Company SEC Documents, no stamp, documentary, issuance, registration, transfer, withholding, capital gains, income or other taxes or duties are payable by or on behalf of the Purchasers, the Company or any of its Subsidiaries in the Cayman Islands, the PRC, any other jurisdiction in which the Company is organized, incorporated, engaged in business for tax purposes or is otherwise resident for tax purposes, any jurisdiction from or through which a payment is made by or on behalf of the Company or any political subdivision thereof or therein having the authority to tax, in connection with (i) the execution, delivery or consummation of, or consummation of the transactions contemplated by, this Agreement, the Convertible Note, (ii) the creation, allotment and issuance of the Ordinary Shares represented by the Underlying ADSs to be issued upon conversion of the Conversion Shares, (iii) the deposit with the Depositary of the Ordinary Shares represented by the Underlying ADSs by the Company against the issuance of ADRs evidencing the Underlying ADSs, (iv) the issuance and delivery of the Underlying ADSs, when issued by the Company upon conversion of the Conversion Shares, (v) the issuance, sale and delivery of the Conversion Shares to or for the accounts of the Purchaser, or</w:t>
      </w:r>
    </w:p>
    <w:p>
      <w:pPr>
        <w:spacing w:after="0" w:line="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and delivery of the Conversion Shares by the Purchaser in the manner contemplated herein.</w:t>
      </w:r>
    </w:p>
    <w:p>
      <w:pPr>
        <w:spacing w:after="0" w:line="206" w:lineRule="exact"/>
        <w:rPr>
          <w:rFonts w:ascii="Times New Roman" w:cs="Times New Roman" w:eastAsia="Times New Roman" w:hAnsi="Times New Roman"/>
          <w:sz w:val="18"/>
          <w:szCs w:val="18"/>
          <w:color w:val="auto"/>
        </w:rPr>
      </w:pPr>
    </w:p>
    <w:p>
      <w:pPr>
        <w:jc w:val="both"/>
        <w:ind w:firstLine="1412"/>
        <w:spacing w:after="0" w:line="266" w:lineRule="auto"/>
        <w:tabs>
          <w:tab w:leader="none" w:pos="177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 material labor dispute with the employees of the Company or any of its Subsidiaries exists, except as described in the Company SEC Documents, or, to the knowledge of the Company, is imminent; and, to the Company’s knowledge, there is no existing, threatened or imminent labor disturbance by the employees of any of its principal suppliers, manufacturers or contractors that could have a Material Adverse Effect.</w:t>
      </w:r>
    </w:p>
    <w:p>
      <w:pPr>
        <w:spacing w:after="0" w:line="176" w:lineRule="exact"/>
        <w:rPr>
          <w:sz w:val="20"/>
          <w:szCs w:val="20"/>
          <w:color w:val="auto"/>
        </w:rPr>
      </w:pPr>
    </w:p>
    <w:p>
      <w:pPr>
        <w:jc w:val="both"/>
        <w:ind w:firstLine="1404"/>
        <w:spacing w:after="0" w:line="256" w:lineRule="auto"/>
        <w:rPr>
          <w:sz w:val="20"/>
          <w:szCs w:val="20"/>
          <w:color w:val="auto"/>
        </w:rPr>
      </w:pPr>
      <w:r>
        <w:rPr>
          <w:rFonts w:ascii="Times New Roman" w:cs="Times New Roman" w:eastAsia="Times New Roman" w:hAnsi="Times New Roman"/>
          <w:sz w:val="18"/>
          <w:szCs w:val="18"/>
          <w:color w:val="auto"/>
        </w:rPr>
        <w:t xml:space="preserve">(ff)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the Company believes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in each case as described in the Company SEC Documents.</w:t>
      </w:r>
    </w:p>
    <w:p>
      <w:pPr>
        <w:spacing w:after="0" w:line="187" w:lineRule="exact"/>
        <w:rPr>
          <w:sz w:val="20"/>
          <w:szCs w:val="20"/>
          <w:color w:val="auto"/>
        </w:rPr>
      </w:pPr>
    </w:p>
    <w:p>
      <w:pPr>
        <w:jc w:val="both"/>
        <w:ind w:firstLine="1412"/>
        <w:spacing w:after="0" w:line="266" w:lineRule="auto"/>
        <w:tabs>
          <w:tab w:leader="none" w:pos="17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Side Agreement</w:t>
      </w:r>
      <w:r>
        <w:rPr>
          <w:rFonts w:ascii="Times New Roman" w:cs="Times New Roman" w:eastAsia="Times New Roman" w:hAnsi="Times New Roman"/>
          <w:sz w:val="18"/>
          <w:szCs w:val="18"/>
          <w:color w:val="auto"/>
        </w:rPr>
        <w:t>. None of the Company nor any of its Subsidiaries has entered into any side agreement, side letter or any other agreements or documents or consummated any transactions referred to in Section 5.03 of which true and accurate copies of such agreements or documents, or materials related to such transactions have not been provided to the Purchaser.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The Purchaser hereby represents and warrants to the Company as of the date hereof and as of the Closing, as follows:</w:t>
      </w:r>
    </w:p>
    <w:p>
      <w:pPr>
        <w:spacing w:after="0" w:line="225" w:lineRule="exact"/>
        <w:rPr>
          <w:sz w:val="20"/>
          <w:szCs w:val="20"/>
          <w:color w:val="auto"/>
        </w:rPr>
      </w:pPr>
    </w:p>
    <w:p>
      <w:pPr>
        <w:jc w:val="both"/>
        <w:ind w:firstLine="1404"/>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Due Formation</w:t>
      </w:r>
      <w:r>
        <w:rPr>
          <w:rFonts w:ascii="Times New Roman" w:cs="Times New Roman" w:eastAsia="Times New Roman" w:hAnsi="Times New Roman"/>
          <w:sz w:val="18"/>
          <w:szCs w:val="18"/>
          <w:color w:val="auto"/>
        </w:rPr>
        <w:t>. The Purchaser is duly formed, validly existing and in good standing in the jurisdiction of its organization. The Purchaser has all requisite power and authority to carry on its business as it is currently being conducted.</w:t>
      </w:r>
    </w:p>
    <w:p>
      <w:pPr>
        <w:spacing w:after="0" w:line="162" w:lineRule="exact"/>
        <w:rPr>
          <w:sz w:val="20"/>
          <w:szCs w:val="20"/>
          <w:color w:val="auto"/>
        </w:rPr>
      </w:pPr>
    </w:p>
    <w:p>
      <w:pPr>
        <w:jc w:val="both"/>
        <w:ind w:firstLine="1404"/>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 The Purchaser has full power and authority to enter into, execute and deliver this Agreement and other Transaction Agreements to which it is to become a party and each other agreement, certificate, document and instrument to be executed and delivered by the Purchaser pursuant to this Agreement and each other Transaction Agreement and to perform its obligations hereunder and thereunder. The execution and delivery by the Purchaser of this Agreement and each other Transaction Agreement to which it is or is to become a party and the performance by the Purchaser of its obligations hereunder and thereunder have been duly authorized by all requisite actions on its part.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404"/>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Valid Agreement</w:t>
      </w:r>
      <w:r>
        <w:rPr>
          <w:rFonts w:ascii="Times New Roman" w:cs="Times New Roman" w:eastAsia="Times New Roman" w:hAnsi="Times New Roman"/>
          <w:sz w:val="18"/>
          <w:szCs w:val="18"/>
          <w:color w:val="auto"/>
        </w:rPr>
        <w:t>. This Agreement has been, and each other Transaction Agreement to which it is to become a party will be, duly executed and delivered by the Purchaser and, assuming the due authorization, execution and delivery by the Company, constitutes (or, when executed and delivered in accordance herewith will constitute), the legal, valid and binding obligation of the Purchaser, enforceable against the Purchaser in accordance with its terms, subject to the Bankruptcy and Equity Exception and except as limited bylaws relating to the availability of specific performance, injunctive relief, or other equitable remedies.</w:t>
      </w:r>
    </w:p>
    <w:p>
      <w:pPr>
        <w:spacing w:after="0" w:line="183" w:lineRule="exact"/>
        <w:rPr>
          <w:sz w:val="20"/>
          <w:szCs w:val="20"/>
          <w:color w:val="auto"/>
        </w:rPr>
      </w:pPr>
    </w:p>
    <w:p>
      <w:pPr>
        <w:jc w:val="both"/>
        <w:ind w:firstLine="1404"/>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Non-contravention</w:t>
      </w:r>
      <w:r>
        <w:rPr>
          <w:rFonts w:ascii="Times New Roman" w:cs="Times New Roman" w:eastAsia="Times New Roman" w:hAnsi="Times New Roman"/>
          <w:sz w:val="18"/>
          <w:szCs w:val="18"/>
          <w:color w:val="auto"/>
        </w:rPr>
        <w:t>. None of the execution and the delivery of this Agreement or any other Transaction Agreement, nor the consummation of the transactions contemplated hereby or thereby, by the Purchaser will violate any provision of the organizational documents of the Purchaser or violate any constitution, statute, regulation, rule, injunction, judgment, order, decree, ruling, charge, or other restriction of any government, governmental entity or court to which the Purchaser is subject.</w:t>
      </w:r>
    </w:p>
    <w:p>
      <w:pPr>
        <w:spacing w:after="0" w:line="180" w:lineRule="exact"/>
        <w:rPr>
          <w:sz w:val="20"/>
          <w:szCs w:val="20"/>
          <w:color w:val="auto"/>
        </w:rPr>
      </w:pPr>
    </w:p>
    <w:p>
      <w:pPr>
        <w:jc w:val="both"/>
        <w:ind w:firstLine="1404"/>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None of the execution and delivery by the Purchaser of this Agreement and the Transaction Agreements to which the Purchaser is to become a Party, nor the consummation by the Purchaser of any of the transactions contemplated hereby or thereby, nor the performance by the Purchaser of this Agreements or any such Transaction Agreement in accordance with its terms requires the consent, approval, order or authorization of, or registration with, or the giving notice to, any governmental or public body or authority or any third party, except such as have been or will have been obtained, made or given at or prior to the Closing.</w:t>
      </w:r>
    </w:p>
    <w:p>
      <w:pPr>
        <w:spacing w:after="0" w:line="1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Status and Investment Intent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148"/>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The Purchaser has sufficient knowledge and experience in financial and business matters so as to be capable of evaluating the merits and risks of its investment in the Convertible Note. The Purchaser is capable of bearing the economic risks of such investment, including a complete loss of its investment.</w:t>
      </w:r>
    </w:p>
    <w:p>
      <w:pPr>
        <w:spacing w:after="0" w:line="176" w:lineRule="exact"/>
        <w:rPr>
          <w:sz w:val="20"/>
          <w:szCs w:val="20"/>
          <w:color w:val="auto"/>
        </w:rPr>
      </w:pPr>
    </w:p>
    <w:p>
      <w:pPr>
        <w:jc w:val="both"/>
        <w:ind w:left="640" w:firstLine="1148"/>
        <w:spacing w:after="0" w:line="26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The Purchaser is acquiring the Convertible Note pursuant to this Agreement for investment for its own account for investment purposes only and not with the view to, or with any intention of, resale, distribution or other disposition thereof in a manner that would violate the registration requirements of the Securities Act.</w:t>
      </w:r>
    </w:p>
    <w:p>
      <w:pPr>
        <w:spacing w:after="0" w:line="176" w:lineRule="exact"/>
        <w:rPr>
          <w:sz w:val="20"/>
          <w:szCs w:val="20"/>
          <w:color w:val="auto"/>
        </w:rPr>
      </w:pPr>
    </w:p>
    <w:p>
      <w:pPr>
        <w:jc w:val="both"/>
        <w:ind w:left="640" w:firstLine="1148"/>
        <w:spacing w:after="0" w:line="261"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Purchaser acknowledges that the Convertible Note is “restricted securities” that have not been registered under the Securities Act or any applicable state securities law. The Purchaser further acknowledges that, absent an effective registration under the Securities Act, the Securities may only be offered, sold or otherwise transferred (x) to the Company, (y) outside the United States in accordance with Rule 904 of Regulation S under the Securities Act, or (z) pursuant to an exemption from registration under the Securities Act.</w:t>
      </w:r>
    </w:p>
    <w:p>
      <w:pPr>
        <w:spacing w:after="0" w:line="180" w:lineRule="exact"/>
        <w:rPr>
          <w:sz w:val="20"/>
          <w:szCs w:val="20"/>
          <w:color w:val="auto"/>
        </w:rPr>
      </w:pPr>
    </w:p>
    <w:p>
      <w:pPr>
        <w:jc w:val="both"/>
        <w:ind w:left="640" w:right="20" w:firstLine="1148"/>
        <w:spacing w:after="0" w:line="28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Not a U.S. Person</w:t>
      </w:r>
      <w:r>
        <w:rPr>
          <w:rFonts w:ascii="Times New Roman" w:cs="Times New Roman" w:eastAsia="Times New Roman" w:hAnsi="Times New Roman"/>
          <w:sz w:val="18"/>
          <w:szCs w:val="18"/>
          <w:color w:val="auto"/>
        </w:rPr>
        <w:t>. The Purchaser is either (i) not a “U.S. person” as defined in Rule 902 of Regulation S, or (ii) an “accredited investor” within the meaning of Rule 501(a) under Regulation D of the Securities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Conduct of Business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From the date hereof until the Closing Date,</w:t>
      </w:r>
    </w:p>
    <w:p>
      <w:pPr>
        <w:spacing w:after="0" w:line="225"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 xml:space="preserve">(a)     the Company shall, and the Company shall cause each of its Subsidiaries to (i) conduct its business and operations in the ordinary course of business consistent with past practice, and (ii) not take any action, or omit to take any action, that would reasonably be expected to make any of its representations and warranties in this Agreement untrue such that the Condition set out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would not be satisfied at the Closing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404"/>
        <w:spacing w:after="0" w:line="261" w:lineRule="auto"/>
        <w:rPr>
          <w:sz w:val="20"/>
          <w:szCs w:val="20"/>
          <w:color w:val="auto"/>
        </w:rPr>
      </w:pPr>
      <w:r>
        <w:rPr>
          <w:rFonts w:ascii="Times New Roman" w:cs="Times New Roman" w:eastAsia="Times New Roman" w:hAnsi="Times New Roman"/>
          <w:sz w:val="18"/>
          <w:szCs w:val="18"/>
          <w:color w:val="auto"/>
        </w:rPr>
        <w:t>(b)     the Company shall (i) take all actions necessary to continue the listing and trading of its ADSs on the NASDAQ Stock Exchange and shall comply with the Company’s reporting, filing and other obligations under the rules of the NASDAQ Stock Exchange, and (ii) file with the NASDAQ Stock Exchange a supplemental listing application in respect of the Conversion Shares, when issued and delivered in the manner contemplated by the Convertible Note; and</w:t>
      </w:r>
    </w:p>
    <w:p>
      <w:pPr>
        <w:spacing w:after="0" w:line="180" w:lineRule="exact"/>
        <w:rPr>
          <w:sz w:val="20"/>
          <w:szCs w:val="20"/>
          <w:color w:val="auto"/>
        </w:rPr>
      </w:pPr>
    </w:p>
    <w:p>
      <w:pPr>
        <w:jc w:val="both"/>
        <w:ind w:firstLine="1404"/>
        <w:spacing w:after="0" w:line="282" w:lineRule="auto"/>
        <w:rPr>
          <w:sz w:val="20"/>
          <w:szCs w:val="20"/>
          <w:color w:val="auto"/>
        </w:rPr>
      </w:pPr>
      <w:r>
        <w:rPr>
          <w:rFonts w:ascii="Times New Roman" w:cs="Times New Roman" w:eastAsia="Times New Roman" w:hAnsi="Times New Roman"/>
          <w:sz w:val="18"/>
          <w:szCs w:val="18"/>
          <w:color w:val="auto"/>
        </w:rPr>
        <w:t>(c)     the Company shall promptly notify the Purchaser of any event, condition or circumstance occurring prior to the Closing Date that would constitute a breach of any terms and conditions contained in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FPI Status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54" w:lineRule="auto"/>
        <w:rPr>
          <w:sz w:val="20"/>
          <w:szCs w:val="20"/>
          <w:color w:val="auto"/>
        </w:rPr>
      </w:pPr>
      <w:r>
        <w:rPr>
          <w:rFonts w:ascii="Times New Roman" w:cs="Times New Roman" w:eastAsia="Times New Roman" w:hAnsi="Times New Roman"/>
          <w:sz w:val="18"/>
          <w:szCs w:val="18"/>
          <w:color w:val="auto"/>
        </w:rPr>
        <w:t>Without limiting the generality of the foregoing, the Company shall promptly after the date hereof and reasonably prior to the Closing take all necessary or desirable actions required to duly and validly rely on the exemption for foreign private issuers from applicable rules and regulations of the NASDAQ Stock Exchange with respect to corporate governance to rely on “home country practice” in connection with the transactions contemplated hereunder (including an exemption from any NASDAQ Stock Exchange rules that would otherwise require seeking shareholder approval in respect of such transactions), including without limitation, to the extent necessary, making disclosures, notices and filings to or with the SEC and NASDAQ Stock Exchange and obtaining an adequate opinion of counsel in respect of the home country practice exemption. The Company will use commercially reasonable efforts to continue the listing and trading of its ADSs on the NASDAQ Stock Exchange and, in accordance, therewith, will use commercially reasonable efforts to comply in all respects with the Company’s reporting, filing and other obligations under the bylaws or rules of such market or exchange, as applicable.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Other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53" w:lineRule="auto"/>
        <w:rPr>
          <w:sz w:val="20"/>
          <w:szCs w:val="20"/>
          <w:color w:val="auto"/>
        </w:rPr>
      </w:pPr>
      <w:r>
        <w:rPr>
          <w:rFonts w:ascii="Times New Roman" w:cs="Times New Roman" w:eastAsia="Times New Roman" w:hAnsi="Times New Roman"/>
          <w:sz w:val="18"/>
          <w:szCs w:val="18"/>
          <w:color w:val="auto"/>
        </w:rPr>
        <w:t>During the period from the date of this Agreement and continuing until the earlier of the termination of this Agreement pursuant to Section 7.14 hereof or six (6) months after the Closing Date (such period, the “</w:t>
      </w:r>
      <w:r>
        <w:rPr>
          <w:rFonts w:ascii="Times New Roman" w:cs="Times New Roman" w:eastAsia="Times New Roman" w:hAnsi="Times New Roman"/>
          <w:sz w:val="18"/>
          <w:szCs w:val="18"/>
          <w:u w:val="single" w:color="auto"/>
          <w:color w:val="auto"/>
        </w:rPr>
        <w:t>MFN Period</w:t>
      </w:r>
      <w:r>
        <w:rPr>
          <w:rFonts w:ascii="Times New Roman" w:cs="Times New Roman" w:eastAsia="Times New Roman" w:hAnsi="Times New Roman"/>
          <w:sz w:val="18"/>
          <w:szCs w:val="18"/>
          <w:color w:val="auto"/>
        </w:rPr>
        <w:t xml:space="preserve">”), the Company agrees not, without the consent of the Purchaser, to initiate, solicit, encourage or engage in any discussion or negotiation of any type with, provide any information to, accept any proposal from, or enter into any letter of intent, purchase contract or any other similar agreement, or consummate any transaction, with any Persons other than the Purchaser with respect to the issuance, sale, grant, transfer, purchase or other acquisition by any such Person of, other than pursuant to the Employee Benefit Plan effective as at the date of this Agreement), (i) any convertible note that contains terms and conditions with respect to the subscription or purchase of securities of the Company, or has the effect of establishing any investor or shareholder rights or benefits to such Person, that are in each case more favorable than the comparable terms and conditions or rights or benefits of the Purchaser under this Agreement or the other Transaction Agreements, or (ii) any other Company Securities that have the effect of establishing any investor or shareholder rights or benefits to such Person, that are in each case more favorable than the comparable investor or shareholder rights or benefits to which the Purchaser is entitled upon its exercise of the conversion right, except pursuant to the ATW 2025 CB Purchase Agreement. During the MFN Period, the Company undertakes not to, and cause all of its Subsidiaries not to, enter into any agreement, side letter or any other agreements or documents or consummate any transactions referred to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of which true and accurate copies of such agreements or documents, or materials relating to such transactions shall have not been provided to the Purchaser.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82" w:lineRule="auto"/>
        <w:rPr>
          <w:sz w:val="20"/>
          <w:szCs w:val="20"/>
          <w:color w:val="auto"/>
        </w:rPr>
      </w:pPr>
      <w:r>
        <w:rPr>
          <w:rFonts w:ascii="Times New Roman" w:cs="Times New Roman" w:eastAsia="Times New Roman" w:hAnsi="Times New Roman"/>
          <w:sz w:val="18"/>
          <w:szCs w:val="18"/>
          <w:color w:val="auto"/>
        </w:rPr>
        <w:t>From the date of this Agreement until the Closing, the Parties shall each use their respective reasonable best efforts to fulfill or obtain the fulfillment of the condition precedent to the consummation of the transactions contemplated hereby and by the Transaction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No Contract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56" w:lineRule="auto"/>
        <w:rPr>
          <w:sz w:val="20"/>
          <w:szCs w:val="20"/>
          <w:color w:val="auto"/>
        </w:rPr>
      </w:pPr>
      <w:r>
        <w:rPr>
          <w:rFonts w:ascii="Times New Roman" w:cs="Times New Roman" w:eastAsia="Times New Roman" w:hAnsi="Times New Roman"/>
          <w:sz w:val="18"/>
          <w:szCs w:val="18"/>
          <w:color w:val="auto"/>
        </w:rPr>
        <w:t>Without limiting the generality of the foregoing, the Company agrees that from the date hereof until the Closing Date, it shall not make (or otherwise enter into any contract with respect to) (x) any material change in any method of accounting or accounting practice by the Company or any of its Subsidiaries; (y) any declaration, setting aside or payment of any dividend or other distribution with respect to any securities of the Company or any of its Subsidiaries (except for dividends or other distributions by any Subsidiary to the Company or to any of the Company’s Subsidiaries) or (z) any redemption, repurchase or other acquisition of any share capital of the Company or any of its Subsidiaries, except in each case for the avoidance of doubt as contemplated by the Transaction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82" w:lineRule="auto"/>
        <w:rPr>
          <w:sz w:val="20"/>
          <w:szCs w:val="20"/>
          <w:color w:val="auto"/>
        </w:rPr>
      </w:pPr>
      <w:r>
        <w:rPr>
          <w:rFonts w:ascii="Times New Roman" w:cs="Times New Roman" w:eastAsia="Times New Roman" w:hAnsi="Times New Roman"/>
          <w:sz w:val="18"/>
          <w:szCs w:val="18"/>
          <w:color w:val="auto"/>
        </w:rPr>
        <w:t>The Company shall ensure that it has sufficient number of duly authorized Ordinary Shares to comply with its obligations to issue the Conversion Shares pursuant to the terms of the Convertible Note.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66" w:lineRule="auto"/>
        <w:rPr>
          <w:sz w:val="20"/>
          <w:szCs w:val="20"/>
          <w:color w:val="auto"/>
        </w:rPr>
      </w:pPr>
      <w:r>
        <w:rPr>
          <w:rFonts w:ascii="Times New Roman" w:cs="Times New Roman" w:eastAsia="Times New Roman" w:hAnsi="Times New Roman"/>
          <w:sz w:val="18"/>
          <w:szCs w:val="18"/>
          <w:color w:val="auto"/>
        </w:rPr>
        <w:t>The Company shall not, and shall cause its Affiliates and any Person acting on its or their behalf not to, directly or indirectly, make any offers or sales of any security or solicit any offers to buy any security, under circumstances that would require registration of the issuance of any of the Convertible Note (and, when issued, the Conversion Shares) under the Securities Act whether through integration with prior offerings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66" w:lineRule="auto"/>
        <w:rPr>
          <w:sz w:val="20"/>
          <w:szCs w:val="20"/>
          <w:color w:val="auto"/>
        </w:rPr>
      </w:pPr>
      <w:r>
        <w:rPr>
          <w:rFonts w:ascii="Times New Roman" w:cs="Times New Roman" w:eastAsia="Times New Roman" w:hAnsi="Times New Roman"/>
          <w:sz w:val="18"/>
          <w:szCs w:val="18"/>
          <w:color w:val="auto"/>
        </w:rPr>
        <w:t>The Company undertakes to reserve and dedicate the proceeds from the issue and sale of the Convertible Note solely for capital expenditure and/or other working capital purpose in connection with the Company’s daily operations, and/or any other purposes as approved by the Purchaser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CSRC Filing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82" w:lineRule="auto"/>
        <w:rPr>
          <w:sz w:val="20"/>
          <w:szCs w:val="20"/>
          <w:color w:val="auto"/>
        </w:rPr>
      </w:pPr>
      <w:r>
        <w:rPr>
          <w:rFonts w:ascii="Times New Roman" w:cs="Times New Roman" w:eastAsia="Times New Roman" w:hAnsi="Times New Roman"/>
          <w:sz w:val="18"/>
          <w:szCs w:val="18"/>
          <w:color w:val="auto"/>
        </w:rPr>
        <w:t>From and after the Closing Date, the Company shall comply with all requirements and timely submit all requisite filings in connection with the transactions contemplated by this Agreement with the CSRC in accordance with the relevant CSRC filing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Registration Right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66" w:lineRule="auto"/>
        <w:rPr>
          <w:sz w:val="20"/>
          <w:szCs w:val="20"/>
          <w:color w:val="auto"/>
        </w:rPr>
      </w:pPr>
      <w:r>
        <w:rPr>
          <w:rFonts w:ascii="Times New Roman" w:cs="Times New Roman" w:eastAsia="Times New Roman" w:hAnsi="Times New Roman"/>
          <w:sz w:val="18"/>
          <w:szCs w:val="18"/>
          <w:color w:val="auto"/>
        </w:rPr>
        <w:t>The Purchaser shall be entitled to customary demand and piggyback registration rights similar to other shareholders of the Company as disclosed in the Company SEC Documents. At the request of the Purchaser, the Company shall enter into a customary registration agreement with the Purchaser.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53" w:lineRule="auto"/>
        <w:rPr>
          <w:sz w:val="20"/>
          <w:szCs w:val="20"/>
          <w:color w:val="auto"/>
        </w:rPr>
      </w:pPr>
      <w:r>
        <w:rPr>
          <w:rFonts w:ascii="Times New Roman" w:cs="Times New Roman" w:eastAsia="Times New Roman" w:hAnsi="Times New Roman"/>
          <w:sz w:val="18"/>
          <w:szCs w:val="18"/>
          <w:color w:val="auto"/>
        </w:rPr>
        <w:t xml:space="preserve">From and after the Closing Date and subject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the Company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indemnify and hold the Purchaser, its Affiliates and their respective directors, officers, agents, successors and assigns (collectively,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harmless from and against any losses, claims, damages, liabilities, judgments, fines, obligations, expenses and costs, including but not limited to any investigative, legal and other expenses incurred and any Taxes or levies that may be payable by reason of the indemnification of any indemnifiable loss hereunder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by any Indemnified Party as a result of or arising out of: (i) breach of any representation or warranty of the Indemnifying Party contained in the Transaction Agreements; (ii) violation or nonperformance, partial or total, of any covenant or agreement of the Indemnifying Party contained in the Transaction Agreements; or (iii) any failure of the Indemnifying Party to comply with Applicable Laws in relation to Taxes to the extent required in connection with the transactions contemplated by this Agreement or any other Transaction Agreement and/or any conversion of the Convertible Note. In calculating the amount of any Losses of an Indemnified Party hereunder, there shall be subtracted the amount of any insurance proceeds and third-party payments received by the Indemnified Party with respect to such Losses, if 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Third Party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04"/>
        <w:spacing w:after="0" w:line="257" w:lineRule="auto"/>
        <w:rPr>
          <w:sz w:val="20"/>
          <w:szCs w:val="20"/>
          <w:color w:val="auto"/>
        </w:rPr>
      </w:pPr>
      <w:r>
        <w:rPr>
          <w:rFonts w:ascii="Times New Roman" w:cs="Times New Roman" w:eastAsia="Times New Roman" w:hAnsi="Times New Roman"/>
          <w:sz w:val="18"/>
          <w:szCs w:val="18"/>
          <w:color w:val="auto"/>
        </w:rPr>
        <w:t>(a)     If any third party shall notify any Indemnified Party in writing with respect to any matter involving a claim by such third party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which such Indemnified Party believes would give rise to a claim for indemnification against the Indemnifying Party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then the Indemnified Party shall promptly following receipt of notice of such claim (i) notify the Indemnifying Party thereof in writing and</w:t>
      </w:r>
    </w:p>
    <w:p>
      <w:pPr>
        <w:spacing w:after="0" w:line="1" w:lineRule="exact"/>
        <w:rPr>
          <w:sz w:val="20"/>
          <w:szCs w:val="20"/>
          <w:color w:val="auto"/>
        </w:rPr>
      </w:pPr>
    </w:p>
    <w:p>
      <w:pPr>
        <w:jc w:val="both"/>
        <w:ind w:firstLine="8"/>
        <w:spacing w:after="0" w:line="253" w:lineRule="auto"/>
        <w:tabs>
          <w:tab w:leader="none" w:pos="2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to the Indemnifying Party a written notice (“</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describing in reasonable detail the nature of the Third Party Claim, a copy of all papers served with respect to such claim (if any), and the basis of the Indemnified Party’s request for indemnification under this Agreement. Notwithstanding the foregoing, no failure or delay in providing such notice shall constitute a waiver or otherwise modify the Indemnified Party’s right to indemnity hereunder, except to the extent that the Indemnifying Party shall have been materially prejudiced by such failure or delay.</w:t>
      </w:r>
    </w:p>
    <w:p>
      <w:pPr>
        <w:spacing w:after="0" w:line="189" w:lineRule="exact"/>
        <w:rPr>
          <w:sz w:val="20"/>
          <w:szCs w:val="20"/>
          <w:color w:val="auto"/>
        </w:rPr>
      </w:pPr>
    </w:p>
    <w:p>
      <w:pPr>
        <w:jc w:val="both"/>
        <w:ind w:firstLine="1404"/>
        <w:spacing w:after="0" w:line="254" w:lineRule="auto"/>
        <w:rPr>
          <w:sz w:val="20"/>
          <w:szCs w:val="20"/>
          <w:color w:val="auto"/>
        </w:rPr>
      </w:pPr>
      <w:r>
        <w:rPr>
          <w:rFonts w:ascii="Times New Roman" w:cs="Times New Roman" w:eastAsia="Times New Roman" w:hAnsi="Times New Roman"/>
          <w:sz w:val="18"/>
          <w:szCs w:val="18"/>
          <w:color w:val="auto"/>
        </w:rPr>
        <w:t xml:space="preserve">(b)     Upon receipt of a Claim Notice with respect to a Third Party Claim, the Indemnifying Party shall have the right to assume the defense of any Third Party Claim by, within thirty (30) days of receipt of the Claim Notice, notifying the Indemnified Party in writing that the Indemnifying Party elects to assume the defense of such Third Party Claim, and upon delivery of such notice by the Indemnifying Party, the Indemnifying Party shall have the right to fully control and settle the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settlement or compromise shall be permitted hereunder only with the written consent of the Indemnified Party. Notwithstanding the foregoing, the Indemnifying Party shall not be entitled to assume the defense of any Third Party Claim if (i) the Third Party Claim relates to or arises in connection with any criminal action, (ii) the Third Party Claim seeks an injunction or equitable relief against any Indemnified Party (other than immaterial equitable relief in connection with an award of monetary damages) or (iii) the Indemnifying Party has not acknowledged that such Third Party Claim is subject to indemnification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If the Indemnifying Party assumes the defense of a Third Party Claim pursuant to this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the Indemnifying Party shall conduct such defense in good faith.</w:t>
      </w:r>
    </w:p>
    <w:p>
      <w:pPr>
        <w:spacing w:after="0" w:line="188" w:lineRule="exact"/>
        <w:rPr>
          <w:sz w:val="20"/>
          <w:szCs w:val="20"/>
          <w:color w:val="auto"/>
        </w:rPr>
      </w:pPr>
    </w:p>
    <w:p>
      <w:pPr>
        <w:jc w:val="both"/>
        <w:ind w:firstLine="1404"/>
        <w:spacing w:after="0" w:line="255" w:lineRule="auto"/>
        <w:rPr>
          <w:sz w:val="20"/>
          <w:szCs w:val="20"/>
          <w:color w:val="auto"/>
        </w:rPr>
      </w:pPr>
      <w:r>
        <w:rPr>
          <w:rFonts w:ascii="Times New Roman" w:cs="Times New Roman" w:eastAsia="Times New Roman" w:hAnsi="Times New Roman"/>
          <w:sz w:val="18"/>
          <w:szCs w:val="18"/>
          <w:color w:val="auto"/>
        </w:rPr>
        <w:t xml:space="preserve">(c)     If requested by the Indemnifying Party, the Indemnified Party shall, at the sole cost and expense of the Indemnifying Party, cooperate reasonably with the Indemnifying Party and its counsel in contesting any Third Party Claim which the Indemnifying Party elects to contest, including in connection with the making of any related counterclaim against the person asserting the Third Party Claim or any cross complaint against any person. The Indemnified Party shall have the right to receive copies of all pleadings, notices and communications with respect to any Third Party Claim, other than any privileged communications between the Indemnifying Party and its counsel, and shall be entitled, at its sole cost and expense, to retain separate co-counsel and participate in, but not control, any defense or settlement of any Third Party Claim assumed by the Indemnifying Party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404"/>
        <w:spacing w:after="0" w:line="261" w:lineRule="auto"/>
        <w:rPr>
          <w:sz w:val="20"/>
          <w:szCs w:val="20"/>
          <w:color w:val="auto"/>
        </w:rPr>
      </w:pPr>
      <w:r>
        <w:rPr>
          <w:rFonts w:ascii="Times New Roman" w:cs="Times New Roman" w:eastAsia="Times New Roman" w:hAnsi="Times New Roman"/>
          <w:sz w:val="18"/>
          <w:szCs w:val="18"/>
          <w:color w:val="auto"/>
        </w:rPr>
        <w:t>(d)     In the event of a Third Party Claim for which the Indemnifying Party elects not to assume the defense or fails to make such an election within the 30 days of the Claim Notice, the Indemnified Party may, at its option, defend, settle, compromise or pay such action or claim at the expense of the Indemnifying Party; provided, that any such settlement or compromise shall be permitted hereunder only with the written consent of the Indemnifying Party, which consent shall not be unreasonably withheld or delayed.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Other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56" w:lineRule="auto"/>
        <w:rPr>
          <w:sz w:val="20"/>
          <w:szCs w:val="20"/>
          <w:color w:val="auto"/>
        </w:rPr>
      </w:pPr>
      <w:r>
        <w:rPr>
          <w:rFonts w:ascii="Times New Roman" w:cs="Times New Roman" w:eastAsia="Times New Roman" w:hAnsi="Times New Roman"/>
          <w:sz w:val="18"/>
          <w:szCs w:val="18"/>
          <w:color w:val="auto"/>
        </w:rPr>
        <w:t>In the event any Indemnified Party should have a claim against the Indemnifying Party hereunder which does not involve a Third Party Claim, the Indemnified Party shall promptly transmit to the Indemnifying Party a written notice (the “</w:t>
      </w:r>
      <w:r>
        <w:rPr>
          <w:rFonts w:ascii="Times New Roman" w:cs="Times New Roman" w:eastAsia="Times New Roman" w:hAnsi="Times New Roman"/>
          <w:sz w:val="18"/>
          <w:szCs w:val="18"/>
          <w:u w:val="single" w:color="auto"/>
          <w:color w:val="auto"/>
        </w:rPr>
        <w:t>Indemnity Notice</w:t>
      </w:r>
      <w:r>
        <w:rPr>
          <w:rFonts w:ascii="Times New Roman" w:cs="Times New Roman" w:eastAsia="Times New Roman" w:hAnsi="Times New Roman"/>
          <w:sz w:val="18"/>
          <w:szCs w:val="18"/>
          <w:color w:val="auto"/>
        </w:rPr>
        <w:t>”) describing in reasonable detail the nature of the claim, the Indemnified Party’s best estimate of the amount of Losses attributable to such claim and the basis of the Indemnified Party’s request for indemnification under this Agreement; provided, that no failure or delay in providing such notice shall constitute a waiver or otherwise modify the Indemnified Party’s right to indemnity hereunder, except to the extent that the Indemnifying Party shall have been materially prejudiced by such failure or delay.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Limitation on the Company’s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Absent fraud, intentional misrepresentation or willful breach on the part of the Company:</w:t>
      </w:r>
    </w:p>
    <w:p>
      <w:pPr>
        <w:spacing w:after="0" w:line="225" w:lineRule="exact"/>
        <w:rPr>
          <w:sz w:val="20"/>
          <w:szCs w:val="20"/>
          <w:color w:val="auto"/>
        </w:rPr>
      </w:pPr>
    </w:p>
    <w:p>
      <w:pPr>
        <w:jc w:val="both"/>
        <w:ind w:firstLine="1404"/>
        <w:spacing w:after="0" w:line="261" w:lineRule="auto"/>
        <w:rPr>
          <w:sz w:val="20"/>
          <w:szCs w:val="20"/>
          <w:color w:val="auto"/>
        </w:rPr>
      </w:pPr>
      <w:r>
        <w:rPr>
          <w:rFonts w:ascii="Times New Roman" w:cs="Times New Roman" w:eastAsia="Times New Roman" w:hAnsi="Times New Roman"/>
          <w:sz w:val="18"/>
          <w:szCs w:val="18"/>
          <w:color w:val="auto"/>
        </w:rPr>
        <w:t>(a)     the Indemnifying Party shall have no liability to the Indemnified Parties with respect to any breach of any representation or warranty (other than Fundamental Warranties) made by the Company in this Agreement unless the aggregate amount of the Losses suffered or incurred by such Indemnified Parties thereunder exceeds US$1 million, in which case the Indemnifying Party shall be liable to such Indemnified Parties for the full amount of their Losses from dollar one pursuant to Section 6.01;</w:t>
      </w:r>
    </w:p>
    <w:p>
      <w:pPr>
        <w:spacing w:after="0" w:line="180"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(b)     the maximum aggregate liabilities of the Indemnifying Party in respect of Losses suffered by the Indemnified Parties with respect to any breach of any representation or warranty (other than Fundamental Warranties) made by the Company in this Agreement shall not in any event be greater than the Purchase Price; and</w:t>
      </w:r>
    </w:p>
    <w:p>
      <w:pPr>
        <w:spacing w:after="0" w:line="176" w:lineRule="exact"/>
        <w:rPr>
          <w:sz w:val="20"/>
          <w:szCs w:val="20"/>
          <w:color w:val="auto"/>
        </w:rPr>
      </w:pPr>
    </w:p>
    <w:p>
      <w:pPr>
        <w:jc w:val="both"/>
        <w:ind w:firstLine="1404"/>
        <w:spacing w:after="0" w:line="261" w:lineRule="auto"/>
        <w:rPr>
          <w:sz w:val="20"/>
          <w:szCs w:val="20"/>
          <w:color w:val="auto"/>
        </w:rPr>
      </w:pPr>
      <w:r>
        <w:rPr>
          <w:rFonts w:ascii="Times New Roman" w:cs="Times New Roman" w:eastAsia="Times New Roman" w:hAnsi="Times New Roman"/>
          <w:sz w:val="18"/>
          <w:szCs w:val="18"/>
          <w:color w:val="auto"/>
        </w:rPr>
        <w:t xml:space="preserve">(c)     notwithstanding any other provision contained herein, from and after the Closing, the right to indemnity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the sole and exclusive remedy of any of the Indemnified Party for any claims against the Company arising out of or resulting from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Purchaser shall also be entitled to specific performance or other equitable remedies in any court of competent jurisdiction pursuant to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Survival of the Representations and Warranties.</w:t>
      </w:r>
    </w:p>
    <w:p>
      <w:pPr>
        <w:spacing w:after="0" w:line="225" w:lineRule="exact"/>
        <w:rPr>
          <w:sz w:val="20"/>
          <w:szCs w:val="20"/>
          <w:color w:val="auto"/>
        </w:rPr>
      </w:pPr>
    </w:p>
    <w:p>
      <w:pPr>
        <w:jc w:val="both"/>
        <w:ind w:right="20" w:firstLine="1404"/>
        <w:spacing w:after="0" w:line="266" w:lineRule="auto"/>
        <w:rPr>
          <w:sz w:val="20"/>
          <w:szCs w:val="20"/>
          <w:color w:val="auto"/>
        </w:rPr>
      </w:pPr>
      <w:r>
        <w:rPr>
          <w:rFonts w:ascii="Times New Roman" w:cs="Times New Roman" w:eastAsia="Times New Roman" w:hAnsi="Times New Roman"/>
          <w:sz w:val="18"/>
          <w:szCs w:val="18"/>
          <w:color w:val="auto"/>
        </w:rPr>
        <w:t xml:space="preserve">(a)     The Fundamental Warranties shall survive indefinitely or until the latest date permitted by law and the representations contained in </w:t>
      </w:r>
      <w:r>
        <w:rPr>
          <w:rFonts w:ascii="Times New Roman" w:cs="Times New Roman" w:eastAsia="Times New Roman" w:hAnsi="Times New Roman"/>
          <w:sz w:val="18"/>
          <w:szCs w:val="18"/>
          <w:u w:val="single" w:color="auto"/>
          <w:color w:val="auto"/>
        </w:rPr>
        <w:t>Section 4.01(w)</w:t>
      </w:r>
      <w:r>
        <w:rPr>
          <w:rFonts w:ascii="Times New Roman" w:cs="Times New Roman" w:eastAsia="Times New Roman" w:hAnsi="Times New Roman"/>
          <w:sz w:val="18"/>
          <w:szCs w:val="18"/>
          <w:color w:val="auto"/>
        </w:rPr>
        <w:t xml:space="preserve"> shall survive until the expiration of the applicable statute of limitations. All other representations and warranties of the Company contained in this Agreement shall survive the Closing until two (2) years after the Closing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404"/>
        <w:spacing w:after="0" w:line="258" w:lineRule="auto"/>
        <w:rPr>
          <w:sz w:val="20"/>
          <w:szCs w:val="20"/>
          <w:color w:val="auto"/>
        </w:rPr>
      </w:pPr>
      <w:r>
        <w:rPr>
          <w:rFonts w:ascii="Times New Roman" w:cs="Times New Roman" w:eastAsia="Times New Roman" w:hAnsi="Times New Roman"/>
          <w:sz w:val="18"/>
          <w:szCs w:val="18"/>
          <w:color w:val="auto"/>
        </w:rPr>
        <w:t>(b)     Notwithstanding anything to the contrary in the foregoing clauses, (i) any breach of representation or warranty in respect of which indemnity maybe sought under this Agreement shall survive the time at which it would otherwise terminate pursuant to the preceding sentences, if notice of the inaccuracy or breach thereof giving rise to such right of indemnity shall have been given to the party against whom such indemnity may be sought in accordance with this Agreement prior to such time and (ii) any breach of representation or warranty in respect of which indemnity may be sought that was caused as a result of fraud or intentional misrepresentation shall survive until the latest date permitted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Governing Law; Arbitration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54" w:lineRule="auto"/>
        <w:rPr>
          <w:sz w:val="20"/>
          <w:szCs w:val="20"/>
          <w:color w:val="auto"/>
        </w:rPr>
      </w:pPr>
      <w:r>
        <w:rPr>
          <w:rFonts w:ascii="Times New Roman" w:cs="Times New Roman" w:eastAsia="Times New Roman" w:hAnsi="Times New Roman"/>
          <w:sz w:val="18"/>
          <w:szCs w:val="18"/>
          <w:color w:val="auto"/>
        </w:rPr>
        <w:t>This Agreement shall be governed and interpreted in accordance with the laws of Hong Kong. Any dispute arising out of or relating to this Agreement, including any question regarding its existence, validity or termination shall be referred to and finally resolved by arbitration at the Hong Kong International Arbitration Centre in accordance with the Hong Kong International Arbitration Centre Administered Arbitration Rules then in force at the time of commencement of the arbitration. There shall be three (3) arbitrators. The Company shall have the right to appoint one arbitrator, the Purchaser shall have the right to appoint the second arbitrator, and the third arbitrator shall be appointed by the Hong Kong International Arbitration Centre. The language to be used in the arbitration proceedings shall be English. Each of the Parties irrevocably waives any immunity to jurisdiction to which it may be entitled or become entitled (including without limitation sovereign immunity, immunity to pre-award attachment, post-award attachment or otherwise) in any arbitration proceedings and/or enforcement proceedings against it arising out of or based on this Agreement or the transactions contemplated hereby.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82" w:lineRule="auto"/>
        <w:rPr>
          <w:sz w:val="20"/>
          <w:szCs w:val="20"/>
          <w:color w:val="auto"/>
        </w:rPr>
      </w:pPr>
      <w:r>
        <w:rPr>
          <w:rFonts w:ascii="Times New Roman" w:cs="Times New Roman" w:eastAsia="Times New Roman" w:hAnsi="Times New Roman"/>
          <w:sz w:val="18"/>
          <w:szCs w:val="18"/>
          <w:color w:val="auto"/>
        </w:rPr>
        <w:t>A person who is not a party to this Agreement has no right under the Contracts (Rights of Third Parties) Ordinance (Cap. 623) to enforce any term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Acknowledgement.</w:t>
      </w:r>
    </w:p>
    <w:p>
      <w:pPr>
        <w:spacing w:after="0" w:line="225" w:lineRule="exact"/>
        <w:rPr>
          <w:sz w:val="20"/>
          <w:szCs w:val="20"/>
          <w:color w:val="auto"/>
        </w:rPr>
      </w:pPr>
    </w:p>
    <w:p>
      <w:pPr>
        <w:jc w:val="both"/>
        <w:ind w:firstLine="1386"/>
        <w:spacing w:after="0" w:line="282" w:lineRule="auto"/>
        <w:rPr>
          <w:sz w:val="20"/>
          <w:szCs w:val="20"/>
          <w:color w:val="auto"/>
        </w:rPr>
      </w:pPr>
      <w:r>
        <w:rPr>
          <w:rFonts w:ascii="Times New Roman" w:cs="Times New Roman" w:eastAsia="Times New Roman" w:hAnsi="Times New Roman"/>
          <w:sz w:val="18"/>
          <w:szCs w:val="18"/>
          <w:color w:val="auto"/>
        </w:rPr>
        <w:t>The Purchaser acknowledges that it understands that the Company, in issuing the Convertible Note to the Purchaser pursuant to this Agreement, is relying upon the exemption from registration provided by Regulation S under the Securities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This Agreement shall not be amended, changed or modified, except by another agreement in writing executed by the Parties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86"/>
        <w:spacing w:after="0" w:line="282"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each of the Parties and their respective heirs, successors and permitted assigns and legal representatives.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66" w:lineRule="auto"/>
        <w:rPr>
          <w:sz w:val="20"/>
          <w:szCs w:val="20"/>
          <w:color w:val="auto"/>
        </w:rPr>
      </w:pPr>
      <w:r>
        <w:rPr>
          <w:rFonts w:ascii="Times New Roman" w:cs="Times New Roman" w:eastAsia="Times New Roman" w:hAnsi="Times New Roman"/>
          <w:sz w:val="18"/>
          <w:szCs w:val="18"/>
          <w:color w:val="auto"/>
        </w:rPr>
        <w:t>Neither this Agreement nor any of the rights, duties or obligations hereunder may be assigned by the any Party without the express written consent of another Party. Any purported assignment in violation of the foregoing sentence shall be null and void. Notwithstanding the foregoing, the Purchaser may assign its rights and obligations hereunder to any of its Affiliates.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66" w:lineRule="auto"/>
        <w:rPr>
          <w:sz w:val="20"/>
          <w:szCs w:val="20"/>
          <w:color w:val="auto"/>
        </w:rPr>
      </w:pPr>
      <w:r>
        <w:rPr>
          <w:rFonts w:ascii="Times New Roman" w:cs="Times New Roman" w:eastAsia="Times New Roman" w:hAnsi="Times New Roman"/>
          <w:sz w:val="18"/>
          <w:szCs w:val="18"/>
          <w:color w:val="auto"/>
        </w:rPr>
        <w:t>All notices, requests, demands, and other communications under this Agreement shall be in writing and shall be deemed to have been duly given if (a) in writing and served by personal delivery upon the party for whom it is intended; or (b) if delivered by certified mail, registered mail or courier service, return- receipt received to the party at the address set forth below:</w:t>
      </w:r>
    </w:p>
    <w:p>
      <w:pPr>
        <w:spacing w:after="0" w:line="176"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color w:val="auto"/>
        </w:rPr>
        <w:t>If to Company, at:</w:t>
      </w:r>
      <w:r>
        <w:rPr>
          <w:sz w:val="20"/>
          <w:szCs w:val="20"/>
          <w:color w:val="auto"/>
        </w:rPr>
        <w:tab/>
      </w:r>
      <w:r>
        <w:rPr>
          <w:rFonts w:ascii="Times New Roman" w:cs="Times New Roman" w:eastAsia="Times New Roman" w:hAnsi="Times New Roman"/>
          <w:sz w:val="17"/>
          <w:szCs w:val="17"/>
          <w:color w:val="auto"/>
        </w:rPr>
        <w:t>Lotus Technology Inc.</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Address: Zuo'an Avenue, Jun Shan Xin Cheng, Caidian District, Wuhan, Hubei, China</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8"/>
          <w:szCs w:val="18"/>
          <w:color w:val="auto"/>
        </w:rPr>
        <w:t>If to Purchaser, at:</w:t>
      </w:r>
      <w:r>
        <w:rPr>
          <w:sz w:val="20"/>
          <w:szCs w:val="20"/>
          <w:color w:val="auto"/>
        </w:rPr>
        <w:tab/>
      </w:r>
      <w:r>
        <w:rPr>
          <w:rFonts w:ascii="Times New Roman" w:cs="Times New Roman" w:eastAsia="Times New Roman" w:hAnsi="Times New Roman"/>
          <w:sz w:val="17"/>
          <w:szCs w:val="17"/>
          <w:color w:val="auto"/>
        </w:rPr>
        <w:t>Geely International (Hong Kong) Limited</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Address: No.1760 Jiangling Rd, Binjiang District, Hangzhou, Zhejiang, China, 310051</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firstLine="1386"/>
        <w:spacing w:after="0" w:line="266" w:lineRule="auto"/>
        <w:rPr>
          <w:sz w:val="20"/>
          <w:szCs w:val="20"/>
          <w:color w:val="auto"/>
        </w:rPr>
      </w:pPr>
      <w:r>
        <w:rPr>
          <w:rFonts w:ascii="Times New Roman" w:cs="Times New Roman" w:eastAsia="Times New Roman" w:hAnsi="Times New Roman"/>
          <w:sz w:val="18"/>
          <w:szCs w:val="18"/>
          <w:color w:val="auto"/>
        </w:rPr>
        <w:t xml:space="preserve">Any Party may change its address for purposes of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by giving another Party hereto written notice of the new address in the manner set forth above. For the avoidance of doubt, only notice delivered to the address and person of the Parties to this Agreement shall constitute effective notice to such party for the purposes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61" w:lineRule="auto"/>
        <w:rPr>
          <w:sz w:val="20"/>
          <w:szCs w:val="20"/>
          <w:color w:val="auto"/>
        </w:rPr>
      </w:pPr>
      <w:r>
        <w:rPr>
          <w:rFonts w:ascii="Times New Roman" w:cs="Times New Roman" w:eastAsia="Times New Roman" w:hAnsi="Times New Roman"/>
          <w:sz w:val="18"/>
          <w:szCs w:val="18"/>
          <w:color w:val="auto"/>
        </w:rPr>
        <w:t>This Agreement and the other Transaction Agreements including the schedules and exhibits hereto and thereto constitutes the entire understanding and agreement between the Parties with respect to the matters covered hereby and thereby, and all prior agreements and understandings, oral or in writing, if any, between the Parties with respect to the matters covered hereby and thereby are merged and superseded by this Agreement and the other Transaction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61" w:lineRule="auto"/>
        <w:rPr>
          <w:sz w:val="20"/>
          <w:szCs w:val="20"/>
          <w:color w:val="auto"/>
        </w:rPr>
      </w:pPr>
      <w:r>
        <w:rPr>
          <w:rFonts w:ascii="Times New Roman" w:cs="Times New Roman" w:eastAsia="Times New Roman" w:hAnsi="Times New Roman"/>
          <w:sz w:val="18"/>
          <w:szCs w:val="18"/>
          <w:color w:val="auto"/>
        </w:rPr>
        <w:t>If any provisions of this Agreement shall be adjudicated to be illegal, invalid or unenforceable in any action or proceeding whether in its entirety or in any portion, then such provision shall be deemed amended, if possible, or deleted, as the case may be, from the Agreement in order to render the remainder of the Agreement and any provision thereof both valid and enforceable, and all other provisions hereof shall be given effect separately therefrom and shall not be affected thereby.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82" w:lineRule="auto"/>
        <w:rPr>
          <w:sz w:val="20"/>
          <w:szCs w:val="20"/>
          <w:color w:val="auto"/>
        </w:rPr>
      </w:pPr>
      <w:r>
        <w:rPr>
          <w:rFonts w:ascii="Times New Roman" w:cs="Times New Roman" w:eastAsia="Times New Roman" w:hAnsi="Times New Roman"/>
          <w:sz w:val="18"/>
          <w:szCs w:val="18"/>
          <w:color w:val="auto"/>
        </w:rPr>
        <w:t>The Company will reimburse the Purchaser all fees, costs and expenses incurred in connection with the negotiation, preparation and execution of this Agreement and other Transaction Agreements and the transactions contemplated hereby and thereby.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04"/>
        <w:spacing w:after="0" w:line="253" w:lineRule="auto"/>
        <w:rPr>
          <w:sz w:val="20"/>
          <w:szCs w:val="20"/>
          <w:color w:val="auto"/>
        </w:rPr>
      </w:pPr>
      <w:r>
        <w:rPr>
          <w:rFonts w:ascii="Times New Roman" w:cs="Times New Roman" w:eastAsia="Times New Roman" w:hAnsi="Times New Roman"/>
          <w:sz w:val="18"/>
          <w:szCs w:val="18"/>
          <w:color w:val="auto"/>
        </w:rPr>
        <w:t>(a)     Each Party shall keep confidential any non-public material or information with respect to the business, technology, financial conditions, and other aspects of another Party which it is aware of, or have access to, in signing or performing this Agreement (including written or non-written information, hereinafter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Confidential Information shall not include any information that is (a) previously known on a non-confidential basis by the receiving Party, (b) in the public domain through no fault of such receiving Party, its Affiliates or its or its Affiliates’ officers, directors or employees, (c) received from a party other than the Company or the Company’s representatives or agents, so long as such party was not, to the knowledge of the receiving party, subject to a duty of confidentiality to the Company or (d) developed independently by the receiving Party without reference to confidential information of the disclosing party. No Party shall disclose such Confidential Information to any third Party. Either Party may use the Confidential Information only for the purpose of, and to the extent necessary for performing this Agreement; and shall not use such Confidential Information for any other purposes. The Parties hereby agree, for the purpose of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that the existence and terms and conditions of this Agreement and schedule hereof shall be deemed as Confidential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404"/>
        <w:spacing w:after="0" w:line="253" w:lineRule="auto"/>
        <w:rPr>
          <w:sz w:val="20"/>
          <w:szCs w:val="20"/>
          <w:color w:val="auto"/>
        </w:rPr>
      </w:pPr>
      <w:r>
        <w:rPr>
          <w:rFonts w:ascii="Times New Roman" w:cs="Times New Roman" w:eastAsia="Times New Roman" w:hAnsi="Times New Roman"/>
          <w:sz w:val="18"/>
          <w:szCs w:val="18"/>
          <w:color w:val="auto"/>
        </w:rPr>
        <w:t xml:space="preserve">(b)     Notwithstanding any other provisions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if any Party believes in good faith that any announcement or notice must be prepared or published pursuant to Applicable Laws (including any rules or regulations of any securities exchange or valid legal process) or information is otherwise required to be disclosed to any Governmental Authority, such Party may, in accordance with its understanding of the Applicable Laws, make the required disclosure in the manner it deems in compliance with the requirements of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who is required to make such disclosure shall, to the extent permitted by law and so far as it is practicable, provide another Party with prompt notice of such requirement and cooperate with another Party at such another Party’s request and at the requesting Party’s cost, to enable such another Party to seek an appropriate protection order or remedy. In addition, each Party may disclose, after giving prior notice to another Party to the extent practicable under the circumstances and subject to any practicable arrangements to protect confidentiality, Confidential Information to the extent required under judicial or regulatory process or in connection with any judicial process regarding any legal action, suit or proceeding arising out of or relating to this Agreement or any Transaction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who is required to make such disclosure shall, to the extent permitted by law and so far as it is practicable, at another Party’s request and at the requesting Party’s cost, cooperate with another Party to enable such another Party to seek an appropriate protection order or remedy.</w:t>
      </w:r>
    </w:p>
    <w:p>
      <w:pPr>
        <w:spacing w:after="0" w:line="190"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 xml:space="preserve">(c)     Each Party may disclose the Confidential Information only to its Affiliates and its and its Affiliates’ officers, directors, employees, agents and representatives on a need-to-know basis in the performance of the Transaction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Party shall ensure such persons strictly abide by the confidentiality obligations hereunder.</w:t>
      </w:r>
    </w:p>
    <w:p>
      <w:pPr>
        <w:spacing w:after="0" w:line="176" w:lineRule="exact"/>
        <w:rPr>
          <w:sz w:val="20"/>
          <w:szCs w:val="20"/>
          <w:color w:val="auto"/>
        </w:rPr>
      </w:pPr>
    </w:p>
    <w:p>
      <w:pPr>
        <w:jc w:val="both"/>
        <w:ind w:firstLine="1404"/>
        <w:spacing w:after="0" w:line="256" w:lineRule="auto"/>
        <w:rPr>
          <w:sz w:val="20"/>
          <w:szCs w:val="20"/>
          <w:color w:val="auto"/>
        </w:rPr>
      </w:pPr>
      <w:r>
        <w:rPr>
          <w:rFonts w:ascii="Times New Roman" w:cs="Times New Roman" w:eastAsia="Times New Roman" w:hAnsi="Times New Roman"/>
          <w:sz w:val="18"/>
          <w:szCs w:val="18"/>
          <w:color w:val="auto"/>
        </w:rPr>
        <w:t>(d)     Without the prior written consent of the Purchaser (regardless of whether or not the Purchaser is then a shareholder of the Company), the Company shall not, and shall cause its Affiliates not to, (i) use in advertising, publicity, announcements, or otherwise, the name of the Purchaser or any Affiliate of the Purchaser, either alone or in combination with any company name, trade name, trademark, service mark, domain name, device, design, symbol or any abbreviation, contraction or simulation thereof owned or used by the Purchaser or any of its Affiliates, or (ii) represent, directly or indirectly, that any product or services provided by the Company or any of its Affiliates has been approved or endorsed by the Purchaser or any of its Affiliates.</w:t>
      </w:r>
    </w:p>
    <w:p>
      <w:pPr>
        <w:spacing w:after="0" w:line="187" w:lineRule="exact"/>
        <w:rPr>
          <w:sz w:val="20"/>
          <w:szCs w:val="20"/>
          <w:color w:val="auto"/>
        </w:rPr>
      </w:pPr>
    </w:p>
    <w:p>
      <w:pPr>
        <w:jc w:val="both"/>
        <w:ind w:firstLine="1404"/>
        <w:spacing w:after="0" w:line="266" w:lineRule="auto"/>
        <w:rPr>
          <w:sz w:val="20"/>
          <w:szCs w:val="20"/>
          <w:color w:val="auto"/>
        </w:rPr>
      </w:pPr>
      <w:r>
        <w:rPr>
          <w:rFonts w:ascii="Times New Roman" w:cs="Times New Roman" w:eastAsia="Times New Roman" w:hAnsi="Times New Roman"/>
          <w:sz w:val="18"/>
          <w:szCs w:val="18"/>
          <w:color w:val="auto"/>
        </w:rPr>
        <w:t>(e)     The confidentiality obligations of each Party hereunder shall survive the termination of this Agreement. Each Party shall continue to abide by the confidentiality clause hereof and perform the obligation of confidentiality it undertakes until the other Party approves release of that obligation or until a breach of the confidentiality clause hereof will no longer result in any prejudice to the other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82" w:lineRule="auto"/>
        <w:rPr>
          <w:sz w:val="20"/>
          <w:szCs w:val="20"/>
          <w:color w:val="auto"/>
        </w:rPr>
      </w:pPr>
      <w:r>
        <w:rPr>
          <w:rFonts w:ascii="Times New Roman" w:cs="Times New Roman" w:eastAsia="Times New Roman" w:hAnsi="Times New Roman"/>
          <w:sz w:val="18"/>
          <w:szCs w:val="18"/>
          <w:color w:val="auto"/>
        </w:rPr>
        <w:t>The Parties agree that irreparable damage would occur in the event any provision of this Agreement was not performed in accordance with the terms hereof and that the Parties shall be entitled to specific performance of the terms hereof, in addition to any other remedy at law or equity.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This Agreement shall automatically terminate as between the Company and the Purchaser upon the earliest to occur of:</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         the written consent of each of the Company and the Purchaser;</w:t>
      </w:r>
    </w:p>
    <w:p>
      <w:pPr>
        <w:spacing w:after="0" w:line="225" w:lineRule="exact"/>
        <w:rPr>
          <w:sz w:val="20"/>
          <w:szCs w:val="20"/>
          <w:color w:val="auto"/>
        </w:rPr>
      </w:pPr>
    </w:p>
    <w:p>
      <w:pPr>
        <w:jc w:val="both"/>
        <w:ind w:left="640" w:firstLine="1148"/>
        <w:spacing w:after="0" w:line="261" w:lineRule="auto"/>
        <w:rPr>
          <w:sz w:val="20"/>
          <w:szCs w:val="20"/>
          <w:color w:val="auto"/>
        </w:rPr>
      </w:pPr>
      <w:r>
        <w:rPr>
          <w:rFonts w:ascii="Times New Roman" w:cs="Times New Roman" w:eastAsia="Times New Roman" w:hAnsi="Times New Roman"/>
          <w:sz w:val="18"/>
          <w:szCs w:val="18"/>
          <w:color w:val="auto"/>
        </w:rPr>
        <w:t xml:space="preserve">(ii)        the delivery of written notice to terminate by either the Company or the Purchaser if the Closing shall not have occurred by three (3) months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right to terminate this Agreement under this </w:t>
      </w:r>
      <w:r>
        <w:rPr>
          <w:rFonts w:ascii="Times New Roman" w:cs="Times New Roman" w:eastAsia="Times New Roman" w:hAnsi="Times New Roman"/>
          <w:sz w:val="18"/>
          <w:szCs w:val="18"/>
          <w:u w:val="single" w:color="auto"/>
          <w:color w:val="auto"/>
        </w:rPr>
        <w:t>Section 7.14(a)(ii)</w:t>
      </w:r>
      <w:r>
        <w:rPr>
          <w:rFonts w:ascii="Times New Roman" w:cs="Times New Roman" w:eastAsia="Times New Roman" w:hAnsi="Times New Roman"/>
          <w:sz w:val="18"/>
          <w:szCs w:val="18"/>
          <w:color w:val="auto"/>
        </w:rPr>
        <w:t xml:space="preserve"> shall not be available to any party whose failure to fulfill any obligation under this Agreement shall have been the principal cause of, or shall have resulted in, the failure of the Closing to occur on or prior to such date; or</w:t>
      </w:r>
    </w:p>
    <w:p>
      <w:pPr>
        <w:spacing w:after="0" w:line="180" w:lineRule="exact"/>
        <w:rPr>
          <w:sz w:val="20"/>
          <w:szCs w:val="20"/>
          <w:color w:val="auto"/>
        </w:rPr>
      </w:pPr>
    </w:p>
    <w:p>
      <w:pPr>
        <w:jc w:val="both"/>
        <w:ind w:left="640" w:firstLine="1148"/>
        <w:spacing w:after="0" w:line="266" w:lineRule="auto"/>
        <w:rPr>
          <w:sz w:val="20"/>
          <w:szCs w:val="20"/>
          <w:color w:val="auto"/>
        </w:rPr>
      </w:pPr>
      <w:r>
        <w:rPr>
          <w:rFonts w:ascii="Times New Roman" w:cs="Times New Roman" w:eastAsia="Times New Roman" w:hAnsi="Times New Roman"/>
          <w:sz w:val="18"/>
          <w:szCs w:val="18"/>
          <w:color w:val="auto"/>
        </w:rPr>
        <w:t>(iii)       by the Company or the Purchaser in the event that any Governmental Authority shall have issued a judgment or taken any other action restraining, enjoining or otherwise prohibiting the transactions contemplated by the Transaction Agreements and such judgment or other action shall have become final and non-appealable.</w:t>
      </w:r>
    </w:p>
    <w:p>
      <w:pPr>
        <w:spacing w:after="0" w:line="176" w:lineRule="exact"/>
        <w:rPr>
          <w:sz w:val="20"/>
          <w:szCs w:val="20"/>
          <w:color w:val="auto"/>
        </w:rPr>
      </w:pPr>
    </w:p>
    <w:p>
      <w:pPr>
        <w:jc w:val="both"/>
        <w:ind w:firstLine="1404"/>
        <w:spacing w:after="0" w:line="257" w:lineRule="auto"/>
        <w:rPr>
          <w:sz w:val="20"/>
          <w:szCs w:val="20"/>
          <w:color w:val="auto"/>
        </w:rPr>
      </w:pPr>
      <w:r>
        <w:rPr>
          <w:rFonts w:ascii="Times New Roman" w:cs="Times New Roman" w:eastAsia="Times New Roman" w:hAnsi="Times New Roman"/>
          <w:sz w:val="18"/>
          <w:szCs w:val="18"/>
          <w:color w:val="auto"/>
        </w:rPr>
        <w:t xml:space="preserve">(b)     Upon the termination of this Agreement, this Agreement will have no further force or effect, except for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 (Governing Law; Arbitration)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7.08 (Notices)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7.12 (Confidentiality)</w:t>
      </w:r>
      <w:r>
        <w:rPr>
          <w:rFonts w:ascii="Times New Roman" w:cs="Times New Roman" w:eastAsia="Times New Roman" w:hAnsi="Times New Roman"/>
          <w:sz w:val="18"/>
          <w:szCs w:val="18"/>
          <w:color w:val="auto"/>
        </w:rPr>
        <w:t xml:space="preserve"> hereof, which shall survive any termination under this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the Company nor the Purchaser shall be relieved or released from any liabilities or damages arising out of (i) fraud or</w:t>
      </w:r>
    </w:p>
    <w:p>
      <w:pPr>
        <w:spacing w:after="0" w:line="1" w:lineRule="exact"/>
        <w:rPr>
          <w:sz w:val="20"/>
          <w:szCs w:val="20"/>
          <w:color w:val="auto"/>
        </w:rPr>
      </w:pPr>
    </w:p>
    <w:p>
      <w:pPr>
        <w:ind w:right="6960" w:firstLine="8"/>
        <w:spacing w:after="0" w:line="490"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this Agreement prior to such termination. SECTION 7.15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w:t>
      </w:r>
    </w:p>
    <w:p>
      <w:pPr>
        <w:jc w:val="both"/>
        <w:ind w:firstLine="1386"/>
        <w:spacing w:after="0" w:line="282" w:lineRule="auto"/>
        <w:rPr>
          <w:sz w:val="20"/>
          <w:szCs w:val="20"/>
          <w:color w:val="auto"/>
        </w:rPr>
      </w:pPr>
      <w:r>
        <w:rPr>
          <w:rFonts w:ascii="Times New Roman" w:cs="Times New Roman" w:eastAsia="Times New Roman" w:hAnsi="Times New Roman"/>
          <w:sz w:val="18"/>
          <w:szCs w:val="18"/>
          <w:color w:val="auto"/>
        </w:rPr>
        <w:t>The headings of the various articles and sections of this Agreement are inserted merely for the purpose of convenience and do not expressly or by implication limit, define or extend the specific terms of the section so designated.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86"/>
        <w:spacing w:after="0" w:line="266" w:lineRule="auto"/>
        <w:rPr>
          <w:sz w:val="20"/>
          <w:szCs w:val="20"/>
          <w:color w:val="auto"/>
        </w:rPr>
      </w:pPr>
      <w:r>
        <w:rPr>
          <w:rFonts w:ascii="Times New Roman" w:cs="Times New Roman" w:eastAsia="Times New Roman" w:hAnsi="Times New Roman"/>
          <w:sz w:val="18"/>
          <w:szCs w:val="18"/>
          <w:color w:val="auto"/>
        </w:rPr>
        <w:t>For the convenience of the Parties and to facilitate execution, this Agreement may be executed in one or more counterparts, each of which shall be deemed to be an original, but all of which together shall constitute but one and the same instrument. Signatures in the form of facsimile or electronically imaged “PDF” shall be deemed to be original signatures for all purposes 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52" w:lineRule="auto"/>
        <w:rPr>
          <w:sz w:val="20"/>
          <w:szCs w:val="20"/>
          <w:color w:val="auto"/>
        </w:rPr>
      </w:pPr>
      <w:r>
        <w:rPr>
          <w:rFonts w:ascii="Times New Roman" w:cs="Times New Roman" w:eastAsia="Times New Roman" w:hAnsi="Times New Roman"/>
          <w:sz w:val="18"/>
          <w:szCs w:val="18"/>
          <w:color w:val="auto"/>
        </w:rPr>
        <w:t xml:space="preserve">Without limiting any other provision of this Agreement, both the Purchaser and the Company shall consult and agree with each other on the terms and content of a joint press release with respect to the execution of this Agreement and any other Transaction Agreements and the transactions contemplated hereby and thereby and no press release shall be issued by any Party hereto without the prior written consent of another Party. Thereafter, neither the Company nor the Purchaser, nor any of their respective Affiliates, shall issue any press release or other public announcement or communication (to the extent not previously publicly disclosed or made in accordance with this Agreement or any other Transaction Agreements) with respect to the transactions contemplated hereby or thereby without the prior written consent of the other parties (such consent not to be unreasonably withheld, conditioned or delayed), except to the extent a party’s counsel deems such disclosure necessary or desirable in order to comply with any law or the regulations or policies of any securities exchange or other similar regulatory body (in which case the disclosing party shall give the other parties notice as promptly as is reasonably practicable of any required disclosure to the extent permitted by Applicable Laws), shall limit such disclosure to the information such counsel advises is required to comply with such law or regulations, and if reasonably practicable, shall consult with the other party regarding such disclosure and give good faith consideration to any suggested changes to such disclosure from the other party. Notwithstanding anything to the contrary in this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the Purchaser and the Company may make public statements in response to specific questions by the press, analysts, investors or those attending industry conferences or financial analyst conference calls, so long as any such statements are not materially inconsistent with previous press releases, public disclosures or public statements made by the Company or the Purchaser and do not reveal material, non-public information regarding another Party or the transactions contemplated by this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86"/>
        <w:spacing w:after="0" w:line="266" w:lineRule="auto"/>
        <w:rPr>
          <w:sz w:val="20"/>
          <w:szCs w:val="20"/>
          <w:color w:val="auto"/>
        </w:rPr>
      </w:pPr>
      <w:r>
        <w:rPr>
          <w:rFonts w:ascii="Times New Roman" w:cs="Times New Roman" w:eastAsia="Times New Roman" w:hAnsi="Times New Roman"/>
          <w:sz w:val="18"/>
          <w:szCs w:val="18"/>
          <w:color w:val="auto"/>
        </w:rPr>
        <w:t>No waiver of any provision of this Agreement shall be effective unless set forth in a written instrument signed by the Party waiving such provision. No failure or delay by a Party in exercising any right, power or remedy under this Agreement shall operate as a waiver thereof, nor shall any single or partial exercise of the same preclude any further exercise thereof or the exercise of any other right, power or remedy.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Qingfeng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Qingfeng Feng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Geely International (Hong Kong)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Donghui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Donghui 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Convertible Note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THE SECURITIES REPRESENTED HEREBY HAVE NOT BEEN REGISTERED UNDER THE SECURITIES ACT OF 1933 (AS AMENDED, THE “SECURITIES ACT”) OR UNDER THE SECURITIES LAWS OF ANY OTHER JURISDICTIONS. THESE SECURITIES MAY NOT BE TRANSFERRED, SOLD, OFFERED FOR SALE, PLEDGED OR HYPOTHECATED: (A) IN THE ABSENCE OF (1) AN EFFECTIVE REGISTRATION STATEMENT UNDER THE SECURITIES ACT OR (2) AN EXEMPTION OR QUALIFICATION UNDER APPLICABLE SECURITIES LAWS, AND (B) UNLESS IN COMPLIANCE WITH THE CONVERTIBLE NOTE PURCHASE AGREEMENT BETWEEN THE COMPANY AND GEELY INTERNATIONAL (HONG KONG) LIMITED, DATED JUNE 12, 2026 (THE “PURCHASE AGREEMENT”). ANY ATTEMPT TO TRANSFER, SELL, PLEDGE OR HYPOTHECATE THIS SECURITY IN VIOLATION OF THESE RESTRICTIONS OR ANY OTHER RESTRICTIONS SET FORTH IN THE PURCHASE AGREEMENT SHALL BE VOID.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LOTUS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SENIOR CONVERTIBLE NOTE</w:t>
      </w:r>
    </w:p>
    <w:p>
      <w:pPr>
        <w:spacing w:after="0" w:line="229" w:lineRule="exact"/>
        <w:rPr>
          <w:sz w:val="20"/>
          <w:szCs w:val="20"/>
          <w:color w:val="auto"/>
        </w:rPr>
      </w:pPr>
    </w:p>
    <w:p>
      <w:pPr>
        <w:spacing w:after="0"/>
        <w:tabs>
          <w:tab w:leader="none" w:pos="10240" w:val="left"/>
        </w:tabs>
        <w:rPr>
          <w:sz w:val="20"/>
          <w:szCs w:val="20"/>
          <w:color w:val="auto"/>
        </w:rPr>
      </w:pPr>
      <w:r>
        <w:rPr>
          <w:rFonts w:ascii="Times New Roman" w:cs="Times New Roman" w:eastAsia="Times New Roman" w:hAnsi="Times New Roman"/>
          <w:sz w:val="18"/>
          <w:szCs w:val="18"/>
          <w:color w:val="auto"/>
        </w:rPr>
        <w:t>US$128,324,684.58</w:t>
      </w:r>
      <w:r>
        <w:rPr>
          <w:sz w:val="20"/>
          <w:szCs w:val="20"/>
          <w:color w:val="auto"/>
        </w:rPr>
        <w:tab/>
      </w:r>
      <w:r>
        <w:rPr>
          <w:rFonts w:ascii="Times New Roman" w:cs="Times New Roman" w:eastAsia="Times New Roman" w:hAnsi="Times New Roman"/>
          <w:sz w:val="17"/>
          <w:szCs w:val="17"/>
          <w:color w:val="auto"/>
        </w:rPr>
        <w:t>[*], 2026</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Subject to the terms and conditions of this Senior Convertible Note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for good and valuable consideration received, Lotus Technology Inc., an exempted company incorporated with limited liability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promises to pay to the order of Geely International (Hong Kong) Limited, a company incorporated under the laws of Hong Kong (such party and any other permitted transferee,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principal amount of US$128,324,684.58, plus other amounts payable provided below, on [</w:t>
      </w:r>
      <w:r>
        <w:rPr>
          <w:rFonts w:ascii="Times New Roman" w:cs="Times New Roman" w:eastAsia="Times New Roman" w:hAnsi="Times New Roman"/>
          <w:sz w:val="18"/>
          <w:szCs w:val="18"/>
          <w:i w:val="1"/>
          <w:iCs w:val="1"/>
          <w:color w:val="auto"/>
        </w:rPr>
        <w:t>to enter the 364</w:t>
      </w:r>
      <w:r>
        <w:rPr>
          <w:rFonts w:ascii="Times New Roman" w:cs="Times New Roman" w:eastAsia="Times New Roman" w:hAnsi="Times New Roman"/>
          <w:sz w:val="29"/>
          <w:szCs w:val="29"/>
          <w:i w:val="1"/>
          <w:iCs w:val="1"/>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 of the Issue Date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or such earlier date as may be otherwise provided herein, unless the outstanding principal is settled in accordance with Section 3 of the Note.</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 is issued pursuant to, and in accordance with, the Convertible Note Purchase Agreement, dated June 12, 2026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Company and the Holder and is subject to the provisions thereof. Unless the context requires otherwise, capitalized terms used herein shall have the meaning set forth in Section 1 of this Note.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statement of the rights of the Holder of the Note and the terms and conditions to which the Note is subject, and to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hereof, by the acceptance of the Note, agrees:</w:t>
      </w:r>
    </w:p>
    <w:p>
      <w:pPr>
        <w:spacing w:after="0" w:line="20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means an American Depositary Share representing Ordinary Shares as of the date of this Note.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another day on which commercial banks in the People’s Republic of China (the “</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China</w:t>
      </w:r>
      <w:r>
        <w:rPr>
          <w:rFonts w:ascii="Times New Roman" w:cs="Times New Roman" w:eastAsia="Times New Roman" w:hAnsi="Times New Roman"/>
          <w:sz w:val="18"/>
          <w:szCs w:val="18"/>
          <w:color w:val="auto"/>
        </w:rPr>
        <w:t>”, which for the purpose of this Note shall exclude Hong Kong, Macau Special Administrative Region and Taiwan Region), Hong Kong or New York are required or authorized by law or executive order to be closed.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stock issued by that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Equity</w:t>
      </w:r>
      <w:r>
        <w:rPr>
          <w:rFonts w:ascii="Times New Roman" w:cs="Times New Roman" w:eastAsia="Times New Roman" w:hAnsi="Times New Roman"/>
          <w:sz w:val="18"/>
          <w:szCs w:val="18"/>
          <w:color w:val="auto"/>
        </w:rPr>
        <w:t>” of any Person means ordinary share capital or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means all registration statements, proxy statements and other statements, reports, schedules, forms and other documents required to be filed or furnished by the Company with the Securities and Exchange Commission of the United States of America (or any other federal agency at the time administering the Exchange Act and the Securities Act) pursuant to the Exchange Act and the Securities Act and all exhibits included therein and financial statements, notes and schedules thereto and documents incorporated by reference therein, in each case, filed or furnished with the Securities and Exchange Commission of the United States of America (or any other federal agency at the time administering the Exchange Act and the Securities 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 “controlled by” and “under common Control with”) shall mean the ownership, directly or indirectly, of shares possessing more than fifty percent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shall have the meaning ascribed to such term in Section 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shall have the meaning ascribed to such term in Section 3.3.</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Period</w:t>
      </w:r>
      <w:r>
        <w:rPr>
          <w:rFonts w:ascii="Times New Roman" w:cs="Times New Roman" w:eastAsia="Times New Roman" w:hAnsi="Times New Roman"/>
          <w:sz w:val="18"/>
          <w:szCs w:val="18"/>
          <w:color w:val="auto"/>
        </w:rPr>
        <w:t>” shall mean the period starting from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Days after the Issue Date and prior to the close of business on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Trading Day immediately preceding the Maturity Date.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means, in respect of an ADS at a particular date, the volume- weighted average of the Last Reported Sale Prices for one ADS (carrying full entitlement to dividend) for the ten (10) consecutive Trading Days ending on the Trading Day immediately preceding such date, provided that if at any time during the said ten (10) Trading Day period the ADSs shall have been quoted ex-dividend and during some other part of that period the ADSs shall have been quoted cum-dividend then:</w:t>
      </w:r>
    </w:p>
    <w:p>
      <w:pPr>
        <w:spacing w:after="0" w:line="180" w:lineRule="exact"/>
        <w:rPr>
          <w:sz w:val="20"/>
          <w:szCs w:val="20"/>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ADSs (or the Ordinary Shares) to be issued in such circumstances do not rank for the dividend in question, the quotations on the dates on which the ADSs shall have been quoted cum-dividend shall for the purpose of this definition be deemed to be the amount thereof reduced by an amount equal to the amount of that dividend per ADS; or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ADSs (or the Ordinary Shares) to be issued in such circumstances rank for the dividend in question, the quotations on the dates on which the ADSs shall have been quoted ex-dividend shall for the purpose of this definition be deemed to be the amount thereof increased by such similar amount;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and provided further that if the ADSs on each of the said ten (10) Trading Days have been quoted cum-dividend in respect of a dividend which has been declared or announced but the ADSs or the Ordinary Shares to be issued do not rank for that dividend, the quotations on each of such dates shall for the purpose of this definition be deemed to be the amount thereof reduced by an amount equal to the amount of that dividend per ADS.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EoD Notice</w:t>
      </w:r>
      <w:r>
        <w:rPr>
          <w:rFonts w:ascii="Times New Roman" w:cs="Times New Roman" w:eastAsia="Times New Roman" w:hAnsi="Times New Roman"/>
          <w:sz w:val="18"/>
          <w:szCs w:val="18"/>
          <w:color w:val="auto"/>
        </w:rPr>
        <w:t>” shall have the meaning ascribed to such term in Section 2.6(a).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EoD Repurchase Price</w:t>
      </w:r>
      <w:r>
        <w:rPr>
          <w:rFonts w:ascii="Times New Roman" w:cs="Times New Roman" w:eastAsia="Times New Roman" w:hAnsi="Times New Roman"/>
          <w:sz w:val="18"/>
          <w:szCs w:val="18"/>
          <w:color w:val="auto"/>
        </w:rPr>
        <w:t>” shall have the meaning ascribed to such term in Section 2.6(a).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have the meaning ascribed to such term in Section 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Change</w:t>
      </w:r>
      <w:r>
        <w:rPr>
          <w:rFonts w:ascii="Times New Roman" w:cs="Times New Roman" w:eastAsia="Times New Roman" w:hAnsi="Times New Roman"/>
          <w:sz w:val="18"/>
          <w:szCs w:val="18"/>
          <w:color w:val="auto"/>
        </w:rPr>
        <w:t>” shall be deemed to have occurred if any of the following occurs after the Note is originally issued:</w:t>
      </w:r>
    </w:p>
    <w:p>
      <w:pPr>
        <w:spacing w:after="0" w:line="225" w:lineRule="exact"/>
        <w:rPr>
          <w:sz w:val="20"/>
          <w:szCs w:val="20"/>
          <w:color w:val="auto"/>
        </w:rPr>
      </w:pPr>
    </w:p>
    <w:p>
      <w:pPr>
        <w:jc w:val="both"/>
        <w:ind w:left="980" w:hanging="324"/>
        <w:spacing w:after="0" w:line="25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within the meaning of Section 13(d) of the Exchange Act, other than the Company, its Subsidiaries (together with the Company,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the employee benefit plans of the Company and its Subsidiaries and any of the Permitted Holders, files a Schedule TO or any other schedule, form or report under the Exchange Act disclosing that such person or group has become the direct or indirect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as defined in Rule 13d-3 under the Exchange Act, of (i) the Company’s Common Equity (including Common Equity held in the form of ADSs) representing more than 50% of the voting power of the Company’s Common Equity or (ii) more than 50% of the outstanding Ordinary Shares (including Ordinary Shares held in the form of ADSs);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any recapitalization, reclassification or change of the Ordinary Shares or the ADSs (other than changes resulting from a subdivision or combination) as a result of which the Ordinary Shares or the ADSs would be converted into, or exchanged for, stock, other securities, other property or assets; (B) any share exchange, consolidation or merger of the Company, or any similar transaction, pursuant to which the Ordinary Shares or the ADSs will be converted into cash, securities or other property; or (C) any sale, lease or other transfer in one transaction or a series of transactions of all or substantially all of the consolidated assets of the Company Group, taken as a whole, to any Person other than one of the Company’s wholly-owned Subsidiaries; provided, however, that a transaction described in clause</w:t>
      </w:r>
    </w:p>
    <w:p>
      <w:pPr>
        <w:spacing w:after="0" w:line="5" w:lineRule="exact"/>
        <w:rPr>
          <w:rFonts w:ascii="Times New Roman" w:cs="Times New Roman" w:eastAsia="Times New Roman" w:hAnsi="Times New Roman"/>
          <w:sz w:val="18"/>
          <w:szCs w:val="18"/>
          <w:color w:val="auto"/>
        </w:rPr>
      </w:pPr>
    </w:p>
    <w:p>
      <w:pPr>
        <w:jc w:val="both"/>
        <w:ind w:left="980"/>
        <w:spacing w:after="0" w:line="253" w:lineRule="auto"/>
        <w:tabs>
          <w:tab w:leader="none" w:pos="127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vis-à-vis each other as such ownership immediately prior to such transaction shall not be a Fundamental Change pursuant to this clause (b);</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approve any plan or proposal for the liquidation or dissolution of the Company;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(or other Common Equity or ADSs in respect of the Common Equity underlying the Note) cease to be listed or quoted on any of The New York Stock Exchange, The NASDAQ Global Select Market or The NASDAQ Global Market (or any of their respective successors);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left="980" w:hanging="324"/>
        <w:spacing w:after="0" w:line="255"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amendment to the laws, regulations and rules or the official interpretation or official application thereof (a “</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that results in (A) the Company Group (as in existence immediately subsequent to such change in law), taken as a whole, being legally prohibited from operating substantially all of the business operations conducted by the Company Group (as in existence immediately prior to such change in law) as of the last date of the period described in the Company’s consolidated financial statements for the most recent fiscal quarter and (B) the Company being unable to continue to derive substantially all of the economic benefits from the business operations conducted by the Company Group (as in existence immediately prior to such change in law) in the same manner as reflected in the Company’s consolidated financial statements for the most recent fiscal quarter;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provided, however, that a transaction or event described in clause (b) above shall not constitute a Fundamental Change if at least 90% of the consideration received or to be received by holders of the ADSs, excluding cash payments for any fractional Ordinary Shares and cash payments made in connection with dissenters’ appraisal rights, in connection with such transaction or event consists of shares of Common Equity or ADSs or depositary receipts in respect of Common Equity that are listed or quoted on any of The New York Stock Exchange, The NASDAQ Global Select Market or The NASDAQ Global Market (or any of their respective successors) or will be so listed or quoted when issued or exchanged in connection with such transaction or event and as a result of such transaction or event, the Note becomes convertible into such consideration, excluding cash payments for any fractional Ordinary Shares and cash payments made in connection with dissenters’ appraisal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Change Repurchase Date</w:t>
      </w:r>
      <w:r>
        <w:rPr>
          <w:rFonts w:ascii="Times New Roman" w:cs="Times New Roman" w:eastAsia="Times New Roman" w:hAnsi="Times New Roman"/>
          <w:sz w:val="18"/>
          <w:szCs w:val="18"/>
          <w:color w:val="auto"/>
        </w:rPr>
        <w:t>” shall have the meaning ascribed to such term in Section 5.1(a).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Change Repurchase Notice</w:t>
      </w:r>
      <w:r>
        <w:rPr>
          <w:rFonts w:ascii="Times New Roman" w:cs="Times New Roman" w:eastAsia="Times New Roman" w:hAnsi="Times New Roman"/>
          <w:sz w:val="18"/>
          <w:szCs w:val="18"/>
          <w:color w:val="auto"/>
        </w:rPr>
        <w:t>” shall have the meaning ascribed to such term in Section 5.1(b).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Change Company Notice</w:t>
      </w:r>
      <w:r>
        <w:rPr>
          <w:rFonts w:ascii="Times New Roman" w:cs="Times New Roman" w:eastAsia="Times New Roman" w:hAnsi="Times New Roman"/>
          <w:sz w:val="18"/>
          <w:szCs w:val="18"/>
          <w:color w:val="auto"/>
        </w:rPr>
        <w:t>” shall have the meaning ascribed to such term in Section 5.1(d).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national, foreign, supranational, state, provincial, local, municipal or other political subdivision or other government, governmental, regulatory or administrative authority, agency, board, bureau, department, instrumentality or commission or any court, tribunal, judicial or arbitral body of competent jurisdiction or stock exchange.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Hong Kong</w:t>
      </w:r>
      <w:r>
        <w:rPr>
          <w:rFonts w:ascii="Times New Roman" w:cs="Times New Roman" w:eastAsia="Times New Roman" w:hAnsi="Times New Roman"/>
          <w:sz w:val="18"/>
          <w:szCs w:val="18"/>
          <w:color w:val="auto"/>
        </w:rPr>
        <w:t>” means Hong Kong Special Administrative Region.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 2026.</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Last Reported Sale Price</w:t>
      </w:r>
      <w:r>
        <w:rPr>
          <w:rFonts w:ascii="Times New Roman" w:cs="Times New Roman" w:eastAsia="Times New Roman" w:hAnsi="Times New Roman"/>
          <w:sz w:val="18"/>
          <w:szCs w:val="18"/>
          <w:color w:val="auto"/>
        </w:rPr>
        <w:t>” of the Ordinary Shares on any date shall be calculated as (i) the closing sale price per ADS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ADSs are traded divided by (ii) the applicable number of Ordinary Shares then represented by one ADS. If the ADSs are not listed for trading on a U.S. national or regional securities exchange on the relevant date, the “</w:t>
      </w:r>
      <w:r>
        <w:rPr>
          <w:rFonts w:ascii="Times New Roman" w:cs="Times New Roman" w:eastAsia="Times New Roman" w:hAnsi="Times New Roman"/>
          <w:sz w:val="18"/>
          <w:szCs w:val="18"/>
          <w:u w:val="single" w:color="auto"/>
          <w:color w:val="auto"/>
        </w:rPr>
        <w:t>Last Reported Sale Price</w:t>
      </w:r>
      <w:r>
        <w:rPr>
          <w:rFonts w:ascii="Times New Roman" w:cs="Times New Roman" w:eastAsia="Times New Roman" w:hAnsi="Times New Roman"/>
          <w:sz w:val="18"/>
          <w:szCs w:val="18"/>
          <w:color w:val="auto"/>
        </w:rPr>
        <w:t>” shall be (i) the last quoted bid price for the ADSs in the over-the-counter market on the relevant date as reported by OTC Markets Group Inc. or a similar organization divided by (ii) the applicable number of Ordinary Shares then represented by one ADS. If the ADSs are not so quoted, the “</w:t>
      </w:r>
      <w:r>
        <w:rPr>
          <w:rFonts w:ascii="Times New Roman" w:cs="Times New Roman" w:eastAsia="Times New Roman" w:hAnsi="Times New Roman"/>
          <w:sz w:val="18"/>
          <w:szCs w:val="18"/>
          <w:u w:val="single" w:color="auto"/>
          <w:color w:val="auto"/>
        </w:rPr>
        <w:t>Last Reported Sale Price</w:t>
      </w:r>
      <w:r>
        <w:rPr>
          <w:rFonts w:ascii="Times New Roman" w:cs="Times New Roman" w:eastAsia="Times New Roman" w:hAnsi="Times New Roman"/>
          <w:sz w:val="18"/>
          <w:szCs w:val="18"/>
          <w:color w:val="auto"/>
        </w:rPr>
        <w:t>” shall be (i) the average of the midpoint of the last bid and ask prices for the ADSs on the relevant date from each of at least three nationally recognized independent investment banking firms selected by the Company for this purpose divided by (ii) the applicable number of Ordinary Shares then represented by one ADS.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ordinance, regulation, rule, code, order, judgment, writ, injunction, decree or requirement of law (including common law) enacted, issued, promulgated, enforced or entered by a Governmental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Event</w:t>
      </w:r>
      <w:r>
        <w:rPr>
          <w:rFonts w:ascii="Times New Roman" w:cs="Times New Roman" w:eastAsia="Times New Roman" w:hAnsi="Times New Roman"/>
          <w:sz w:val="18"/>
          <w:szCs w:val="18"/>
          <w:color w:val="auto"/>
        </w:rPr>
        <w:t>” shall have the meaning ascribed to such term in Section 4.1(a).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with respect to the Company, the Chairman, President, the Chief Executive Officer, the Secretary, any Executive or any Vice President (whether or not designated by a number or numbers or word or words added before or after the title “Vice President”).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Holder and that is signed by the principal executive, financial or accounting officer of the Company who has been duly authorized to sign such certificate. To the extent applicable, each such certificate shall include (a) a statement that the person making such certificate is familiar with the requested action and the Note;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the Note; and (d) a statement as to whether or not, in the judgment of such person, such action is permitted by the Note, if and to the extent required by the provisions of the Note.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w:t>
      </w:r>
      <w:r>
        <w:rPr>
          <w:rFonts w:ascii="Times New Roman" w:cs="Times New Roman" w:eastAsia="Times New Roman" w:hAnsi="Times New Roman"/>
          <w:sz w:val="18"/>
          <w:szCs w:val="18"/>
          <w:color w:val="auto"/>
        </w:rPr>
        <w:t>” means an ordinary share of a par value of US$0.00001 in the capital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Mr. Li Shufu, together with any other respective “person” or “group” subject to aggregation of ordinary share capital of the Company (including ordinary share capital held in the form of ADSs) with any of the aforementioned person and entity under Section 13(d) of the Exchange Act.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association, joint stock company, trust, joint venture, limited liability company, organization, entity or Governmental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Property</w:t>
      </w:r>
      <w:r>
        <w:rPr>
          <w:rFonts w:ascii="Times New Roman" w:cs="Times New Roman" w:eastAsia="Times New Roman" w:hAnsi="Times New Roman"/>
          <w:sz w:val="18"/>
          <w:szCs w:val="18"/>
          <w:color w:val="auto"/>
        </w:rPr>
        <w:t>” and “unit of Reference Property” have the meanings ascribed thereto in Section 4.1(a).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Repurchase Price</w:t>
      </w:r>
      <w:r>
        <w:rPr>
          <w:rFonts w:ascii="Times New Roman" w:cs="Times New Roman" w:eastAsia="Times New Roman" w:hAnsi="Times New Roman"/>
          <w:sz w:val="18"/>
          <w:szCs w:val="18"/>
          <w:color w:val="auto"/>
        </w:rPr>
        <w:t>” means any of the EoD Repurchase Price and the Fundamental Change Repurchase Price, as applicable.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 Subsidiary of the Company that meets the definition of “</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in Section 1, Rule 1-02 of Regulation S-X under the Exchange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partnership, limited liability company, joint stock company, joint venture or other organization or entity, whether incorporated or unincorporated, which is controlled by such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shall have the meaning ascribed to such term in Section 7.1(a).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(i) trading in the ADSs (or other security for which a closing sale price must be determined) generally occurs on The NASDAQ Global Market or, if the ADSs (or such other security) are not then listed on The NASDAQ Global Market, on the principal other U.S. national or regional securities exchange on which the ADSs (or such other security) are then listed or, if the ADSs (or such other security) are not then listed on a U.S. national or regional securities exchange, on the principal other market on which the ADSs (or such other security) are then traded and (ii) a Last Reported Sale Price with respect to the ADSs (or closing sale price for such other security) is available on such securities exchange or market; provided that if the ADSs (or such other security) are not so listed or traded,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Business Day.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United States dollar, the lawful currency of the United States of America.</w:t>
      </w:r>
    </w:p>
    <w:p>
      <w:pPr>
        <w:spacing w:after="0" w:line="22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PAYMENTS; DEFAULTS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2.1Interest Rate. So long as no Event of Default shall have occurred and be continuing, the interest on this Note shall accrue from the Issue Date at a per annum rate equal to the Secured Overnight Financing Rate published on the New York Federal Reserve website (currently at www.newyorkfed.org/markets/reference-rates/sofr; the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for the Issue Date (or the Business Day in New York immediately preceding the Issue Date if the Issue Date is not a Business Day in New York) </w:t>
      </w:r>
      <w:r>
        <w:rPr>
          <w:rFonts w:ascii="Times New Roman" w:cs="Times New Roman" w:eastAsia="Times New Roman" w:hAnsi="Times New Roman"/>
          <w:sz w:val="18"/>
          <w:szCs w:val="18"/>
          <w:b w:val="1"/>
          <w:bCs w:val="1"/>
          <w:color w:val="auto"/>
        </w:rPr>
        <w:t>plus 3.35%</w:t>
      </w:r>
      <w:r>
        <w:rPr>
          <w:rFonts w:ascii="Times New Roman" w:cs="Times New Roman" w:eastAsia="Times New Roman" w:hAnsi="Times New Roman"/>
          <w:sz w:val="18"/>
          <w:szCs w:val="18"/>
          <w:color w:val="auto"/>
        </w:rPr>
        <w:t xml:space="preserve"> per annum. The interest on this Note shall be payable on the Maturity Date, or such earlier date as is required pursuant to this Note. If an Event of Default shall have occurred and be continuing, the interest on this Note shall accrue at an interest rate equal to 5% per annum in excess of the above interest rate, until such Event of Default is later cured. The interest due on this Note shall be computed on the basis of a three hundred sixty-five (365)-day year.</w:t>
      </w:r>
    </w:p>
    <w:p>
      <w:pPr>
        <w:spacing w:after="0" w:line="188"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2.2Payment. All amounts payable on or in respect of the Note or the indebtedness evidenced hereby shall be paid to the Holder in U.S. dollars, in immediately available funds on the date that any principal (or interest) or any Repurchase Price is due and payable hereunder. The Company shall make such principal (or interest) or such payment of Repurchase Price to the Holder by wire transfer of immediately available funds for the account of the Holder or any of its Affiliates as may be designated by the Holder in writing from time to time; provided that any change to such accounts shall be notified in writing to the Company at least two (2) Business Days prior to the relevant payment date. If any such payment date or the Maturity Date falls on a day that is not a Business Day, the required payment will be made on the next succeeding Business Day and no interest on such payment will accrue in respect of the delay.</w:t>
      </w:r>
    </w:p>
    <w:p>
      <w:pPr>
        <w:spacing w:after="0" w:line="188"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2.3Prepayment. Company may prepay this Note upon not less than seven (7) Business Days prior written notice to the Holder; provided, however, that the Holder shall have the right to exercise the conversion rights hereunder during such notice period.</w:t>
      </w:r>
    </w:p>
    <w:p>
      <w:pPr>
        <w:spacing w:after="0" w:line="161" w:lineRule="exact"/>
        <w:rPr>
          <w:rFonts w:ascii="Times New Roman" w:cs="Times New Roman" w:eastAsia="Times New Roman" w:hAnsi="Times New Roman"/>
          <w:sz w:val="18"/>
          <w:szCs w:val="18"/>
          <w:b w:val="1"/>
          <w:bCs w:val="1"/>
          <w:color w:val="auto"/>
        </w:rPr>
      </w:pPr>
    </w:p>
    <w:p>
      <w:pPr>
        <w:jc w:val="right"/>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2.4Seniority. All amounts payable on or in respect of the Note or the indebtedness evidenced hereby shall rank senior to any present and future indebtedness of the Company (other than (i) those preferred by Applicable Law that are mandatory and of general application and</w:t>
      </w:r>
    </w:p>
    <w:p>
      <w:pPr>
        <w:ind w:left="1300" w:firstLine="4"/>
        <w:spacing w:after="0" w:line="260" w:lineRule="auto"/>
        <w:tabs>
          <w:tab w:leader="none" w:pos="158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note in the original principal amount of US$10,000,000 issued pursuant to the ATW 2025 CB Purchase Agreement, as disclosed in the Company SEC Documents), unless otherwise agreed by the Holder in advance.</w:t>
      </w:r>
    </w:p>
    <w:p>
      <w:pPr>
        <w:spacing w:after="0" w:line="181"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Events of Default. For purposes of the Note,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be deemed to have occurred if any of the following events occurs, whatever the reason or cause for such Event of Default and whether it is voluntary or involuntary or is effected by operation of law or pursuant to any judgment, decree or order of any court or any order, rule or regulation of any Governmental Authority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840" w:right="20" w:hanging="656"/>
        <w:spacing w:after="0" w:line="26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The Company defaults in the payment of principal of the Note when due and payable on the Maturity Date, or the Company defaults in the payment of any Repurchase Price upon any required repurchase, in each case in accordance with the terms hereof;</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Conversion Obligation. The Company fails to comply with its obligation to convert all or a portion of the Note in accordance with Section 3 upon Holder’s exercise of its conversion rights and such failure continues for a period of three</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Business Days;</w:t>
      </w:r>
    </w:p>
    <w:p>
      <w:pPr>
        <w:spacing w:after="0" w:line="206"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Section 7 (Consolidation, Merger, Sale, Conveyance and Lease). The Company fails to comply with its obligations under Section 7;</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Other Obligations. The Company fails (i) to comply with its obligations under Section 5.09 of the Purchase Agreement, or (ii) for forty five (45) days after written notice from the Holder has been received by the Company to comply with any of its other agreements contained in any Transaction Agreement to which the Company is a party;</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55"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 Default. Any default by the Company or any Subsidiary of the Company with respect to any mortgage, agreement or other instrument under which there may be outstanding, or by which there may be secured or evidenced, any indebtedness for money borrowed in excess of US$10 million (or the foreign currency equivalent thereof) in the aggregate of the Company and/or any such Subsidiary, whether such indebtedness now exists or shall hereafter be created (A) resulting in such indebtedness becoming or being declared due and payable prior to its stated maturity, or (B) constituting a failure to pay the principal or interest of any such debt when due and payable at its stated maturity (after giving effect to any applicable grace period), upon required repurchase, upon declaration of acceleration or otherwise;</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Judgment. A final judgment for the payment of US$50 million (or the foreign currency equivalent thereof) or more (excluding any amounts covered by insurance) is rendered against the Company or any Subsidiary of the Company, which judgment is not paid, bonded or otherwise discharged or stayed within forty five (45) days after the earlier of (i) the date on which the right to appeal thereof has expired if no such appeal has commenced and (ii) the date on which all rights to appeal have been extinguished;</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Suspension. The ADSs (or other Common Equity or ADSs in respect of the Common Equity underlying the Note) have been suspended from trading on any of The New York Stock Exchange, The NASDAQ Global Select market or The NASDAQ Global Market (or any of their respective successors) for a period of sixty (60) consecutive Trading Days;</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1" w:name="page42"/>
    <w:bookmarkEnd w:id="41"/>
    <w:p>
      <w:pPr>
        <w:jc w:val="both"/>
        <w:ind w:left="1960" w:hanging="656"/>
        <w:spacing w:after="0" w:line="254"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The Company, any Significant Subsidiary or any other Subsidiaries which in the aggregate constitute a “significant subsidiary” as defined in rule 1-02(w) of Regulation S-X under the Exchange Act shall commence a voluntary case or other proceeding seeking liquidation, winding- up, reorganization or other relief with respect to the Company, such Significant Subsidiary or such other Subsidiaries or its or their debts under any bankruptcy, liquidation, insolvency or other similar Law now or hereafter in effect or seeking the appointment of a trustee, receiver, liquidator, custodian or other similar official of the Company, such Significant Subsidiary or such other Subsidiaries or all or substantially all of its or their property, or shall consent to any such relief or to the appointment of or taking possession by any such official in an involuntary case or other proceeding commenced against it, or shall make a general assignment for the benefit of creditors, or shall fail generally to pay its or their debts as they become due; or</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Proceedings. An involuntary case or other proceeding shall be commenced against the Company, any Significant Subsidiary or any other Subsidiaries which in the aggregate constitute a “significant subsidiary” as defined in rule 1-02(w) of Regulation S-X under the Exchange Act seeking liquidation, winding-up, reorganization or other relief with respect to the Company, such Significant Subsidiary or such other Subsidiaries or its or their debts under any bankruptcy, liquidation, insolvency or other similar Law now or hereafter in effect or seeking the appointment of a trustee, receiver, liquidator, custodian or other similar official of the Company, such Significant Subsidiary or such other Subsidiaries or all or substantially all of its or their property, and such involuntary case or other proceeding shall remain undismissed and unstayed for a period of forty five (45) consecutive days.</w:t>
      </w:r>
    </w:p>
    <w:p>
      <w:pPr>
        <w:spacing w:after="0" w:line="192" w:lineRule="exact"/>
        <w:rPr>
          <w:sz w:val="20"/>
          <w:szCs w:val="20"/>
          <w:color w:val="auto"/>
        </w:rPr>
      </w:pPr>
    </w:p>
    <w:p>
      <w:pPr>
        <w:jc w:val="both"/>
        <w:ind w:left="1300" w:right="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Consequences of Event of Default.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Governmental Authority), then,</w:t>
      </w:r>
    </w:p>
    <w:p>
      <w:pPr>
        <w:spacing w:after="0" w:line="176" w:lineRule="exact"/>
        <w:rPr>
          <w:sz w:val="20"/>
          <w:szCs w:val="20"/>
          <w:color w:val="auto"/>
        </w:rPr>
      </w:pPr>
    </w:p>
    <w:p>
      <w:pPr>
        <w:jc w:val="both"/>
        <w:ind w:left="1960" w:hanging="656"/>
        <w:spacing w:after="0" w:line="255" w:lineRule="auto"/>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(other than an Event of Default specified in Section 2.5(h) or Section 2.5(i)), the Holder may by notice in writing to the Company (the “</w:t>
      </w:r>
      <w:r>
        <w:rPr>
          <w:rFonts w:ascii="Times New Roman" w:cs="Times New Roman" w:eastAsia="Times New Roman" w:hAnsi="Times New Roman"/>
          <w:sz w:val="18"/>
          <w:szCs w:val="18"/>
          <w:u w:val="single" w:color="auto"/>
          <w:color w:val="auto"/>
        </w:rPr>
        <w:t>EoD Notice</w:t>
      </w:r>
      <w:r>
        <w:rPr>
          <w:rFonts w:ascii="Times New Roman" w:cs="Times New Roman" w:eastAsia="Times New Roman" w:hAnsi="Times New Roman"/>
          <w:sz w:val="18"/>
          <w:szCs w:val="18"/>
          <w:color w:val="auto"/>
        </w:rPr>
        <w:t>”) to require the Company to repurchase for cash all of the Note or any portion thereof on the fifth (5th) Business Day after the date of the EoD Notice at a repurchase price (the “</w:t>
      </w:r>
      <w:r>
        <w:rPr>
          <w:rFonts w:ascii="Times New Roman" w:cs="Times New Roman" w:eastAsia="Times New Roman" w:hAnsi="Times New Roman"/>
          <w:sz w:val="18"/>
          <w:szCs w:val="18"/>
          <w:u w:val="single" w:color="auto"/>
          <w:color w:val="auto"/>
        </w:rPr>
        <w:t>EoD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equal to (A) 100% of the principal amount thereof, plus (B) a premium equal to the aggregate interest that would have accrued on such principal amount over the period starting from (and including) the date of the Issue Date and ending on (and including) the date when the EoD Repurchase Price is made in full, and plus (C) all other amounts due and payable on or in respect of the Note, if any; or</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specified in Section 2.5(h) or Section 2.5(i) occurs and is continuing, the Company shall promptly repurchase for cash all of the Note at a repurchase price equal to the EoD Repurchase Price without any action on the part of the Holder.</w:t>
      </w:r>
    </w:p>
    <w:p>
      <w:pPr>
        <w:spacing w:after="0" w:line="172"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CONVERSION</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3.1Conversion by Holder. Subject to and upon compliance with the provisions of this Section 3, the Holder shall have the right, at the Holder’s option, to convert all or any portion of the Note, which shall not exceed the total amount of outstanding principal and accrued interest as of Conversion Date, to the Company’s fully paid Ordinary Shares at the then applicable conversion price at any time during the Conversion Period. Notwithstanding anything to the contrary under this Section 3, the total number of Ordinary Shares that the Holder can acquire through converting all or any portion of the Convertible Note, when added to all other acquisitions of Ordinary Shares by the Holder during the preceding twelve months of the date of the most recent conversion (excluding Ordinary Shares acquired prior to the Company’s registration of such securities under the Exchange Act), shall not exceed 2% of the Company’s total share capital on the applicable Conversion Date, unless otherwise agreed in writing (including via e-mail) by the Holder and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right"/>
        <w:spacing w:after="0" w:line="261" w:lineRule="auto"/>
        <w:rPr>
          <w:sz w:val="20"/>
          <w:szCs w:val="20"/>
          <w:color w:val="auto"/>
        </w:rPr>
      </w:pPr>
      <w:r>
        <w:rPr>
          <w:rFonts w:ascii="Times New Roman" w:cs="Times New Roman" w:eastAsia="Times New Roman" w:hAnsi="Times New Roman"/>
          <w:sz w:val="18"/>
          <w:szCs w:val="18"/>
          <w:color w:val="auto"/>
        </w:rPr>
        <w:t>3.2     Conversion Price. Subject to adjustments as provided in Section 4, the initial conversion price for each Ordinary Share shall be equal to the Current Market Price for an ADS as of the Conversion Date multiplied by 1, which is the ratio of each ADS representing one</w:t>
      </w:r>
    </w:p>
    <w:p>
      <w:pPr>
        <w:ind w:left="640" w:firstLine="4"/>
        <w:spacing w:after="0" w:line="260"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 If there is a change in the ratio of ADSs to the Ordinary Shares as of the relevant calculation date, the above ratio will be adjusted to reflect the then-current ratio.</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Conversion Procedure; Settlement Upon Conversion.</w:t>
      </w:r>
    </w:p>
    <w:p>
      <w:pPr>
        <w:spacing w:after="0" w:line="225" w:lineRule="exact"/>
        <w:rPr>
          <w:sz w:val="20"/>
          <w:szCs w:val="20"/>
          <w:color w:val="auto"/>
        </w:rPr>
      </w:pPr>
    </w:p>
    <w:p>
      <w:pPr>
        <w:jc w:val="both"/>
        <w:ind w:left="1300" w:hanging="656"/>
        <w:spacing w:after="0" w:line="253"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3.3(b), this Note shall be deemed to have been converted immediately prior to the close of business on the date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that the Holder has delivered a duly completed irrevocable written notice to the Company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and the Note for cancellation to the Company. Within five (5) Business Days after the delivery of the Note and the Conversion Notice to the Company, the Company shall (i) take all actions and execute all documents necessary to effect the issuance of the full number of Ordinary Shares to which the Holder shall be entitled in satisfaction of any conversion pursuant to Section 3.1, (ii) deliver to the Holder certificate(s) representing the number of Ordinary Shares delivered upon each such conversion, (iii) deliver to the Holder a certified copy of the register of members of the Company, reflecting the Holder’s ownership of the Ordinary Shares delivered upon each such conversion, and (iv) subject to Section 3.3(b), cancel the Note. No Conversion Notice may be delivered and the Note may not be surrendered by a Holder for conversion thereof if the Holder has also delivered a Fundamental Change Repurchase Notice to the Company in respect of the Note and not validly withdrawn such Fundamental Change Repurchase Notice in accordance with Section 5.</w:t>
      </w:r>
    </w:p>
    <w:p>
      <w:pPr>
        <w:spacing w:after="0" w:line="191" w:lineRule="exact"/>
        <w:rPr>
          <w:rFonts w:ascii="Times New Roman" w:cs="Times New Roman" w:eastAsia="Times New Roman" w:hAnsi="Times New Roman"/>
          <w:sz w:val="18"/>
          <w:szCs w:val="18"/>
          <w:color w:val="auto"/>
        </w:rPr>
      </w:pPr>
    </w:p>
    <w:p>
      <w:pPr>
        <w:jc w:val="both"/>
        <w:ind w:left="1300" w:hanging="656"/>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Holder surrenders this Note pursuant to Section 3.3(a) for partial conversion, the Company shall, in addition to cancelling the Note upon such surrender, execute and deliver to the Holder a new note denominated in U.S. dollars and in an aggregate principal amount equal to the unconverted portion of the surrendered Note, without payment of any service charge by the Holder.</w:t>
      </w:r>
    </w:p>
    <w:p>
      <w:pPr>
        <w:spacing w:after="0" w:line="179" w:lineRule="exact"/>
        <w:rPr>
          <w:rFonts w:ascii="Times New Roman" w:cs="Times New Roman" w:eastAsia="Times New Roman" w:hAnsi="Times New Roman"/>
          <w:sz w:val="18"/>
          <w:szCs w:val="18"/>
          <w:color w:val="auto"/>
        </w:rPr>
      </w:pPr>
    </w:p>
    <w:p>
      <w:pPr>
        <w:jc w:val="both"/>
        <w:ind w:left="1300" w:hanging="656"/>
        <w:spacing w:after="0" w:line="254"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submits the Note for conversion, the Company shall pay any documentary, stamp or similar issue or transfer tax due on the delivery of the Ordinary Shares upon such conversion of the Note, unless the tax is due because the Holder requests such Ordinary Shares to be issued in a name other than the Holder’s name, in which case (i) if in the name of any Person which is an Affiliate of the Holder, the Company shall pay that tax or (ii) if in the name of any other Person, the Holder shall pay that tax. The bearing of the fees and expenses incurred from the conversion (such as the fees for issuance of the Ordinary Shares and the relevant depositary’s fees for any future conversion of the issued Ordinary Shares into the ADSs) may be then determined by the Company and the Holder by reference to the arrangements between the Company and other similarly situated investors at the relevant time.</w:t>
      </w:r>
    </w:p>
    <w:p>
      <w:pPr>
        <w:spacing w:after="0" w:line="191"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shall be made for dividends on any Ordinary Shares delivered upon any conversion of this Note as provided in this Section 3.</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3" w:name="page44"/>
    <w:bookmarkEnd w:id="43"/>
    <w:p>
      <w:pPr>
        <w:ind w:left="1960" w:hanging="656"/>
        <w:spacing w:after="0" w:line="282"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settlement of each conversion pursuant to this Section 3 shall be deemed to satisfy in full its obligation to pay the principal and interest amount of the Note converted.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 whose name the certificate for any Ordinary Shares delivered upon conversion is registered shall be treated as a holder of record of such Ordinary Shares as of the close of business on the relevant Conversion Date. Upon a conversion of the entire outstanding amount of the Note, the Holder shall no longer be a holder of the Note surrendered for conversion.</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Ordinary Share upon conversion of the Note and shall instead pay cash in lieu of any fractional Ordinary Share deliverable upon conversion based on the Last Reported Sale Price of the Ordinary Shares on the relevant Conversion Date.</w:t>
      </w:r>
    </w:p>
    <w:p>
      <w:pPr>
        <w:spacing w:after="0" w:line="17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Without prejudice to any other provision in this Note, the Holder may elect to convert all or any portion of the Note to ADSs (each representing one Ordinary Share) at the conversion price at any time during the Conversion Period and the provisions in this Section 3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pay (A) any documentary, stamp or similar issue or transfer tax due on the delivery of such ADSs upon conversion of the Note (or the issuance of the underlying Ordinary Shares), unless the tax is due because the Holder requests such ADSs to be issued in a name other than the Holder’s name, in which case (i) if in the name of any Person which is an Affiliate of the Holder, the Company shall pay that tax or (ii) if in the name of any other Person, the Holder shall pay that tax; and</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depositary’s fees for issuance of such ADSs.</w:t>
      </w:r>
    </w:p>
    <w:p>
      <w:pPr>
        <w:spacing w:after="0" w:line="203"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7"/>
          <w:szCs w:val="17"/>
          <w:color w:val="auto"/>
        </w:rPr>
        <w:t>Effect of Recapitalizations, Reclassifications and Changes of the Ordinary Shares.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Ordinary Shares (other than changes resulting from a subdivision or combination),</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or similar transaction involving the Company,</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25" w:lineRule="exact"/>
        <w:rPr>
          <w:sz w:val="20"/>
          <w:szCs w:val="20"/>
          <w:color w:val="auto"/>
        </w:rPr>
      </w:pPr>
    </w:p>
    <w:p>
      <w:pPr>
        <w:jc w:val="both"/>
        <w:ind w:left="1960"/>
        <w:spacing w:after="0" w:line="253" w:lineRule="auto"/>
        <w:rPr>
          <w:sz w:val="20"/>
          <w:szCs w:val="20"/>
          <w:color w:val="auto"/>
        </w:rPr>
      </w:pPr>
      <w:r>
        <w:rPr>
          <w:rFonts w:ascii="Times New Roman" w:cs="Times New Roman" w:eastAsia="Times New Roman" w:hAnsi="Times New Roman"/>
          <w:sz w:val="18"/>
          <w:szCs w:val="18"/>
          <w:color w:val="auto"/>
        </w:rPr>
        <w:t>in each case, as a result of which the Ordinary Shares (directly or in the form of ADSs)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then, prior to or at the effective time of such Merger Event, the Company or the successor or purchasing Person, as the case may be, shall execute an amendment to this Note providing that, at and after the effective time of such Merger Event, the right to convert the Note shall be changed into a right to convert the Note into the kind and amount of shares of stock, other securities or other property or assets (including cash or any combination thereof) that a holder of a number of Ordinary Shares equal to the quotient of the Note amount divided by the applicable conversion price immediately prior to such Merger Event would have owned or been entitled to receive (the “</w:t>
      </w:r>
      <w:r>
        <w:rPr>
          <w:rFonts w:ascii="Times New Roman" w:cs="Times New Roman" w:eastAsia="Times New Roman" w:hAnsi="Times New Roman"/>
          <w:sz w:val="18"/>
          <w:szCs w:val="18"/>
          <w:u w:val="single" w:color="auto"/>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u w:val="single" w:color="auto"/>
          <w:color w:val="auto"/>
        </w:rPr>
        <w:t>unit of Reference Property</w:t>
      </w:r>
      <w:r>
        <w:rPr>
          <w:rFonts w:ascii="Times New Roman" w:cs="Times New Roman" w:eastAsia="Times New Roman" w:hAnsi="Times New Roman"/>
          <w:sz w:val="18"/>
          <w:szCs w:val="18"/>
          <w:color w:val="auto"/>
        </w:rPr>
        <w:t xml:space="preserve">” meaning the kind and amount of Reference Property that a holder of one Ordinary Share is entitled to receive) upon such Merger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and after the effective time of the Merger Event the number of Ordinary Shares otherwise deliverable upon any conversion of the Note in accordance with Section 3 shall instead be deliverable in the amount and type of Reference Property that a holder of that number of Ordinary Shares would have been entitled to receive in such Merger Event.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1300"/>
        <w:spacing w:after="0" w:line="261" w:lineRule="auto"/>
        <w:rPr>
          <w:sz w:val="20"/>
          <w:szCs w:val="20"/>
          <w:color w:val="auto"/>
        </w:rPr>
      </w:pPr>
      <w:r>
        <w:rPr>
          <w:rFonts w:ascii="Times New Roman" w:cs="Times New Roman" w:eastAsia="Times New Roman" w:hAnsi="Times New Roman"/>
          <w:sz w:val="18"/>
          <w:szCs w:val="18"/>
          <w:color w:val="auto"/>
        </w:rPr>
        <w:t>If the Merger Event causes the Ordinary Shares (directly or in the form of ADSs) to be converted into, or exchanged for, the right to receive more than a single type of consideration (determined based in part upon any form of holder election), then</w:t>
      </w:r>
    </w:p>
    <w:p>
      <w:pPr>
        <w:jc w:val="both"/>
        <w:ind w:left="1300" w:hanging="8"/>
        <w:spacing w:after="0" w:line="252" w:lineRule="auto"/>
        <w:tabs>
          <w:tab w:leader="none" w:pos="15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Reference Property into which the Note will be convertible shall be deemed to be the weighted average of the types and amounts of consideration received by the holders of Ordinary Shares (directly or in the form of ADSs) that affirmatively make such an election or (B) if no such holders affirmatively make such an election, the types and amounts of consideration actually received by such holders, and (ii) the unit of Reference Property for purposes of the immediately preceding paragraph shall refer to the consideration referred to in clause (i) attributable to one Ordinary Shares. The Company shall provide written notice to the Holder of such weighted average as soon as practicable after such determination is made.</w:t>
      </w:r>
    </w:p>
    <w:p>
      <w:pPr>
        <w:spacing w:after="0" w:line="190"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Such amendment described in the second immediately preceding paragraph shall provide for anti-dilution and other adjustments that shall be as nearly equivalent as is practicable to the adjustments provided for in this Section 4 (it being understood that no such adjustments shall be required with respect to any portion of the Reference Property that does not consist of shares of Common Equity (however evidenced) or depositary receipts in respect thereof). If, in the case of any Merger Event, the Reference Property includes shares of stock, securities or other property or assets (including cash or any combination thereof) of a Person other than the Company or the successor or purchasing Person, as the case may be, in such Merger Event, then such other Person shall also execute such amendment, and such amendment shall contain such additional provisions to protect the interests of the Holder, including the rights of the Holder to require the Company to repurchase this Note upon a Fundamental Change pursuant to Section 5 as the Board of Directors shall reasonably consider necessary by reason of the foregoing.</w:t>
      </w:r>
    </w:p>
    <w:p>
      <w:pPr>
        <w:spacing w:after="0" w:line="188" w:lineRule="exact"/>
        <w:rPr>
          <w:sz w:val="20"/>
          <w:szCs w:val="20"/>
          <w:color w:val="auto"/>
        </w:rPr>
      </w:pPr>
    </w:p>
    <w:p>
      <w:pPr>
        <w:ind w:left="1300" w:right="20" w:hanging="656"/>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foregoing provisions shall affect the right of the Holder to convert this Note into Ordinary Shares as set forth in Section 3 prior to the effective date of such Merger Event.</w:t>
      </w:r>
    </w:p>
    <w:p>
      <w:pPr>
        <w:spacing w:after="0" w:line="16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4.1 shall similarly apply to successive Merger Events.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Certain Covenants.</w:t>
      </w:r>
    </w:p>
    <w:p>
      <w:pPr>
        <w:spacing w:after="0" w:line="225" w:lineRule="exact"/>
        <w:rPr>
          <w:sz w:val="20"/>
          <w:szCs w:val="20"/>
          <w:color w:val="auto"/>
        </w:rPr>
      </w:pPr>
    </w:p>
    <w:p>
      <w:pPr>
        <w:ind w:left="1300" w:hanging="656"/>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all Ordinary Shares delivered upon any conversion of this Note will be fully paid and non-assessable by the Company and free from all taxes, liens and charges with respect to the issue thereof.</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5" w:name="page46"/>
    <w:bookmarkEnd w:id="45"/>
    <w:p>
      <w:pPr>
        <w:jc w:val="both"/>
        <w:ind w:left="840" w:hanging="656"/>
        <w:spacing w:after="0" w:line="261"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Ordinary Shares to be provided for the purpose of any conversion of this Note require registration with or approval of any Governmental Authority under any Law before such Ordinary Shares may be validly issued upon conversion, the Company will, to the extent then permitted by applicable Law, secure such registration or approval, as the case may be.</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to take all actions and obtain all approvals and registrations required with respect to any conversion of this Note into Ordinary Shares, and shall reserve for issuance an adequate number of Ordinary Shares, such that Ordinary Shares can be delivered in accordance with the terms of this Note upon any conversion hereunder. In addition, the Company further covenants to provide the Holder with a reasonably detailed description of the mechanics for the delivery of Ordinary Shares upon any conversion of this Note upon request.</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and agree that the Holder may only resell the Note, the Ordinary Shares delivered upon conversion of all or any portion of the Note pursuant to an effective registration statement or an exemption from, or in a transaction not subject to, the registration requirements of the Securities Act and other applicable securities Laws.</w:t>
      </w:r>
    </w:p>
    <w:p>
      <w:pPr>
        <w:spacing w:after="0" w:line="176"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Notice for Certain Actions. In case of any (a) Merger Event or (b) voluntary or involuntary dissolution, liquidation or winding-up of the Company or any of its Subsidiaries, then, in each case (unless notice of such event is otherwise required pursuant to another provision of this Note), the Company shall deliver a written notice to the Holder, as promptly as possible but in any event at least twenty (20) days prior to the applicable date hereinafter specified, stating (i) the date on which a record is to be taken for the purpose of such action by the Company or one of its Subsidiaries or, if a record is not to be taken, the date as of which the holders of Ordinary Shares, of record are to be determined for the purposes of such action by the Company or one of its Subsidiaries, or (ii) the date on which such Merger Event, dissolution, liquidation or winding-up is expected to become effective or occur, and the date as of which it is expected that holders of Ordinary Shares, of record shall be entitled to exchange their Ordinary Shares, for securities or other property deliverable upon such Merger Event, dissolution, liquidation or winding-up. Failure to give such notice, or any defect therein, shall not affect the legality or validity of such action by the Company or one of its Subsidiaries, Merger Event, dissolution, liquidation or winding-up unless otherwise provided for pursuant to any applicable Laws, the constitutional documents of the Company or any such Subsidiaries or any agreement or document to which the Company or any such Subsidiaries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adversely affect any right, claim or other remedies, at law or contract, of the Holder arising as a result of or in connection with such failure or defect.</w:t>
      </w:r>
    </w:p>
    <w:p>
      <w:pPr>
        <w:spacing w:after="0" w:line="187" w:lineRule="exact"/>
        <w:rPr>
          <w:sz w:val="20"/>
          <w:szCs w:val="20"/>
          <w:color w:val="auto"/>
        </w:rPr>
      </w:pPr>
    </w:p>
    <w:p>
      <w:pPr>
        <w:jc w:val="both"/>
        <w:ind w:left="180" w:hanging="647"/>
        <w:spacing w:after="0" w:line="255" w:lineRule="auto"/>
        <w:tabs>
          <w:tab w:leader="none" w:pos="1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Termination of Depository Receipt Program. If the Ordinary Shares cease to be represented by ADSs issued under a depositary receipt program sponsored by the Company, all references in this Note to the ADSs shall be deemed to have been replaced by a reference to the number of Ordinary Shares (and other property, if any) represented by the ADSs on the last day on which the ADSs represented the Ordinary Shares and as if the Ordinary Shares and the other property had been distributed to holders of the ADSs on that day. In addition, all references to the Last Reported Sale Price of the ADSs will be deemed to refer to the Last Reported Sale Price of the Ordinary Shares, and other appropriate adjustments, will be made to reflect such change. In making such adjustments, where currency translations between U.S. dollars and any other currency are required, the exchange rate in effect on the date of determination will apply.</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6" w:name="page47"/>
    <w:bookmarkEnd w:id="46"/>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REPURCHASE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5.1Repurchase on Fundamental Change.</w:t>
      </w:r>
    </w:p>
    <w:p>
      <w:pPr>
        <w:spacing w:after="0" w:line="225" w:lineRule="exact"/>
        <w:rPr>
          <w:rFonts w:ascii="Times New Roman" w:cs="Times New Roman" w:eastAsia="Times New Roman" w:hAnsi="Times New Roman"/>
          <w:sz w:val="18"/>
          <w:szCs w:val="18"/>
          <w:b w:val="1"/>
          <w:bCs w:val="1"/>
          <w:color w:val="auto"/>
        </w:rPr>
      </w:pPr>
    </w:p>
    <w:p>
      <w:pPr>
        <w:jc w:val="both"/>
        <w:ind w:left="1960" w:hanging="656"/>
        <w:spacing w:after="0" w:line="254"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Fundamental Change occurs at any time, the Holder shall have the right, at its option, to require the Company to repurchase for cash all of the Note or any portion thereof on the date (the “</w:t>
      </w:r>
      <w:r>
        <w:rPr>
          <w:rFonts w:ascii="Times New Roman" w:cs="Times New Roman" w:eastAsia="Times New Roman" w:hAnsi="Times New Roman"/>
          <w:sz w:val="18"/>
          <w:szCs w:val="18"/>
          <w:u w:val="single" w:color="auto"/>
          <w:color w:val="auto"/>
        </w:rPr>
        <w:t>Fundamental Change Repurchase Date</w:t>
      </w:r>
      <w:r>
        <w:rPr>
          <w:rFonts w:ascii="Times New Roman" w:cs="Times New Roman" w:eastAsia="Times New Roman" w:hAnsi="Times New Roman"/>
          <w:sz w:val="18"/>
          <w:szCs w:val="18"/>
          <w:color w:val="auto"/>
        </w:rPr>
        <w:t>”) notified in writing by the Company that is not less than twenty (20) Business Days and not more than thirty (30) Business Days following the date of the Fundamental Change Company Notice (as defined below) at a repurchase price (the “</w:t>
      </w:r>
      <w:r>
        <w:rPr>
          <w:rFonts w:ascii="Times New Roman" w:cs="Times New Roman" w:eastAsia="Times New Roman" w:hAnsi="Times New Roman"/>
          <w:sz w:val="18"/>
          <w:szCs w:val="18"/>
          <w:u w:val="single" w:color="auto"/>
          <w:color w:val="auto"/>
        </w:rPr>
        <w:t>Fundamental Change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equal to (A) 100% of the principal amount (or such portion thereof, as the case may be), plus (B) a premium equal to the aggregate interest that would have accrued on such principal amount (or such portion thereof, as the case may be) over the period starting from (and including) the date of the Issue Date and ending on (and including) the Fundamental Change Repurchase Date, and plus (C) all other amounts due and payable on or in respect of the Note, if any.</w:t>
      </w:r>
    </w:p>
    <w:p>
      <w:pPr>
        <w:spacing w:after="0" w:line="191"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the Note under this Section 5.1 shall be made, at the option of the Holder thereof, upon: (i) delivery by the Holder to the Company of a duly completed notice (the “</w:t>
      </w:r>
      <w:r>
        <w:rPr>
          <w:rFonts w:ascii="Times New Roman" w:cs="Times New Roman" w:eastAsia="Times New Roman" w:hAnsi="Times New Roman"/>
          <w:sz w:val="18"/>
          <w:szCs w:val="18"/>
          <w:u w:val="single" w:color="auto"/>
          <w:color w:val="auto"/>
        </w:rPr>
        <w:t>Fundamental Change Repurchase Notice</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on or before the close of business on the second Business Day immediately preceding the Fundamental Change Repurchase Date; and (ii) delivery of the Note to the Company at any time after delivery of the Fundamental Change Repurchase Notice (together with all necessary endorsements for transfer), such delivery being a condition to receipt by the Holder of the Fundamental Change Repurchase Price therefor. Each Fundamental Change Repurchase Notice shall state the portion of the principal amount of the Note to be repurchased.</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Holder shall have the right to withdraw, in whole or in part, such Fundamental Change Repurchase Notice at any time prior to the close of business on the second Business Day immediately preceding the Fundamental Change Repurchase Date by delivery of a written notice of withdrawal to the Company in accordance with Section 5.2.</w:t>
      </w:r>
    </w:p>
    <w:p>
      <w:pPr>
        <w:spacing w:after="0" w:line="183" w:lineRule="exact"/>
        <w:rPr>
          <w:rFonts w:ascii="Times New Roman" w:cs="Times New Roman" w:eastAsia="Times New Roman" w:hAnsi="Times New Roman"/>
          <w:sz w:val="18"/>
          <w:szCs w:val="18"/>
          <w:color w:val="auto"/>
        </w:rPr>
      </w:pPr>
    </w:p>
    <w:p>
      <w:pPr>
        <w:jc w:val="both"/>
        <w:ind w:left="1960" w:hanging="656"/>
        <w:spacing w:after="0" w:line="213" w:lineRule="auto"/>
        <w:tabs>
          <w:tab w:leader="none" w:pos="1960" w:val="left"/>
        </w:tabs>
        <w:numPr>
          <w:ilvl w:val="1"/>
          <w:numId w:val="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 or before the twentieth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after the occurrence of the effective date of a Fundamental Change, the Company shall provide to the Holder a written notice (the “</w:t>
      </w:r>
      <w:r>
        <w:rPr>
          <w:rFonts w:ascii="Times New Roman" w:cs="Times New Roman" w:eastAsia="Times New Roman" w:hAnsi="Times New Roman"/>
          <w:sz w:val="18"/>
          <w:szCs w:val="18"/>
          <w:u w:val="single" w:color="auto"/>
          <w:color w:val="auto"/>
        </w:rPr>
        <w:t>Fundamental Change Company Notice</w:t>
      </w:r>
      <w:r>
        <w:rPr>
          <w:rFonts w:ascii="Times New Roman" w:cs="Times New Roman" w:eastAsia="Times New Roman" w:hAnsi="Times New Roman"/>
          <w:sz w:val="18"/>
          <w:szCs w:val="18"/>
          <w:color w:val="auto"/>
        </w:rPr>
        <w:t>”) of the occurrence of the effective date of the Fundamental Change and of the repurchase right at the option of the Holder arising as a result thereof. Each Fundamental Change Company Notice shall specify:</w:t>
      </w:r>
    </w:p>
    <w:p>
      <w:pPr>
        <w:spacing w:after="0" w:line="198" w:lineRule="exact"/>
        <w:rPr>
          <w:rFonts w:ascii="Times New Roman" w:cs="Times New Roman" w:eastAsia="Times New Roman" w:hAnsi="Times New Roman"/>
          <w:sz w:val="36"/>
          <w:szCs w:val="36"/>
          <w:color w:val="auto"/>
          <w:vertAlign w:val="superscript"/>
        </w:rPr>
      </w:pPr>
    </w:p>
    <w:p>
      <w:pPr>
        <w:ind w:left="2600" w:hanging="648"/>
        <w:spacing w:after="0"/>
        <w:tabs>
          <w:tab w:leader="none" w:pos="26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Fundamental Change;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the Holder may exercise the repurchase right pursuant to this Section 5.1;</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1940" w:hanging="648"/>
        <w:spacing w:after="0" w:line="282" w:lineRule="auto"/>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 may be converted only if any Fundamental Change Repurchase Notice that has been delivered by the Holder has been withdrawn in accordance with the terms of this Note; and</w:t>
      </w:r>
    </w:p>
    <w:p>
      <w:pPr>
        <w:spacing w:after="0" w:line="161" w:lineRule="exact"/>
        <w:rPr>
          <w:rFonts w:ascii="Times New Roman" w:cs="Times New Roman" w:eastAsia="Times New Roman" w:hAnsi="Times New Roman"/>
          <w:sz w:val="18"/>
          <w:szCs w:val="18"/>
          <w:color w:val="auto"/>
        </w:rPr>
      </w:pPr>
    </w:p>
    <w:p>
      <w:pPr>
        <w:ind w:left="1940" w:hanging="648"/>
        <w:spacing w:after="0" w:line="282" w:lineRule="auto"/>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in accordance with the terms of this Note that the Holder must follow to require the Company to repurchase the Note.</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Holder’s repurchase rights or affect the validity of the proceedings for the repurchase of the Note pursuant to this Section 5.1.</w:t>
      </w:r>
    </w:p>
    <w:p>
      <w:pPr>
        <w:spacing w:after="0" w:line="162"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Withdrawal of Fundamental Change Repurchase Notice or Early Repurchase Notice. A Fundamental Change Repurchase Notice or an Early Repurchase Notice (as the case may be) may be withdrawn (in whole or in part) by means of a duly completed written notice of withdrawal delivered to the Company in accordance with this Section 5.2 at any time prior to the close of business on the second Business Day immediately preceding the relevant Fundamental Change Repurchase Date or the Early Repurchase Date (as the case may be), specifying (a) the principal amount of the Note with respect to which such notice of withdrawal is being submitted and (b) the principal amount, if any, of the Note that remains subject to the original Fundamental Change Repurchase Notice or the original Early Repurchase Notice (as the case may be).</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Payment of Fundamental Change Repurchase Price.</w:t>
      </w:r>
    </w:p>
    <w:p>
      <w:pPr>
        <w:spacing w:after="0" w:line="225" w:lineRule="exact"/>
        <w:rPr>
          <w:sz w:val="20"/>
          <w:szCs w:val="20"/>
          <w:color w:val="auto"/>
        </w:rPr>
      </w:pPr>
    </w:p>
    <w:p>
      <w:pPr>
        <w:jc w:val="both"/>
        <w:ind w:left="1300" w:hanging="656"/>
        <w:spacing w:after="0" w:line="255"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10:00 a.m., New York time, on one Business Day prior to the relevant Fundamental Change Repurchase Date, the Company shall set aside, segregate and hold in trust for the benefit of the Holder an amount of money sufficient to repurchase the applicable portion of the Note to be repurchased at the Fundamental Change Repurchase Price. Payment for the applicable portion of the Note surrendered for repurchase (and not withdrawn in accordance with Section 5.2) will be made in accordance with Section 2.2 on the later of (i) such Fundamental Change Repurchase Date, provided the Holder has satisfied the conditions in this Section 5; and (ii) the time of delivery of the applicable portion of the Note by the Holder to the Company in the manner required by Section 5.1.</w:t>
      </w:r>
    </w:p>
    <w:p>
      <w:pPr>
        <w:spacing w:after="0" w:line="188" w:lineRule="exact"/>
        <w:rPr>
          <w:rFonts w:ascii="Times New Roman" w:cs="Times New Roman" w:eastAsia="Times New Roman" w:hAnsi="Times New Roman"/>
          <w:sz w:val="18"/>
          <w:szCs w:val="18"/>
          <w:color w:val="auto"/>
        </w:rPr>
      </w:pPr>
    </w:p>
    <w:p>
      <w:pPr>
        <w:jc w:val="both"/>
        <w:ind w:left="1300" w:hanging="656"/>
        <w:spacing w:after="0" w:line="255"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10:00 a.m., New York time, on one Business Day prior to the relevant Fundamental Change Repurchase Date, the Company holds money sufficient to make payment on the applicable portion of the Note to be repurchased on such date, then, with respect to the applicable portion of the Note that has been properly surrendered for repurchase and not validly withdrawn in accordance with Section 5.2, on such Fundamental Change Repurchase Date, (i) such portion of the Note will cease to be outstanding, (ii) interest will cease to accrue on such portion of the Note and (iii) in the event the entire outstanding amount of the Note is surrendered by the Holder to be repurchased, all other rights of the Holder will terminate (other than the right to receive the Fundamental Change Repurchase Price).</w:t>
      </w:r>
    </w:p>
    <w:p>
      <w:pPr>
        <w:spacing w:after="0" w:line="188"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surrender of the Note that is to be repurchased in part pursuant to this Section 5, the Company shall execute and deliver to the Holder a new Note in an authorized denomination equal in principal amount to the unrepurchased portion of the Note.</w:t>
      </w:r>
    </w:p>
    <w:p>
      <w:pPr>
        <w:spacing w:after="0" w:line="17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Covenant to Comply with Applicable Law upon Repurchase of the Note. In connection with any repurchase offer, the Company will, if required, comply with all federal and state securities laws in connection with any offer by the Company to repurchase the Note so as to permit the rights and obligations under this Section 5 to be exercised in the time and in the manner specified in this Section 5.</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8" w:name="page49"/>
    <w:bookmarkEnd w:id="48"/>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6.1Payment. The Company covenants and agrees that it will cause to be paid the principal and interest of, and any other amounts due and payable on, the Note or any Repurchase Price at the respective times and in accordance with the terms hereof.</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6.2Existence. Subject to Section 7, the Company shall do or cause to be done all things necessary to preserve and keep in full force and effect its corporate existence.</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6.3No Withholding. All payments and deliveries made by, or on behalf of, the Company or any successor to the Company under or with respect to this Note, including, but not limited to, payments of principal (including, if applicable, the Fundamental Change Repurchase Price), payments of interest and deliveries of Ordinary Shares (together with payments of cash for any fractional Ordinary Share) upon any conversion of the Note, shall be made without withholding or deduction for, or on account of, any present or future taxes, duties, assessments or governmental charges of whatever nature imposed or levied by or within any jurisdiction in which the Company or any successor to the Company is, for tax purposes, organized or resident or doing business or through which payment is made or deemed made (or any political subdivision or taxing authority thereof or therein), unless such withholding or deduction is required by Law or by regulation or governmental policy having the force of law.</w:t>
      </w:r>
    </w:p>
    <w:p>
      <w:pPr>
        <w:spacing w:after="0" w:line="191"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6.4Stay, Extension and Usury Laws.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any other amounts due and payable on the Note or any Repurchase Price as contemplated herein, wherever enacted, now or at any time hereafter in force, or that may affect the covenants or the performance of the Note; and the Company (to the extent it may lawfully do so) hereby expressly waives all benefit or advantage of any such Law, and covenants that it will not, by resort to any such Law, hinder, delay or impede the execution of any power herein granted to the Holder, but will suffer and permit the execution of every such power as though no such Law had been enacted.</w:t>
      </w:r>
    </w:p>
    <w:p>
      <w:pPr>
        <w:spacing w:after="0" w:line="188"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6.5Compliance Certificates; Statements as to Defaults. The Company shall deliver to the Holder within seven (7) days of a written request made by the Holder a certificate executed by an executive officer of the Company stating that a review has been conducted of the Company’s activities under this Note and whether the Company has fulfilled its obligations hereunder, and whether such officer thereof has knowledge of any Default by the Company that occurred during the previous year that is then continuing and, if so, specifying each such Default and the nature thereof. The Company shall deliver to the Holder, as soon as possible, and in any event within fifteen (15) days after the Company becomes aware of the occurrence of any Default if such Default is then continuing, an Officer’s Certificate setting forth the details of such Default, its status and the action that the Company is taking or proposing to take in respect thereof.</w:t>
      </w:r>
    </w:p>
    <w:p>
      <w:pPr>
        <w:spacing w:after="0" w:line="188"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6.6Further Instruments and Acts. Upon request of the Holder, the Company will execute and deliver such further instruments and do such further acts as may be reasonably necessary or proper to carry out more effectively the purposes of this Note.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New Note Instruments. Upon request of the Holder for the Note to be broken down into a number of note instruments of smaller principal amounts, the Company shall issue additional note instruments of such smaller principal amounts without charge within three (3) Business Days after the date of such request, provided that the existing note instrument of this Note shall be returned by the Holder to the Company for cancellation.</w:t>
      </w:r>
    </w:p>
    <w:p>
      <w:pPr>
        <w:spacing w:after="0" w:line="180"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Replacement of Note. Upon the loss, theft, destruction or mutilation of this Note (and in the case of loss, theft or destruction, of indemnity from the Holder reasonably satisfactory to the Company, or in the case of mutilation, upon surrender and cancellation thereof), the Company shall at its own expense within five (5) Business Days execute and deliver to the Holder, in lieu thereof, a new Note, dated and bearing interest from the date hereof.</w:t>
      </w:r>
    </w:p>
    <w:p>
      <w:pPr>
        <w:spacing w:after="0" w:line="176"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CONSOLIDATION, MERGER, SALE, CONVEYANCE AND LEASE</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7.1Company May Consolidate, Etc. on Certain Terms. Subject to the provisions of Section 7.2, the Company shall not consolidate with, merge with or into, or sell, convey, transfer or lease all or substantially all of its properties and assets to another Person unless:</w:t>
      </w:r>
    </w:p>
    <w:p>
      <w:pPr>
        <w:spacing w:after="0" w:line="161" w:lineRule="exact"/>
        <w:rPr>
          <w:rFonts w:ascii="Times New Roman" w:cs="Times New Roman" w:eastAsia="Times New Roman" w:hAnsi="Times New Roman"/>
          <w:sz w:val="18"/>
          <w:szCs w:val="18"/>
          <w:b w:val="1"/>
          <w:bCs w:val="1"/>
          <w:color w:val="auto"/>
        </w:rPr>
      </w:pPr>
    </w:p>
    <w:p>
      <w:pPr>
        <w:jc w:val="both"/>
        <w:ind w:left="1960" w:hanging="656"/>
        <w:spacing w:after="0" w:line="261"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if not the Company, shall be a corporation, organized and existing under the laws of the United States of America, any State thereof, the District of Columbia, the Cayman Islands, the British Virgin Islands, Bermuda or Hong Kong and the Successor Company (if not the Company) shall expressly assume all of the obligations of the Company under the Note and the Purchase Agreement; and</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under this Note.</w:t>
      </w:r>
    </w:p>
    <w:p>
      <w:pPr>
        <w:spacing w:after="0" w:line="16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For purposes of this Section 7.1,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8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Successor Corporation to Be Substituted. In case of any such consolidation, merger, sale, conveyance, transfer or lease and upon the assumption by the Successor Company of the due and punctual payment of the principal of and any other amounts due and payable on the Note and any Repurchase Price, the due and punctual delivery or payment, as the case may be, of any consideration due upon conversion of the Note and the due and punctual performance of all of the covenants and conditions of the Note to be performed by the Company, in each case in accordance with the terms hereof,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In the event of any such consolidation, merger, sale, conveyance or transfer (but not in the case of a lease), upon compliance with this Section 7 the Person named as the “Company” in the first paragraph of the Note (or any successor that shall thereafter have become such in the manner prescribed in this Section 7) may be dissolved, wound up and liquidated at any time thereafter and, except in the case of a lease, such Person shall be released from its liabilities as obligor and maker of the Note and from its obligations under the Note.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No consolidation, merger, sale, conveyance, transfer or lease shall be effective unless any such consolidation, merger, sale, conveyance, transfer or lease and any such assumption has complied with the provisions of this Section 7.</w:t>
      </w:r>
    </w:p>
    <w:p>
      <w:pPr>
        <w:spacing w:after="0" w:line="158"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CANCELLATION</w:t>
      </w:r>
    </w:p>
    <w:p>
      <w:pPr>
        <w:spacing w:after="0" w:line="229"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8.1After all amounts at any time owing on the Note have been paid in full or upon the conversion of the Note in full pursuant to Section 3, the Note shall be surrendered to the Company for cancellation and shall not be reissued.</w:t>
      </w:r>
    </w:p>
    <w:p>
      <w:pPr>
        <w:spacing w:after="0" w:line="158"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9.1Termination of Rights. All rights under this Note shall terminate when (a) all amounts at any time owing on the Note have been paid in full or (b) the Note is converted in full pursuant to the terms set forth in Section 3.</w:t>
      </w:r>
    </w:p>
    <w:p>
      <w:pPr>
        <w:spacing w:after="0" w:line="161" w:lineRule="exact"/>
        <w:rPr>
          <w:rFonts w:ascii="Times New Roman" w:cs="Times New Roman" w:eastAsia="Times New Roman" w:hAnsi="Times New Roman"/>
          <w:sz w:val="18"/>
          <w:szCs w:val="18"/>
          <w:b w:val="1"/>
          <w:bCs w:val="1"/>
          <w:color w:val="auto"/>
        </w:rPr>
      </w:pPr>
    </w:p>
    <w:p>
      <w:pPr>
        <w:ind w:left="130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9.2Provisions Binding on Company’s Successors. All the covenants, stipulations, promises and agreements of the Company contained in the Note shall bind its successors and assigns whether so expressed or not.</w:t>
      </w:r>
    </w:p>
    <w:p>
      <w:pPr>
        <w:spacing w:after="0" w:line="161"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9.3Official Acts by Successor Company. Any act or proceeding by any provision of the Note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9.4Amendments and Waivers; Notice. The amendment or waiver of any term of the Note shall be subject to the written consent of the Holder and the Company. The provision of notice shall be made pursuant to the terms of the Purchase Agreement.</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9.5</w:t>
      </w:r>
      <w:r>
        <w:rPr>
          <w:rFonts w:ascii="Times New Roman" w:cs="Times New Roman" w:eastAsia="Times New Roman" w:hAnsi="Times New Roman"/>
          <w:sz w:val="17"/>
          <w:szCs w:val="17"/>
          <w:color w:val="auto"/>
        </w:rPr>
        <w:t>Transfer Restrictions.</w:t>
      </w:r>
    </w:p>
    <w:p>
      <w:pPr>
        <w:spacing w:after="0" w:line="225" w:lineRule="exact"/>
        <w:rPr>
          <w:rFonts w:ascii="Times New Roman" w:cs="Times New Roman" w:eastAsia="Times New Roman" w:hAnsi="Times New Roman"/>
          <w:sz w:val="18"/>
          <w:szCs w:val="18"/>
          <w:b w:val="1"/>
          <w:bCs w:val="1"/>
          <w:color w:val="auto"/>
        </w:rPr>
      </w:pPr>
    </w:p>
    <w:p>
      <w:pPr>
        <w:jc w:val="both"/>
        <w:ind w:left="1960" w:hanging="656"/>
        <w:spacing w:after="0" w:line="254" w:lineRule="auto"/>
        <w:tabs>
          <w:tab w:leader="none" w:pos="1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covenants that the Note and/or the Ordinary Shares issuable upon conversion of the Note will only be disposed of pursuant to an effective registration statement under, and in compliance with the requirements of, the Securities Act or pursuant to an available exemption from the registration requirements of the Securities Act, and in compliance with any applicable state securities laws. In connection with any transfer of Notes and/or the Ordinary Shares issuable upon conversion of the Note other than pursuant to an effective registration statement or Rule 144 promulgated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may require the transferor to provide to the Company an opinion of counsel selected by the transferor, the form and substance of which opinion shall be reasonably acceptable to the Company with respect to transactions of a similar nature, to the effect that such transfer does not require registration under the Securities Act.</w:t>
      </w:r>
    </w:p>
    <w:p>
      <w:pPr>
        <w:spacing w:after="0" w:line="19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agrees to the imprinting, until no longer required by this Section 9.5, of the following legend on any certificate evidencing any of the Note or the Ordinary Shares issuable upon conversion of the Note:</w:t>
      </w:r>
    </w:p>
    <w:p>
      <w:pPr>
        <w:spacing w:after="0" w:line="161" w:lineRule="exact"/>
        <w:rPr>
          <w:rFonts w:ascii="Times New Roman" w:cs="Times New Roman" w:eastAsia="Times New Roman" w:hAnsi="Times New Roman"/>
          <w:sz w:val="18"/>
          <w:szCs w:val="18"/>
          <w:color w:val="auto"/>
        </w:rPr>
      </w:pPr>
    </w:p>
    <w:p>
      <w:pPr>
        <w:jc w:val="both"/>
        <w:ind w:left="19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HAVE NOT BEEN REGISTERED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UNDER ANY OTHER SECURITIES LAWS. THESE SECURITIES ARE SUBJECT TO RESTRICTIONS ON TRANSFERABILITY AND RESALE AND MAY NOT BE TRANSFERRED OR RESOLD EXCEPT AS PERMITTED UNDER THE SECURITIES ACT AND OTHER APPLICABLE SECURITIES LAWS, PURSUANT TO REGISTRATION OR EXEMPTION THEREFROM.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legend set forth above shall be removed and the Company shall issue a certificate without such legend to the holder of the Note or the Ordinary Shares issuable upon conversion of the Note if, unless otherwise required by state securities laws, (i) such securities are registered for resale under the Securities Act and are transferred to a Holder pursuant to a registration statement that is effective at the time of such transfer, (ii) in connection with a sale, assignment or other transfer, such Holder provides the Company with an opinion of counsel, the form and substance of which opinion shall be reasonably acceptable to the Company with respect to transactions of a similar nature, that the sale, assignment or transfer of the securities may be made without registration under the applicable requirements of the Securities Act or (iii) such Holder provides the Company with reasonable assurance that the securities can be sold, assigned or transferred pursuant to Rule 144 or have been sold under Rule 144.</w:t>
      </w:r>
    </w:p>
    <w:p>
      <w:pPr>
        <w:spacing w:after="0" w:line="192" w:lineRule="exact"/>
        <w:rPr>
          <w:sz w:val="20"/>
          <w:szCs w:val="20"/>
          <w:color w:val="auto"/>
        </w:rPr>
      </w:pPr>
    </w:p>
    <w:p>
      <w:pPr>
        <w:jc w:val="both"/>
        <w:ind w:left="1300" w:hanging="656"/>
        <w:spacing w:after="0" w:line="25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transfers of this Note shall be registered upon registration books maintained for such purpose by or on behalf of the Company. Prior to presentation of this Note for registration of transfer, the Company shall treat the registered holder hereof as the owner and holder of this Note for the purpose of receiving all payments of principal of and any other amounts due and payable on the Note and any Repurchase Price and for all other purposes whatsoever. This provision is intended to be a book entry system as defined in Treasury Regulations Section 5f.103-1(c) and shall be interpreted consistently therewith.</w:t>
      </w:r>
    </w:p>
    <w:p>
      <w:pPr>
        <w:spacing w:after="0" w:line="187" w:lineRule="exact"/>
        <w:rPr>
          <w:sz w:val="20"/>
          <w:szCs w:val="20"/>
          <w:color w:val="auto"/>
        </w:rPr>
      </w:pPr>
    </w:p>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No Third Party Beneficiary. A person who is not a party to this Note shall have no right under the Contracts (Rights of Third Parties) Ordinance (Chapter 623) to enforce any of its terms.</w:t>
      </w:r>
    </w:p>
    <w:p>
      <w:pPr>
        <w:spacing w:after="0" w:line="162" w:lineRule="exact"/>
        <w:rPr>
          <w:sz w:val="20"/>
          <w:szCs w:val="20"/>
          <w:color w:val="auto"/>
        </w:rPr>
      </w:pPr>
    </w:p>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Governing Law. This Note shall be governed by and construed in accordance with the laws of Hong Kong without regard to principles of conflicts of law.</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color w:val="auto"/>
        </w:rPr>
        <w:t>Arbitration.</w:t>
      </w:r>
    </w:p>
    <w:p>
      <w:pPr>
        <w:spacing w:after="0" w:line="225" w:lineRule="exact"/>
        <w:rPr>
          <w:sz w:val="20"/>
          <w:szCs w:val="20"/>
          <w:color w:val="auto"/>
        </w:rPr>
      </w:pPr>
    </w:p>
    <w:p>
      <w:pPr>
        <w:jc w:val="both"/>
        <w:ind w:left="1300" w:hanging="656"/>
        <w:spacing w:after="0" w:line="261"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controversy, difference or claim arising out of or relating to this Note,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under the HKIAC Administered Arbitration Rules in force when the Notice of Arbitration is submitted.</w:t>
      </w:r>
    </w:p>
    <w:p>
      <w:pPr>
        <w:spacing w:after="0" w:line="179"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of this arbitration clause shall be Hong Kong law. The seat of arbitration shall be Hong Kong. The number of arbitrators shall be three (3). The arbitrators shall be appointed in accordance with the HKIAC rules. The arbitration proceedings shall be conducted in English.</w:t>
      </w:r>
    </w:p>
    <w:p>
      <w:pPr>
        <w:spacing w:after="0" w:line="175"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incompatible with this arbitration agreement for any party to seek interim or conservatory relief from courts of competent jurisdiction before the constitution of the arbitral tribunal.</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2" w:name="page53"/>
    <w:bookmarkEnd w:id="52"/>
    <w:p>
      <w:pPr>
        <w:jc w:val="both"/>
        <w:ind w:left="180" w:hanging="647"/>
        <w:spacing w:after="0" w:line="258" w:lineRule="auto"/>
        <w:tabs>
          <w:tab w:leader="none" w:pos="16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Force Majeure. In no event shall the Holder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Holder shall use reasonable efforts to resume performance as soon as practicable under the circumstances.</w:t>
      </w:r>
    </w:p>
    <w:p>
      <w:pPr>
        <w:spacing w:after="0" w:line="183"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8"/>
          <w:szCs w:val="18"/>
          <w:color w:val="auto"/>
        </w:rPr>
        <w:t>Calculations. Except as otherwise provided herein, the Company shall be responsible for making all calculations called for under the Note. These calculations include, but are not limited to, determinations of the Last Reported Sale Prices, accrued interest payable on the Note, if any. The Company shall make all these calculations in good faith and, absent manifest error, the Company’s calculations shall be final and binding on the Holder. The Company shall provide a schedule of its calculations to the Holder.</w:t>
      </w:r>
    </w:p>
    <w:p>
      <w:pPr>
        <w:spacing w:after="0" w:line="180"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Delays or Omissions. No delay or failure by any party to insist on the strict performance of any provision of the Note, or to exercise any power, right or remedy, will be deemed a waiver or impairment of such performance, power, right or remedy or of any other provision of the Note, nor shall it be construed to be a waiver of any breach or default, or an acquiescence therein, or of or in any similar breach or default thereafter occurring.</w:t>
      </w:r>
    </w:p>
    <w:p>
      <w:pPr>
        <w:spacing w:after="0" w:line="180"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Interpretation. If any claim is made by a party relating to any conflict, omission or ambiguity in the provisions of the Note, no presumption or burden of proof or persuasion will be implied because the Note was prepared by or at the request of any party or its counsel.</w:t>
      </w:r>
    </w:p>
    <w:p>
      <w:pPr>
        <w:spacing w:after="0" w:line="17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[The remainder of this page has been deliberately left blank]</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the Note to be issued on the date first above written.</w:t>
      </w:r>
    </w:p>
    <w:p>
      <w:pPr>
        <w:spacing w:after="0" w:line="23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the Note to be issued on the date first above written.</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b w:val="1"/>
          <w:bCs w:val="1"/>
          <w:color w:val="auto"/>
        </w:rPr>
        <w:t>HOLDER:</w:t>
      </w:r>
      <w:r>
        <w:rPr>
          <w:sz w:val="20"/>
          <w:szCs w:val="20"/>
          <w:color w:val="auto"/>
        </w:rPr>
        <w:tab/>
      </w:r>
      <w:r>
        <w:rPr>
          <w:rFonts w:ascii="Times New Roman" w:cs="Times New Roman" w:eastAsia="Times New Roman" w:hAnsi="Times New Roman"/>
          <w:sz w:val="17"/>
          <w:szCs w:val="17"/>
          <w:b w:val="1"/>
          <w:bCs w:val="1"/>
          <w:color w:val="auto"/>
        </w:rPr>
        <w:t>Geely International (Hong Kong) Limited</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[Name of Company]</w:t>
      </w:r>
    </w:p>
    <w:p>
      <w:pPr>
        <w:spacing w:after="0" w:line="225"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The undersigned Holder of this Note hereby acknowledges receipt of a notice from Lotus Technology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Holder in accordance with Section 5.1 of this Note the entire principal amount of this Note, or the portion thereof below designated, and the premium amount below calculated in accordance with Section 5.1(a)(B).</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Principal amount to be repaid (if less than all): US$ __________</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Premium: US$ __________</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Dated: 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lowerLetter"/>
      <w:start w:val="2"/>
    </w:lvl>
  </w:abstractNum>
  <w:abstractNum w:abstractNumId="1">
    <w:nsid w:val="431BD7B7"/>
    <w:multiLevelType w:val="hybridMultilevel"/>
    <w:lvl w:ilvl="0">
      <w:lvlJc w:val="left"/>
      <w:lvlText w:val="(%1)"/>
      <w:numFmt w:val="upperLetter"/>
      <w:start w:val="3"/>
    </w:lvl>
  </w:abstractNum>
  <w:abstractNum w:abstractNumId="2">
    <w:nsid w:val="3F2DBA31"/>
    <w:multiLevelType w:val="hybridMultilevel"/>
    <w:lvl w:ilvl="0">
      <w:lvlJc w:val="left"/>
      <w:lvlText w:val="(%1)"/>
      <w:numFmt w:val="decimal"/>
      <w:start w:val="4"/>
    </w:lvl>
  </w:abstractNum>
  <w:abstractNum w:abstractNumId="3">
    <w:nsid w:val="7C83E458"/>
    <w:multiLevelType w:val="hybridMultilevel"/>
    <w:lvl w:ilvl="0">
      <w:lvlJc w:val="left"/>
      <w:lvlText w:val="(%1)"/>
      <w:numFmt w:val="lowerLetter"/>
      <w:start w:val="28"/>
    </w:lvl>
  </w:abstractNum>
  <w:abstractNum w:abstractNumId="4">
    <w:nsid w:val="257130A3"/>
    <w:multiLevelType w:val="hybridMultilevel"/>
    <w:lvl w:ilvl="0">
      <w:lvlJc w:val="left"/>
      <w:lvlText w:val="(%1)"/>
      <w:numFmt w:val="lowerRoman"/>
      <w:start w:val="6"/>
    </w:lvl>
    <w:lvl w:ilvl="1">
      <w:lvlJc w:val="left"/>
      <w:lvlText w:val="(%2)"/>
      <w:numFmt w:val="lowerLetter"/>
      <w:start w:val="31"/>
    </w:lvl>
  </w:abstractNum>
  <w:abstractNum w:abstractNumId="5">
    <w:nsid w:val="62BBD95A"/>
    <w:multiLevelType w:val="hybridMultilevel"/>
    <w:lvl w:ilvl="0">
      <w:lvlJc w:val="left"/>
      <w:lvlText w:val="(%1)"/>
      <w:numFmt w:val="lowerLetter"/>
      <w:start w:val="33"/>
    </w:lvl>
  </w:abstractNum>
  <w:abstractNum w:abstractNumId="6">
    <w:nsid w:val="436C6125"/>
    <w:multiLevelType w:val="hybridMultilevel"/>
    <w:lvl w:ilvl="0">
      <w:lvlJc w:val="left"/>
      <w:lvlText w:val="(%1)"/>
      <w:numFmt w:val="lowerRoman"/>
      <w:start w:val="2"/>
    </w:lvl>
  </w:abstractNum>
  <w:abstractNum w:abstractNumId="7">
    <w:nsid w:val="628C895D"/>
    <w:multiLevelType w:val="hybridMultilevel"/>
    <w:lvl w:ilvl="0">
      <w:lvlJc w:val="left"/>
      <w:lvlText w:val="(%1)"/>
      <w:numFmt w:val="lowerRoman"/>
      <w:start w:val="2"/>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1"/>
    </w:lvl>
    <w:lvl w:ilvl="1">
      <w:lvlJc w:val="left"/>
      <w:lvlText w:val="(%2)"/>
      <w:numFmt w:val="upperLetter"/>
      <w:start w:val="2"/>
    </w:lvl>
  </w:abstractNum>
  <w:abstractNum w:abstractNumId="11">
    <w:nsid w:val="2D1D5AE9"/>
    <w:multiLevelType w:val="hybridMultilevel"/>
    <w:lvl w:ilvl="0">
      <w:lvlJc w:val="left"/>
      <w:lvlText w:val="(%1)"/>
      <w:numFmt w:val="lowerLetter"/>
      <w:start w:val="5"/>
    </w:lvl>
  </w:abstractNum>
  <w:abstractNum w:abstractNumId="12">
    <w:nsid w:val="6763845E"/>
    <w:multiLevelType w:val="hybridMultilevel"/>
    <w:lvl w:ilvl="0">
      <w:lvlJc w:val="left"/>
      <w:lvlText w:val="2"/>
      <w:numFmt w:val="bullet"/>
      <w:start w:val="1"/>
    </w:lvl>
    <w:lvl w:ilvl="1">
      <w:lvlJc w:val="left"/>
      <w:lvlText w:val="(%2)"/>
      <w:numFmt w:val="lowerRoman"/>
      <w:start w:val="2"/>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8"/>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3"/>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5"/>
    </w:lvl>
  </w:abstractNum>
  <w:abstractNum w:abstractNumId="20">
    <w:nsid w:val="71F32454"/>
    <w:multiLevelType w:val="hybridMultilevel"/>
    <w:lvl w:ilvl="0">
      <w:lvlJc w:val="left"/>
      <w:lvlText w:val="4"/>
      <w:numFmt w:val="bullet"/>
      <w:start w:val="1"/>
    </w:lvl>
    <w:lvl w:ilvl="1">
      <w:lvlJc w:val="left"/>
      <w:lvlText w:val="(%2)"/>
      <w:numFmt w:val="lowerLetter"/>
      <w:start w:val="1"/>
    </w:lvl>
    <w:lvl w:ilvl="2">
      <w:lvlJc w:val="left"/>
      <w:lvlText w:val="(%3)"/>
      <w:numFmt w:val="lowerRoman"/>
      <w:start w:val="1"/>
    </w:lvl>
  </w:abstractNum>
  <w:abstractNum w:abstractNumId="21">
    <w:nsid w:val="2CA88611"/>
    <w:multiLevelType w:val="hybridMultilevel"/>
    <w:lvl w:ilvl="0">
      <w:lvlJc w:val="left"/>
      <w:lvlText w:val="(%1)"/>
      <w:numFmt w:val="lowerRoman"/>
      <w:start w:val="1"/>
    </w:lvl>
  </w:abstractNum>
  <w:abstractNum w:abstractNumId="22">
    <w:nsid w:val="836C40E"/>
    <w:multiLevelType w:val="hybridMultilevel"/>
    <w:lvl w:ilvl="0">
      <w:lvlJc w:val="left"/>
      <w:lvlText w:val="(%1)"/>
      <w:numFmt w:val="lowerLetter"/>
      <w:start w:val="2"/>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2"/>
    </w:lvl>
  </w:abstractNum>
  <w:abstractNum w:abstractNumId="25">
    <w:nsid w:val="8138641"/>
    <w:multiLevelType w:val="hybridMultilevel"/>
    <w:lvl w:ilvl="0">
      <w:lvlJc w:val="left"/>
      <w:lvlText w:val="5"/>
      <w:numFmt w:val="bullet"/>
      <w:start w:val="1"/>
    </w:lvl>
    <w:lvl w:ilvl="1">
      <w:lvlJc w:val="left"/>
      <w:lvlText w:val="(%2)"/>
      <w:numFmt w:val="lowerLetter"/>
      <w:start w:val="1"/>
    </w:lvl>
    <w:lvl w:ilvl="2">
      <w:lvlJc w:val="left"/>
      <w:lvlText w:val="(%3)"/>
      <w:numFmt w:val="lowerRoman"/>
      <w:start w:val="1"/>
    </w:lvl>
  </w:abstractNum>
  <w:abstractNum w:abstractNumId="26">
    <w:nsid w:val="1E7FF521"/>
    <w:multiLevelType w:val="hybridMultilevel"/>
    <w:lvl w:ilvl="0">
      <w:lvlJc w:val="left"/>
      <w:lvlText w:val="(%1)"/>
      <w:numFmt w:val="lowerRoman"/>
      <w:start w:val="6"/>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6"/>
      <w:numFmt w:val="bullet"/>
      <w:start w:val="1"/>
    </w:lvl>
  </w:abstractNum>
  <w:abstractNum w:abstractNumId="29">
    <w:nsid w:val="6CEAF087"/>
    <w:multiLevelType w:val="hybridMultilevel"/>
    <w:lvl w:ilvl="0">
      <w:lvlJc w:val="left"/>
      <w:lvlText w:val="7"/>
      <w:numFmt w:val="bullet"/>
      <w:start w:val="1"/>
    </w:lvl>
    <w:lvl w:ilvl="1">
      <w:lvlJc w:val="left"/>
      <w:lvlText w:val="(%2)"/>
      <w:numFmt w:val="lowerLetter"/>
      <w:start w:val="1"/>
    </w:lvl>
  </w:abstractNum>
  <w:abstractNum w:abstractNumId="30">
    <w:nsid w:val="22221A70"/>
    <w:multiLevelType w:val="hybridMultilevel"/>
    <w:lvl w:ilvl="0">
      <w:lvlJc w:val="left"/>
      <w:lvlText w:val="8"/>
      <w:numFmt w:val="bullet"/>
      <w:start w:val="1"/>
    </w:lvl>
  </w:abstractNum>
  <w:abstractNum w:abstractNumId="31">
    <w:nsid w:val="4516DDE9"/>
    <w:multiLevelType w:val="hybridMultilevel"/>
    <w:lvl w:ilvl="0">
      <w:lvlJc w:val="left"/>
      <w:lvlText w:val="9"/>
      <w:numFmt w:val="bullet"/>
      <w:start w:val="1"/>
    </w:lvl>
    <w:lvl w:ilvl="1">
      <w:lvlJc w:val="left"/>
      <w:lvlText w:val="(%2)"/>
      <w:numFmt w:val="lowerLetter"/>
      <w:start w:val="1"/>
    </w:lvl>
  </w:abstractNum>
  <w:abstractNum w:abstractNumId="32">
    <w:nsid w:val="3006C83E"/>
    <w:multiLevelType w:val="hybridMultilevel"/>
    <w:lvl w:ilvl="0">
      <w:lvlJc w:val="left"/>
      <w:lvlText w:val="(%1)"/>
      <w:numFmt w:val="lowerLetter"/>
      <w:start w:val="3"/>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2026-06-15T05:39:47Z</dcterms:created>
  <dcterms:modified xsi:type="dcterms:W3CDTF">2026-06-15T05:39:47Z</dcterms:modified>
</cp:coreProperties>
</file>