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Lotus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US$0.00001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Etika Automotive Sdn Bhd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Level 4B, No. 88, Jalan Perdana, Taman Tasik Perdana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Kuala Lumpur, N8, 50480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60-03-20927252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Etika Automotive Sdn Bhd</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MALAYSIA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179,754,096.00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179,754,096.00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179,754,096.00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and (9) - Represents 179,754,096 Ordinary Shares held by Etika Automotive Sdn Bhd ("Etika"). Note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to Row (13) - The percentage of class of securities beneficially owned by the reporting person and the voting power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represented thereby are based on a total of 647,687,049 issued and outstanding Ordinary Shares as of May 20, 2026</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(excluding Ordinary Shares issued to Deutsche Bank Trust Company Americas, the depositary of our ADS program,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for bulk issuance of ADSs reserved for future issuances upon the exercise or vesting of awards granted under our stock</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incentive plan).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US$0.00001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Lotus Technology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No. 800 Century Avenue, Pudong District, Shanghai, CHINA , 200120.</w:t>
      </w:r>
    </w:p>
    <w:p>
      <w:pPr>
        <w:spacing w:after="0" w:line="20" w:lineRule="exact"/>
        <w:rPr>
          <w:sz w:val="20"/>
          <w:szCs w:val="20"/>
          <w:color w:val="auto"/>
        </w:rPr>
      </w:pPr>
    </w:p>
    <w:p>
      <w:pPr>
        <w:ind w:left="40" w:right="40"/>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CUSIP number applies to the American Depositary Shares, evidenced by American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Depositary Receipts, each representing one Ordinary Share of the Issuer.</w:t>
      </w:r>
    </w:p>
    <w:p>
      <w:pPr>
        <w:spacing w:after="0" w:line="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Etika Automotive Sdn Bhd</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Level 4B, No. 88, Jalan Perdana Taman Tasik Perdana, 50480 Kuala Lumpur Malaysia Current information</w:t>
      </w:r>
    </w:p>
    <w:p>
      <w:pPr>
        <w:spacing w:after="0" w:line="14" w:lineRule="exact"/>
        <w:rPr>
          <w:rFonts w:ascii="Times New Roman" w:cs="Times New Roman" w:eastAsia="Times New Roman" w:hAnsi="Times New Roman"/>
          <w:sz w:val="22"/>
          <w:szCs w:val="22"/>
          <w:color w:val="auto"/>
        </w:rPr>
      </w:pPr>
    </w:p>
    <w:p>
      <w:pPr>
        <w:jc w:val="both"/>
        <w:ind w:left="960" w:right="200" w:hanging="912"/>
        <w:spacing w:after="0" w:line="184" w:lineRule="auto"/>
        <w:tabs>
          <w:tab w:leader="none" w:pos="96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concerning the identity and background of each of the directors and executive officers of Etika Automotive Sdn Bhd (collectively, the "Covered Persons"), as well as applicable additional information called for by Items 3 through 6, is set forth on Annex A, attached hereto and incorporated herein by reference.</w:t>
      </w:r>
    </w:p>
    <w:p>
      <w:pPr>
        <w:sectPr>
          <w:pgSz w:w="11900" w:h="16838" w:orient="portrait"/>
          <w:cols w:equalWidth="0" w:num="1">
            <w:col w:w="11240"/>
          </w:cols>
          <w:pgMar w:left="320" w:top="111" w:right="339" w:bottom="0" w:gutter="0" w:footer="0" w:header="0"/>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Etika Automotive Sdn Bhd is an investment holding company with automotive-related business.</w:t>
      </w:r>
    </w:p>
    <w:p>
      <w:pPr>
        <w:spacing w:after="0" w:line="44" w:lineRule="exact"/>
        <w:rPr>
          <w:rFonts w:ascii="Times New Roman" w:cs="Times New Roman" w:eastAsia="Times New Roman" w:hAnsi="Times New Roman"/>
          <w:sz w:val="22"/>
          <w:szCs w:val="22"/>
          <w:color w:val="auto"/>
        </w:rPr>
      </w:pPr>
    </w:p>
    <w:p>
      <w:pPr>
        <w:ind w:left="920" w:right="200" w:hanging="912"/>
        <w:spacing w:after="0" w:line="208"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the Reporting Person has not and, to the best of its knowledge, none of the Covered Persons has been convicted in any criminal proceedings (excluding traffic violations or similar misdemeanors). During the last five years, the Reporting Person has not and, to the best of its knowledge, none of the Covered Persons has been a party to a civil proceeding of a judicial or administrative body of competent jurisdiction and as a</w:t>
      </w:r>
    </w:p>
    <w:p>
      <w:pPr>
        <w:spacing w:after="0" w:line="3" w:lineRule="exact"/>
        <w:rPr>
          <w:rFonts w:ascii="Times New Roman" w:cs="Times New Roman" w:eastAsia="Times New Roman" w:hAnsi="Times New Roman"/>
          <w:sz w:val="42"/>
          <w:szCs w:val="42"/>
          <w:color w:val="auto"/>
          <w:vertAlign w:val="subscript"/>
        </w:rPr>
      </w:pPr>
    </w:p>
    <w:p>
      <w:pPr>
        <w:ind w:left="920" w:right="20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Etika Automotive Sdn Bhd - Malaysia.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33" w:lineRule="auto"/>
        <w:rPr>
          <w:sz w:val="20"/>
          <w:szCs w:val="20"/>
          <w:color w:val="auto"/>
        </w:rPr>
      </w:pPr>
      <w:r>
        <w:rPr>
          <w:rFonts w:ascii="Times New Roman" w:cs="Times New Roman" w:eastAsia="Times New Roman" w:hAnsi="Times New Roman"/>
          <w:sz w:val="22"/>
          <w:szCs w:val="22"/>
          <w:color w:val="auto"/>
        </w:rPr>
        <w:t>On January 31, 2023, the Issuer entered into a put option agreement with each of Geely International (Hong Kong) Limited ("Geely HK") and Etika (the "Put Option Agreements"), pursuant to which each of Geely HK and Etika is granted the right to require the Issuer to purchase all of the equity interests held by each of Geely HK and Etika in Lotus Advance Technologies Sdn. Bhd. On April 14, 2025, Geely HK exercised its put option, requiring the Issuer to purchase 51% of the equity interests in Lotus Advance Technologies Sdn. Bhd. On June 30, 2025, Etika also exercised its put option, requiring the Issuer to purchase 49% of the equity interests in Lotus Advance Technologies Sdn. Bhd. In connection with the closing of the transactions contemplated by the Put Option Agreements and upon the final settlement of such put options, Geely HK received 24,477,676 Ordinary Shares of the Issuer and Etika received 23,517,767 Ordinary Shares of the Issuer on June 10, 2026, in each case from Lotus Group International Limited ("LGIL"). LGIL is wholly owned by Lotus Advance Technologies Sdn. Bhd, which is in turn 51% owned by Geely HK and 49% owned by Etika. On June 10, 2026, Geely HK received 24,477,676 Ordinary Shares and Etika received 23,517,767 Ordinary Shares, in each case from LGIL, following which, LGIL ceases to beneficially own more than 5% of the outstanding shares of the Issuer.</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40"/>
        <w:spacing w:after="0" w:line="244"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Except as set forth herein, the Reporting Person does not have any present plans or proposals which relate to or would result in any of the transactions of this Item 4.</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Rows (11) and (13) of the cover page of this Schedule 13D.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Rows (7) through (10) of the cover page of this Schedule 13D.</w:t>
      </w:r>
    </w:p>
    <w:p>
      <w:pPr>
        <w:spacing w:after="0" w:line="44"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described in this Schedule 13D, the Reporting Person has not and, to the best of its knowledge, none of the Covered Persons, has effected any transactions in the Ordinary Shares of the Issuer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20" w:right="180"/>
        <w:spacing w:after="0" w:line="244"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Other than as described in this Schedule 13D, no contracts, arrangements, understandings or relationships exist with respect to the securities of the Issuer between the Reporting Person or any other person or entity.</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Annex A</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Etika Automotive Sdn Bhd</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Azman Hanafi bin Abdullah</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Azman Hanafi bin Abdullah/ Director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ectPr>
          <w:pgSz w:w="11900" w:h="16838" w:orient="portrait"/>
          <w:cols w:equalWidth="0" w:num="1">
            <w:col w:w="11140"/>
          </w:cols>
          <w:pgMar w:left="360" w:top="111"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Etika Automotive Sdn Bhd</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names of the directors and the names and titles of the executive officers of Etika Automotive Sdn Bhd and their principal occupations are set forth below. The business address of the directors and executive officers is Level 4B, No. 88, Jalan Perdana, Taman Tasik Perdana, 50480 Kuala Lumpur, Malaysia.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Position with Etika</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Present Principal</w:t>
            </w:r>
          </w:p>
        </w:tc>
        <w:tc>
          <w:tcPr>
            <w:tcW w:w="2240" w:type="dxa"/>
            <w:vAlign w:val="bottom"/>
          </w:tcPr>
          <w:p>
            <w:pPr>
              <w:spacing w:after="0"/>
              <w:rPr>
                <w:sz w:val="18"/>
                <w:szCs w:val="18"/>
                <w:color w:val="auto"/>
              </w:rPr>
            </w:pPr>
          </w:p>
        </w:tc>
      </w:tr>
      <w:tr>
        <w:trPr>
          <w:trHeight w:val="238"/>
        </w:trPr>
        <w:tc>
          <w:tcPr>
            <w:tcW w:w="40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Automotive Sdn Bhd</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Occupation</w:t>
            </w:r>
          </w:p>
        </w:tc>
        <w:tc>
          <w:tcPr>
            <w:tcW w:w="2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1"/>
        </w:trPr>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240" w:type="dxa"/>
            <w:vAlign w:val="bottom"/>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Amrin bin Awaladdin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Accountant</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Malaysian</w:t>
            </w: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Azman Hanafi bin Abdullah</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Accountant</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Malaysian</w:t>
            </w:r>
          </w:p>
        </w:tc>
      </w:tr>
      <w:tr>
        <w:trPr>
          <w:trHeight w:val="702"/>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2026-06-24T15:14:53Z</dcterms:created>
  <dcterms:modified xsi:type="dcterms:W3CDTF">2026-06-24T15:14:53Z</dcterms:modified>
</cp:coreProperties>
</file>