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Lotus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54572F101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Zhejiang Geely Holding Group</w:t>
              <w:br/>
              <w:t>No. 1760 Jiangling Road, Binjiang District</w:t>
              <w:br/>
              <w:t>Hangzhou, F4, 310051</w:t>
              <w:br/>
              <w:t>86-571-2809-8282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01/19/2026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54572F101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Li (Li Shufu)</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362,142,292.00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362,142,292.00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362,142,292.00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and (9) - Includes (i) 186,648,945 Ordinary Shares held by Lotus Advanced Technology Limited Partnership ("LATLP"); (ii) 108,740,886 Ordinary Shares held by Lotus Technology International Investment Limited ("LTIIL"); (iii) 47,995,443 Ordinary Shares held by Lotus Group International Limited ("LGIL"); (iv) 1,968,697 Ordinary Shares held by Geely Investment Holding Ltd; and (v) 16,788,321 Ordinary Shares held by ECARX Holdings Inc. LATLP is a limited liability partnership incorporated under the laws of British Virgin Islands and its 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 LTIIL is wholly owned by Geely International (Hong Kong) Limited ("Geely HK"). Geely HK is wholly owned by Hainan Geely Investment Holdings Co., Ltd, which is wholly owned by Zhejiang Geely Holding Group Co., Ltd. ("Geely Holding"). Geely Holding is 82.233% owned by Mr. Shufu Li, 8.0583% owned by Mr. Xingxing Li, and 9.7087% owned by Ningbo Yima Enterprise Management Partnership (Limited Partnership). The registered address of LTIIL is Craigmuir Chambers, Road Town, Tortola, VG 1110, British Virgin Islands. LGIL is wholly owned by Lotus Advance Technologies Sdn. Bhd, which is 51% owned by Geely HK and 49% owned by Etika Automotive Sdn Bhd ("Etika"). The registered address of LGIL is Potash Lane, Hethel, Norwich, Norfolk, NR14 8EZ, England. Geely Investment Holding Ltd. is wholly owned by Geely HK. The registered address of Geely Investment Holding Ltd. is Craigmuir Chambers, RoadTown, Tortola, VG 1110, British Virgin lslands. Mr. Eric Li (Li Shufu) controls ECARX Holdings Inc. and therefore may be deemed to beneficially own all of the 16,788,321 Ordinary Shares directly held by ECARX Holdings Inc. Note to Row (13) - The percentage of class of securities beneficially owned by the reporting person and the voting power represented thereby are based on a total of 647,082,422 issued and outstanding Ordinary Shares as of January 29, 2026 (excluding Ordinary Shares issued to Deutsche Bank Trust Company Americas, the depositary of our ADS program, for bulk issuance of ADSs reserved for future issuances upon the exercise or vesting of awards granted under our stock incentive plan).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54572F101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Lotus Advanced Technology Limited Partnership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186,648,945.00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186,648,945.00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186,648,945.00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and (9) - Represents 186,648,945 Ordinary Shares held by LATLP. LATLP is a limited liability partnership incorporated under the laws of British Virgin Islands and its 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 Note to Row (13) - The percentage of class of securities beneficially owned by the reporting person and the voting power represented thereby are based on a total of 647,082,422 issued and outstanding Ordinary Shares as of January 29, 2026 (excluding Ordinary Shares issued to Deutsche Bank Trust Company Americas, the depositary of our ADS program, for bulk issuance of ADSs reserved for future issuances upon the exercise or vesting of awards granted under our stock incentive plan).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54572F101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Lotus Technology International Investment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108,740,886.00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108,740,886.00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108,740,886.00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and (9) - Represents 108,740,886 Ordinary Shares held by LTIIL. LTIIL is wholly owned by Geely HK, which is ultimately wholly owned by Geely Holding. Geely Holding is 82.233% owned by Mr. Shufu Li, 8.0583% owned by Mr. Xingxing Li, and 9.7087% owned by Ningbo Yima Enterprise Management Partnership (Limited Partnership). The registered address of LTIIL is Craigmuir Chambers, Road Town, Tortola, VG 1110, British Virgin Islands. Note to Row (13) - The percentage of class of securities beneficially owned by the reporting person and the voting power represented thereby are based on a total of 647,082,422 issued and outstanding Ordinary Shares as of January 29, 2026 (excluding Ordinary Shares issued to Deutsche Bank Trust Company Americas, the depositary of our ADS program, for bulk issuance of ADSs reserved for future issuances upon the exercise or vesting of awards granted under our stock incentive plan).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54572F101</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Lotus Group International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47,995,443.00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47,995,443.00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47,995,443.00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and (9) - Represents 47,995,443 Ordinary Shares held by LGIL. LGIL is wholly owned by Lotus Advance Technologies Sdn. Bhd, which is 51% owned by Geely HK and 49% owned by Etika. Geely HK is ultimately wholly owned by Geely Holding. Geely Holding is 82.233% owned by Mr. Shufu Li, 8.0583% owned by Mr. Xingxing Li, and 9.7087% owned by Ningbo Yima Enterprise Management Partnership (Limited Partnership). The registered address of LGIL is Potash Lane, Hethel, Norwich, Norfolk, NR14 8EZ, England. Note to Row (13) - The percentage of class of securities beneficially owned by the reporting person and the voting power represented thereby are based on a total of 647,082,422 issued and outstanding Ordinary Shares as of January 29, 2026 (excluding Ordinary Shares issued to Deutsche Bank Trust Company Americas, the depositary of our ADS program, for bulk issuance of ADSs reserved for future issuances upon the exercise or vesting of awards granted under our stock incentive plan).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Lotus Technology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800 Century Avenue, Pudong District, Shanghai, CHINA , 200120.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CUSIP number applies to the American Depositary Shares, evidenced by American Depositary Receipts, each representing one ordinary share of the Issuer.</w:t>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Eric Li (Li Shufu) Lotus Advanced Technology Limited Partnership Lotus Technology International Investment Limited Lotus Group International Limited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For Eric Li (Li Shufu): 1760 Jiangling Road, Binjiang District Hangzhou, Zhejiang Province China For Lotus Advanced Technology Limited Partnership: Sertus Chambers, P.O. Box 905, Quastisky Building Road Town, Tortola British Virgin Islands For Lotus Technology International Investment Limited: Craigmuir Chambers Road Town, Tortola, VG 1110 British Virgin Islands For Lotus Group International Limited: Potash Lane, Hethel, Norwich, Norfolk, NR14 8EZ, England Current information concerning the identity and background of each of the directors and executive officers of Lotus Advanced Technology Limited Partnership, Lotus Technology International Investment Limited and Lotus Group International Limited (collectively, the "Covered Persons"), as well as applicable additional information called for by Items 3 through 6, is set forth on Annex A, attached hereto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Lotus Advanced Technology Limited Partnership is an investment holding platform. Lotus Technology International Investment Limited is an investment holding platform. Lotus Group International Limited is a holding company.</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During the last five years, none of the Reporting Persons and, to the best of their knowledge, none of the Covered Persons has been convicted in any criminal proceedings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During the last five years, none of the Reporting Persons and, to the best of their knowledge, none of the Covered Persons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0"/>
              <w:jc w:val="left"/>
              <w:rPr/>
            </w:pPr>
            <w:r>
              <w:rPr/>
              <w:t>Eric Li (Li Shufu) -- People's Republic of China Lotus Advanced Technology Limited Partnership - British Virgin Islands Lotus Technology International Investment Limited - British Virgin Islands Lotus Group International Limited - United Kingdom</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The Issuer entered into a share subscription agreement with ECARX Holdings Inc. on December 23, 2025. Pursuant to the subscription agreement, ECARX Holdings Inc. agreed to subscribe for and purchase from the Issuer, through a private placement, a total of 16,788,321 newly issued Ordinary Shares at a price of US$1.37 per share, for a total purchase price of US$23 million (the "PIPE transaction"). The PIPE transaction closed on January 19, 2026, and immediately after such closing, ECARX Holdings Inc. directly holds 16,788,321 Ordinary Shares, amounting to 2.6% of the total issued and outstanding shares of the Issuer. Mr. Eric Li (Li Shufu) previously reported his beneficial ownership of the securities of the Issuer on a Schedule 13G pursuant to Rule 13d-1(d) under the Securities Exchange Act of 1934, as amended (the "Exchange Act"). Mr. Eric Li (Li Shufu) is now filing this statement on Schedule 13D because, as of January 29, 2026, the reporting person had acquired additional beneficial ownership during the preceding 12 months of more than 2% of the issued and outstanding shares of the Issuer as a result of the PIPE transaction. Each of Lotus Advanced Technology Limited Partnership, Lotus Technology International Investment Limited and Lotus Group International Limited also previously reported its beneficial ownership of the securities of the Issuer on a Schedule 13G pursuant to Rule 13d-1(d) under the Exchange Act and is now filing this statement on Schedule 13D.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The information set forth in Item 3 is hereby incorporated by reference in its entirety. Except as set forth herein, the Reporting Persons do not have any present plans or proposals which relate to or would result in any of the transactions of this Item 4.</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See responses to Rows (11) and (13) of the cover pages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See responses to Rows (7) through (10) of the cover pages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Other than as described in this Schedule 13D, none of the Reporting Persons and, to the best of their knowledge, none of the Covered Persons, has effected any transactions in the Ordinary Shares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The information set forth in Item 3 is hereby incorporated by reference in its entirety. The Reporting Persons are parties to an agreement with respect to the joint filing of this Schedule 13D and any amendments thereto. A copy of such agreement is filed as Exhibit 1 to this Schedule 13D. Other than as described in this Schedule 13D, no contracts, arrangements, understandings or relationships exist with respect to the securities of the Issuer among or between the Reporting Persons or any other person or entity.</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Annex A 1 - Joint Filing Agreement dated February 13, 2026 by and among the Reporting Persons 2 - Subscription Agreement dated December 23, 2025 by and between the Issuer and ECARX Holdings Inc. (incorporated by reference to Exhibit 99.2 to the Issuer's Form 6-K filed with the Securities and Exchange Commission on December 29,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Eric Li (Li Shufu)</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Eric Li (Li Shufu)</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Eric Li (Li Shufu)</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Lotus Advanced Technology Limited Partnership</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Qingfeng Feng</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Qingfeng Feng</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5"/>
        <w:gridCol w:w="5090"/>
      </w:tblGrid>
      <w:tr>
        <w:trPr/>
        <w:tc>
          <w:tcPr>
            <w:tcW w:w="5115" w:type="dxa"/>
            <w:tcBorders/>
            <w:vAlign w:val="center"/>
          </w:tcPr>
          <w:p>
            <w:pPr>
              <w:pStyle w:val="TableContents"/>
              <w:bidi w:val="0"/>
              <w:spacing w:before="0" w:after="0"/>
              <w:jc w:val="left"/>
              <w:rPr/>
            </w:pPr>
            <w:r>
              <w:rPr/>
              <w:t> </w:t>
            </w:r>
          </w:p>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0"/>
                    <w:jc w:val="left"/>
                    <w:rPr/>
                  </w:pPr>
                  <w:r>
                    <w:rPr/>
                    <w:t>Lotus Technology International Investment Limited</w:t>
                  </w:r>
                </w:p>
              </w:tc>
            </w:tr>
          </w:tbl>
          <w:p>
            <w:pPr>
              <w:pStyle w:val="TableContents"/>
              <w:bidi w:val="0"/>
              <w:spacing w:before="0" w:after="283"/>
              <w:jc w:val="left"/>
              <w:rPr/>
            </w:pPr>
            <w:r>
              <w:rPr/>
            </w:r>
          </w:p>
        </w:tc>
        <w:tc>
          <w:tcPr>
            <w:tcW w:w="50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Donghui Li</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Donghui Li</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Lotus Group International Limited</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Qingfeng Feng</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Qingfeng Feng</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caps w:val="false"/>
          <w:smallCaps w:val="false"/>
        </w:rPr>
      </w:pPr>
      <w:bookmarkStart w:id="26" w:name="tm266371d1_ex99a.htm"/>
      <w:bookmarkStart w:id="27" w:name="kstm266371d1_ex99a"/>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Lotus Advanced Technology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directors and the names and titles of the executive officers of Lotus Advanced Technology Limited Partnership and their principal occupations are set forth below. Except as stated otherwise below, the business address of the directors and executive officers is Sertus Chambers, P.O. Box 905, Quastisky Building, Road Town, Tortola, British Virgin Islands.</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shd w:fill="FFFFFF" w:val="clear"/>
        <w:tblLayout w:type="fixed"/>
        <w:tblCellMar>
          <w:top w:w="0" w:type="dxa"/>
          <w:left w:w="0" w:type="dxa"/>
          <w:bottom w:w="28" w:type="dxa"/>
          <w:right w:w="0" w:type="dxa"/>
        </w:tblCellMar>
      </w:tblPr>
      <w:tblGrid>
        <w:gridCol w:w="1775"/>
        <w:gridCol w:w="1955"/>
        <w:gridCol w:w="1490"/>
        <w:gridCol w:w="980"/>
      </w:tblGrid>
      <w:tr>
        <w:trPr/>
        <w:tc>
          <w:tcPr>
            <w:tcW w:w="17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95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Position with Lotus </w:t>
              <w:br/>
              <w:t xml:space="preserve">Advanced Technology </w:t>
              <w:br/>
              <w:t>Limited Partnership</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w:t>
              <w:br/>
              <w:t>Occupation</w:t>
            </w:r>
          </w:p>
        </w:tc>
        <w:tc>
          <w:tcPr>
            <w:tcW w:w="98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c>
          <w:tcPr>
            <w:tcW w:w="1955"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1955"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w:t>
            </w:r>
          </w:p>
        </w:tc>
        <w:tc>
          <w:tcPr>
            <w:tcW w:w="1955"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1955"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Lotus Technology International Investment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directors and the names and titles of the executive officers of Lotus Technology International Investment Limited and their principal occupations are set forth below. Except as stated otherwise below, the business address of the directors and executive officers is Craigmuir Chambers, Road Town, Tortola, VG 1110, British Virgin Islands.</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shd w:fill="FFFFFF" w:val="clear"/>
        <w:tblLayout w:type="fixed"/>
        <w:tblCellMar>
          <w:top w:w="0" w:type="dxa"/>
          <w:left w:w="0" w:type="dxa"/>
          <w:bottom w:w="28" w:type="dxa"/>
          <w:right w:w="0" w:type="dxa"/>
        </w:tblCellMar>
      </w:tblPr>
      <w:tblGrid>
        <w:gridCol w:w="1775"/>
        <w:gridCol w:w="2120"/>
        <w:gridCol w:w="3245"/>
        <w:gridCol w:w="980"/>
      </w:tblGrid>
      <w:tr>
        <w:trPr/>
        <w:tc>
          <w:tcPr>
            <w:tcW w:w="17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21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 with Lotus</w:t>
              <w:br/>
              <w:t>Technology</w:t>
              <w:br/>
              <w:t>International Investment</w:t>
              <w:br/>
              <w:t>Limited</w:t>
            </w:r>
          </w:p>
        </w:tc>
        <w:tc>
          <w:tcPr>
            <w:tcW w:w="32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w:t>
              <w:br/>
              <w:t>Occupation</w:t>
            </w:r>
          </w:p>
        </w:tc>
        <w:tc>
          <w:tcPr>
            <w:tcW w:w="98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c>
          <w:tcPr>
            <w:tcW w:w="212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Donghui Li</w:t>
            </w:r>
            <w:r>
              <w:rPr>
                <w:rFonts w:ascii="Times New Roman;Times;Serif" w:hAnsi="Times New Roman;Times;Serif"/>
                <w:position w:val="7"/>
                <w:sz w:val="16"/>
                <w:sz w:val="20"/>
              </w:rPr>
              <w:t>(1)</w:t>
            </w:r>
          </w:p>
        </w:tc>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3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Chairman of Geely Holding Group</w:t>
            </w:r>
          </w:p>
        </w:tc>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w:t>
            </w:r>
          </w:p>
        </w:tc>
        <w:tc>
          <w:tcPr>
            <w:tcW w:w="212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212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business address of Donghui Li is No. 1760 Jiangling Road, Binjiang District, Hangzhou, Zhejiang,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Lotus Group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directors and the names and titles of the executive officers of Lotus Group International Limited and their principal occupations are set forth below. Except as stated otherwise below, the business address of the directors and executive officers is Potash Lane, Hethel, Norwich, Norfolk, NR14 8EZ, England.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613"/>
        <w:gridCol w:w="2709"/>
        <w:gridCol w:w="4901"/>
        <w:gridCol w:w="982"/>
      </w:tblGrid>
      <w:tr>
        <w:trPr/>
        <w:tc>
          <w:tcPr>
            <w:tcW w:w="161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2709"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 with Lotus</w:t>
              <w:br/>
              <w:t xml:space="preserve">Group International </w:t>
              <w:br/>
              <w:t>Limited</w:t>
            </w:r>
          </w:p>
        </w:tc>
        <w:tc>
          <w:tcPr>
            <w:tcW w:w="490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w:t>
              <w:br/>
              <w:t>Occupation</w:t>
            </w:r>
          </w:p>
        </w:tc>
        <w:tc>
          <w:tcPr>
            <w:tcW w:w="98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10205" w:type="dxa"/>
            <w:gridSpan w:val="4"/>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Feng</w:t>
            </w:r>
            <w:r>
              <w:rPr>
                <w:rFonts w:ascii="Times New Roman;Times;Serif" w:hAnsi="Times New Roman;Times;Serif"/>
                <w:position w:val="7"/>
                <w:sz w:val="16"/>
                <w:sz w:val="20"/>
              </w:rPr>
              <w:t>(1)</w:t>
            </w:r>
          </w:p>
        </w:tc>
        <w:tc>
          <w:tcPr>
            <w:tcW w:w="27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49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 of Lotus Technology Inc.</w:t>
            </w:r>
          </w:p>
        </w:tc>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r>
        <w:trPr/>
        <w:tc>
          <w:tcPr>
            <w:tcW w:w="16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Donghui Li</w:t>
            </w:r>
            <w:r>
              <w:rPr>
                <w:rFonts w:ascii="Times New Roman;Times;Serif" w:hAnsi="Times New Roman;Times;Serif"/>
                <w:position w:val="7"/>
                <w:sz w:val="16"/>
                <w:sz w:val="20"/>
              </w:rPr>
              <w:t>(2)</w:t>
            </w:r>
          </w:p>
        </w:tc>
        <w:tc>
          <w:tcPr>
            <w:tcW w:w="2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49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Chairman of Geely Holding Group</w:t>
            </w:r>
          </w:p>
        </w:tc>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Conghui An</w:t>
            </w:r>
            <w:r>
              <w:rPr>
                <w:rFonts w:ascii="Times New Roman;Times;Serif" w:hAnsi="Times New Roman;Times;Serif"/>
                <w:position w:val="7"/>
                <w:sz w:val="16"/>
                <w:sz w:val="20"/>
              </w:rPr>
              <w:t>(3)</w:t>
            </w:r>
          </w:p>
        </w:tc>
        <w:tc>
          <w:tcPr>
            <w:tcW w:w="27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49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of Geely Holding Group</w:t>
            </w:r>
          </w:p>
        </w:tc>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r>
        <w:trPr/>
        <w:tc>
          <w:tcPr>
            <w:tcW w:w="16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Amrin Bin Awaluddin</w:t>
            </w:r>
            <w:r>
              <w:rPr>
                <w:rFonts w:ascii="Times New Roman;Times;Serif" w:hAnsi="Times New Roman;Times;Serif"/>
                <w:position w:val="7"/>
                <w:sz w:val="16"/>
                <w:sz w:val="20"/>
              </w:rPr>
              <w:t>(4)</w:t>
            </w:r>
          </w:p>
        </w:tc>
        <w:tc>
          <w:tcPr>
            <w:tcW w:w="2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49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Managing Director and Chief Executive Officer of Tradewinds Group (M) Sdn Bhd</w:t>
            </w:r>
          </w:p>
        </w:tc>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Malaysian</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w:t>
            </w:r>
          </w:p>
        </w:tc>
        <w:tc>
          <w:tcPr>
            <w:tcW w:w="2709" w:type="dxa"/>
            <w:tcBorders/>
            <w:shd w:fill="FFFFFF" w:val="clear"/>
            <w:tcMar>
              <w:bottom w:w="0" w:type="dxa"/>
            </w:tcMar>
            <w:vAlign w:val="center"/>
          </w:tcPr>
          <w:p>
            <w:pPr>
              <w:pStyle w:val="TableContents"/>
              <w:bidi w:val="0"/>
              <w:spacing w:before="0" w:after="283"/>
              <w:jc w:val="left"/>
              <w:rPr/>
            </w:pPr>
            <w:r>
              <w:rPr/>
              <w:t> </w:t>
            </w:r>
          </w:p>
        </w:tc>
        <w:tc>
          <w:tcPr>
            <w:tcW w:w="4901"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r>
      <w:tr>
        <w:trPr/>
        <w:tc>
          <w:tcPr>
            <w:tcW w:w="16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Nice</w:t>
            </w:r>
          </w:p>
        </w:tc>
        <w:tc>
          <w:tcPr>
            <w:tcW w:w="2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Director of Corporate Office </w:t>
            </w:r>
          </w:p>
        </w:tc>
        <w:tc>
          <w:tcPr>
            <w:tcW w:w="49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David Careless </w:t>
            </w:r>
          </w:p>
        </w:tc>
        <w:tc>
          <w:tcPr>
            <w:tcW w:w="27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 of Finance</w:t>
            </w:r>
          </w:p>
        </w:tc>
        <w:tc>
          <w:tcPr>
            <w:tcW w:w="49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w:t>
            </w:r>
          </w:p>
        </w:tc>
      </w:tr>
      <w:tr>
        <w:trPr/>
        <w:tc>
          <w:tcPr>
            <w:tcW w:w="16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 Elston</w:t>
            </w:r>
          </w:p>
        </w:tc>
        <w:tc>
          <w:tcPr>
            <w:tcW w:w="2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 of Quality</w:t>
            </w:r>
          </w:p>
        </w:tc>
        <w:tc>
          <w:tcPr>
            <w:tcW w:w="49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Tedstone</w:t>
            </w:r>
          </w:p>
        </w:tc>
        <w:tc>
          <w:tcPr>
            <w:tcW w:w="27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 of Supply</w:t>
            </w:r>
          </w:p>
        </w:tc>
        <w:tc>
          <w:tcPr>
            <w:tcW w:w="49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w:t>
            </w:r>
          </w:p>
        </w:tc>
      </w:tr>
      <w:tr>
        <w:trPr/>
        <w:tc>
          <w:tcPr>
            <w:tcW w:w="16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 Chen</w:t>
            </w:r>
            <w:r>
              <w:rPr>
                <w:rFonts w:ascii="Times New Roman;Times;Serif" w:hAnsi="Times New Roman;Times;Serif"/>
                <w:position w:val="7"/>
                <w:sz w:val="16"/>
                <w:sz w:val="20"/>
              </w:rPr>
              <w:t>(5)</w:t>
            </w:r>
          </w:p>
        </w:tc>
        <w:tc>
          <w:tcPr>
            <w:tcW w:w="27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49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Controller of Lotus Technology Inc.</w:t>
            </w:r>
          </w:p>
        </w:tc>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r>
        <w:trPr/>
        <w:tc>
          <w:tcPr>
            <w:tcW w:w="16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Xing</w:t>
            </w:r>
          </w:p>
        </w:tc>
        <w:tc>
          <w:tcPr>
            <w:tcW w:w="27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Vice President of Human Resources</w:t>
            </w:r>
          </w:p>
        </w:tc>
        <w:tc>
          <w:tcPr>
            <w:tcW w:w="49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Chinese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occupation is the same as his/her position with Lotus Group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business address of Qingfeng Feng is No. 800 Century Avenue, Pudong District, Shanghai,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business address of Donghui Li is No. 1760 Jiangling Road, Binjiang District, Hangzhou, Zhejiang,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business address of Conghui An is No. 1760 Jiangling Road, Binjiang District, Hangzhou, Zhejiang,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business address of Amrin Bin Awaluddin is Level 4C, No 88 Jalan Perdana, Taman Tasik Perdana, 50480 Kuala Lumpur,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business address of Jun Chen is No. 800 Century Avenue, Pudong District, Shanghai,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8" w:name="tm266371d1_ex-1.htm"/>
      <w:bookmarkStart w:id="29" w:name="kstm266371d1_ex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US$0.00001 per share, of Lotus Technology Inc., a Cayman Islands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February 13, 2026.</w:t>
      </w:r>
    </w:p>
    <w:p>
      <w:pPr>
        <w:pStyle w:val="TextBody"/>
        <w:bidi w:val="0"/>
        <w:spacing w:before="0" w:after="0"/>
        <w:ind w:left="0" w:right="0" w:hanging="0"/>
        <w:jc w:val="left"/>
        <w:rPr>
          <w:caps w:val="false"/>
          <w:smallCaps w:val="false"/>
        </w:rPr>
      </w:pPr>
      <w:r>
        <w:rPr>
          <w:caps w:val="false"/>
          <w:smallCaps w:val="false"/>
        </w:rPr>
        <w:t> </w:t>
      </w:r>
    </w:p>
    <w:tbl>
      <w:tblPr>
        <w:tblW w:w="5344" w:type="dxa"/>
        <w:jc w:val="left"/>
        <w:tblInd w:w="0" w:type="dxa"/>
        <w:tblLayout w:type="fixed"/>
        <w:tblCellMar>
          <w:top w:w="0" w:type="dxa"/>
          <w:left w:w="0" w:type="dxa"/>
          <w:bottom w:w="0" w:type="dxa"/>
          <w:right w:w="0" w:type="dxa"/>
        </w:tblCellMar>
      </w:tblPr>
      <w:tblGrid>
        <w:gridCol w:w="60"/>
        <w:gridCol w:w="1267"/>
        <w:gridCol w:w="4017"/>
      </w:tblGrid>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rPr>
            </w:pPr>
            <w:r>
              <w:rPr>
                <w:b/>
              </w:rPr>
              <w:t>Eric Li (Li Shufu)</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84" w:type="dxa"/>
            <w:gridSpan w:val="2"/>
            <w:tcBorders>
              <w:bottom w:val="single" w:sz="8" w:space="0" w:color="000000"/>
            </w:tcBorders>
            <w:tcMar>
              <w:bottom w:w="28" w:type="dxa"/>
            </w:tcMar>
            <w:vAlign w:val="center"/>
          </w:tcPr>
          <w:p>
            <w:pPr>
              <w:pStyle w:val="TableContents"/>
              <w:bidi w:val="0"/>
              <w:spacing w:before="0" w:after="283"/>
              <w:jc w:val="left"/>
              <w:rPr/>
            </w:pPr>
            <w:r>
              <w:rPr/>
              <w:t>/s/ Eric Li (Li Shufu)</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rPr>
            </w:pPr>
            <w:r>
              <w:rPr>
                <w:b/>
              </w:rPr>
              <w:t>Lotus Advanced Technology Limited Partnership</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By:</w:t>
            </w:r>
          </w:p>
        </w:tc>
        <w:tc>
          <w:tcPr>
            <w:tcW w:w="4017" w:type="dxa"/>
            <w:tcBorders>
              <w:bottom w:val="single" w:sz="8" w:space="0" w:color="000000"/>
            </w:tcBorders>
            <w:tcMar>
              <w:bottom w:w="28" w:type="dxa"/>
            </w:tcMar>
            <w:vAlign w:val="center"/>
          </w:tcPr>
          <w:p>
            <w:pPr>
              <w:pStyle w:val="TableContents"/>
              <w:bidi w:val="0"/>
              <w:spacing w:before="0" w:after="283"/>
              <w:jc w:val="left"/>
              <w:rPr/>
            </w:pPr>
            <w:r>
              <w:rPr/>
              <w:t>/s/ Qingfeng Feng</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Name:</w:t>
            </w:r>
          </w:p>
        </w:tc>
        <w:tc>
          <w:tcPr>
            <w:tcW w:w="4017" w:type="dxa"/>
            <w:tcBorders/>
            <w:vAlign w:val="center"/>
          </w:tcPr>
          <w:p>
            <w:pPr>
              <w:pStyle w:val="TableContents"/>
              <w:bidi w:val="0"/>
              <w:spacing w:before="0" w:after="283"/>
              <w:jc w:val="left"/>
              <w:rPr/>
            </w:pPr>
            <w:r>
              <w:rPr/>
              <w:t>Qingfeng Feng</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Title:</w:t>
            </w:r>
          </w:p>
        </w:tc>
        <w:tc>
          <w:tcPr>
            <w:tcW w:w="4017" w:type="dxa"/>
            <w:tcBorders/>
            <w:vAlign w:val="center"/>
          </w:tcPr>
          <w:p>
            <w:pPr>
              <w:pStyle w:val="TableContents"/>
              <w:bidi w:val="0"/>
              <w:spacing w:before="0" w:after="283"/>
              <w:jc w:val="left"/>
              <w:rPr/>
            </w:pPr>
            <w:r>
              <w:rPr/>
              <w:t>Authorized Signatory</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rPr>
            </w:pPr>
            <w:r>
              <w:rPr>
                <w:b/>
              </w:rPr>
              <w:t>Lotus Technology International Investment Limited</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By:</w:t>
            </w:r>
          </w:p>
        </w:tc>
        <w:tc>
          <w:tcPr>
            <w:tcW w:w="4017" w:type="dxa"/>
            <w:tcBorders>
              <w:bottom w:val="single" w:sz="8" w:space="0" w:color="000000"/>
            </w:tcBorders>
            <w:tcMar>
              <w:bottom w:w="28" w:type="dxa"/>
            </w:tcMar>
            <w:vAlign w:val="center"/>
          </w:tcPr>
          <w:p>
            <w:pPr>
              <w:pStyle w:val="TableContents"/>
              <w:bidi w:val="0"/>
              <w:spacing w:before="0" w:after="283"/>
              <w:jc w:val="left"/>
              <w:rPr/>
            </w:pPr>
            <w:r>
              <w:rPr/>
              <w:t>/s/ Donghui Li</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Name:</w:t>
            </w:r>
          </w:p>
        </w:tc>
        <w:tc>
          <w:tcPr>
            <w:tcW w:w="4017" w:type="dxa"/>
            <w:tcBorders/>
            <w:vAlign w:val="center"/>
          </w:tcPr>
          <w:p>
            <w:pPr>
              <w:pStyle w:val="TableContents"/>
              <w:bidi w:val="0"/>
              <w:spacing w:before="0" w:after="283"/>
              <w:jc w:val="left"/>
              <w:rPr/>
            </w:pPr>
            <w:r>
              <w:rPr/>
              <w:t>Donghui Li</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Title:</w:t>
            </w:r>
          </w:p>
        </w:tc>
        <w:tc>
          <w:tcPr>
            <w:tcW w:w="4017" w:type="dxa"/>
            <w:tcBorders/>
            <w:vAlign w:val="center"/>
          </w:tcPr>
          <w:p>
            <w:pPr>
              <w:pStyle w:val="TableContents"/>
              <w:bidi w:val="0"/>
              <w:spacing w:before="0" w:after="283"/>
              <w:jc w:val="left"/>
              <w:rPr/>
            </w:pPr>
            <w:r>
              <w:rPr/>
              <w:t>Authorized Signatory</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rPr>
            </w:pPr>
            <w:r>
              <w:rPr>
                <w:b/>
              </w:rPr>
              <w:t>Lotus Group International Limited</w:t>
            </w:r>
          </w:p>
        </w:tc>
      </w:tr>
      <w:tr>
        <w:trPr/>
        <w:tc>
          <w:tcPr>
            <w:tcW w:w="60"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By:</w:t>
            </w:r>
          </w:p>
        </w:tc>
        <w:tc>
          <w:tcPr>
            <w:tcW w:w="4017" w:type="dxa"/>
            <w:tcBorders>
              <w:bottom w:val="single" w:sz="8" w:space="0" w:color="000000"/>
            </w:tcBorders>
            <w:tcMar>
              <w:bottom w:w="28" w:type="dxa"/>
            </w:tcMar>
            <w:vAlign w:val="center"/>
          </w:tcPr>
          <w:p>
            <w:pPr>
              <w:pStyle w:val="TableContents"/>
              <w:bidi w:val="0"/>
              <w:spacing w:before="0" w:after="283"/>
              <w:jc w:val="left"/>
              <w:rPr/>
            </w:pPr>
            <w:r>
              <w:rPr/>
              <w:t>/s/ Qingfeng Feng</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Name:</w:t>
            </w:r>
          </w:p>
        </w:tc>
        <w:tc>
          <w:tcPr>
            <w:tcW w:w="4017" w:type="dxa"/>
            <w:tcBorders/>
            <w:vAlign w:val="center"/>
          </w:tcPr>
          <w:p>
            <w:pPr>
              <w:pStyle w:val="TableContents"/>
              <w:bidi w:val="0"/>
              <w:spacing w:before="0" w:after="283"/>
              <w:jc w:val="left"/>
              <w:rPr/>
            </w:pPr>
            <w:r>
              <w:rPr/>
              <w:t>Qingfeng Feng</w:t>
            </w:r>
          </w:p>
        </w:tc>
      </w:tr>
      <w:tr>
        <w:trPr/>
        <w:tc>
          <w:tcPr>
            <w:tcW w:w="60"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Title:</w:t>
            </w:r>
          </w:p>
        </w:tc>
        <w:tc>
          <w:tcPr>
            <w:tcW w:w="4017"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3468</Words>
  <Characters>18825</Characters>
  <CharactersWithSpaces>22201</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