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173d1_6k.htm"/>
      <w:bookmarkStart w:id="1" w:name="kstm2624173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001-41970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Lotus Technology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800 Century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Pudong District, Shanghai,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6-K, including the exhibits hereto, is incorporated by reference into the pre-effective amendment No. 1 to the registration statement on Form F-3 (File No. 333-285533), post-effective amendment No. 3 to the registration statement on Form F-1 on Form F-3 (File No. 333-279108) and the post-effective amendment No. 2 to the registration statement on Form F-1 on Form F-3 (File No. 333-282217) and shall be a part of such registration statements from the date on which this current report is furnished,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995"/>
        <w:gridCol w:w="60"/>
        <w:gridCol w:w="824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center"/>
              <w:rPr/>
            </w:pPr>
            <w:r>
              <w:rPr/>
              <w:t> </w:t>
            </w:r>
          </w:p>
        </w:tc>
        <w:tc>
          <w:tcPr>
            <w:tcW w:w="82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both"/>
              <w:rPr/>
            </w:pPr>
            <w:hyperlink w:anchor="tm2624173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both"/>
              <w:rPr/>
            </w:pPr>
            <w:r>
              <w:rPr/>
              <w:t> </w:t>
            </w:r>
          </w:p>
        </w:tc>
        <w:tc>
          <w:tcPr>
            <w:tcW w:w="8240" w:type="dxa"/>
            <w:tcBorders/>
            <w:vAlign w:val="center"/>
          </w:tcPr>
          <w:p>
            <w:pPr>
              <w:pStyle w:val="TableContents"/>
              <w:bidi w:val="0"/>
              <w:spacing w:before="0" w:after="283"/>
              <w:jc w:val="left"/>
              <w:rPr/>
            </w:pPr>
            <w:hyperlink w:anchor="tm2624173d1_ex99-1.htm">
              <w:r>
                <w:rPr>
                  <w:rStyle w:val="InternetLink"/>
                  <w:sz w:val="20"/>
                </w:rPr>
                <w:t xml:space="preserve">Press Release – </w:t>
              </w:r>
            </w:hyperlink>
            <w:hyperlink w:anchor="tm2624173d1_ex99-1.htm">
              <w:r>
                <w:rPr>
                  <w:rStyle w:val="InternetLink"/>
                </w:rPr>
                <w:t>Lotus Technology Reports Unaudited Half Year 2026 Financial Results  </w:t>
              </w:r>
            </w:hyperlink>
          </w:p>
        </w:tc>
      </w:tr>
      <w:tr>
        <w:trPr/>
        <w:tc>
          <w:tcPr>
            <w:tcW w:w="9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2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both"/>
              <w:rPr/>
            </w:pPr>
            <w:hyperlink w:anchor="tm2624173d1_ex99-2.htm">
              <w:r>
                <w:rPr>
                  <w:rStyle w:val="InternetLink"/>
                  <w:rFonts w:ascii="Times New Roman;Times;Serif" w:hAnsi="Times New Roman;Times;Serif"/>
                  <w:sz w:val="20"/>
                </w:rPr>
                <w:t>99.2</w:t>
              </w:r>
            </w:hyperlink>
          </w:p>
        </w:tc>
        <w:tc>
          <w:tcPr>
            <w:tcW w:w="60" w:type="dxa"/>
            <w:tcBorders/>
            <w:vAlign w:val="center"/>
          </w:tcPr>
          <w:p>
            <w:pPr>
              <w:pStyle w:val="TableContents"/>
              <w:bidi w:val="0"/>
              <w:spacing w:before="0" w:after="283"/>
              <w:jc w:val="both"/>
              <w:rPr/>
            </w:pPr>
            <w:r>
              <w:rPr/>
              <w:t> </w:t>
            </w:r>
          </w:p>
        </w:tc>
        <w:tc>
          <w:tcPr>
            <w:tcW w:w="8240" w:type="dxa"/>
            <w:tcBorders/>
            <w:vAlign w:val="center"/>
          </w:tcPr>
          <w:p>
            <w:pPr>
              <w:pStyle w:val="TableContents"/>
              <w:bidi w:val="0"/>
              <w:spacing w:before="0" w:after="283"/>
              <w:jc w:val="left"/>
              <w:rPr/>
            </w:pPr>
            <w:hyperlink w:anchor="tm2624173d1_ex99-2.htm">
              <w:r>
                <w:rPr>
                  <w:rStyle w:val="InternetLink"/>
                  <w:rFonts w:ascii="Times New Roman;Times;Serif" w:hAnsi="Times New Roman;Times;Serif"/>
                  <w:sz w:val="20"/>
                </w:rPr>
                <w:t xml:space="preserve">Presentation – </w:t>
              </w:r>
            </w:hyperlink>
            <w:hyperlink w:anchor="tm2624173d1_ex99-2.htm">
              <w:r>
                <w:rPr>
                  <w:rStyle w:val="InternetLink"/>
                  <w:rFonts w:ascii="Times New Roman;Times;Serif" w:hAnsi="Times New Roman;Times;Serif"/>
                </w:rPr>
                <w:t>Unaudited Fist Half 2026 Results of Lotus Technology Inc.</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75"/>
        <w:gridCol w:w="485"/>
        <w:gridCol w:w="125"/>
        <w:gridCol w:w="1895"/>
      </w:tblGrid>
      <w:tr>
        <w:trPr/>
        <w:tc>
          <w:tcPr>
            <w:tcW w:w="7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jc w:val="left"/>
              <w:rPr>
                <w:b/>
              </w:rPr>
            </w:pPr>
            <w:r>
              <w:rPr>
                <w:b/>
              </w:rPr>
              <w:t>Lotus Technology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Daxue Wang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Daxue Wang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4173d1_ex99-1.htm"/>
      <w:bookmarkStart w:id="3" w:name="kstm2624173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Lotus Technology Reports Unaudited Half Year 2026 Financial Results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Symbol" w:hAnsi="Symbol"/>
              </w:rPr>
            </w:pPr>
            <w:r>
              <w:rPr>
                <w:rFonts w:ascii="Symbol" w:hAnsi="Symbol"/>
              </w:rPr>
              <w:t>·</w:t>
            </w:r>
          </w:p>
        </w:tc>
        <w:tc>
          <w:tcPr>
            <w:tcW w:w="100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Operational and financial results demonstrate early progress of Focus 2030 strategy.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Successful launch of the first PHEV model contributed to 39% YoY growth in deliveries to 3,904 vehicles.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8"/>
        <w:gridCol w:w="10026"/>
      </w:tblGrid>
      <w:tr>
        <w:trPr/>
        <w:tc>
          <w:tcPr>
            <w:tcW w:w="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rPr>
            </w:pPr>
            <w:r>
              <w:rPr>
                <w:rFonts w:ascii="Symbol" w:hAnsi="Symbol"/>
              </w:rPr>
              <w:t>·</w:t>
            </w:r>
          </w:p>
        </w:tc>
        <w:tc>
          <w:tcPr>
            <w:tcW w:w="100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revenues of $268 million, up 23% YoY, driven by strong momentum in the China market.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81"/>
        <w:gridCol w:w="9970"/>
      </w:tblGrid>
      <w:tr>
        <w:trPr/>
        <w:tc>
          <w:tcPr>
            <w:tcW w:w="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Symbol" w:hAnsi="Symbol"/>
              </w:rPr>
            </w:pPr>
            <w:r>
              <w:rPr>
                <w:rFonts w:ascii="Symbol" w:hAnsi="Symbol"/>
              </w:rPr>
              <w:t>·</w:t>
            </w:r>
          </w:p>
        </w:tc>
        <w:tc>
          <w:tcPr>
            <w:tcW w:w="99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margin expanded to 10%, supported by an optimized product mix.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 narrowed by 63% YoY, driven by cost discipline, improving operating leverage, and a one-off license fee refund.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Lotus Tech has completed the acquisition of 100% equity interest of Lotus UK, integrating all businesses and operations under One Lotus.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14"/>
        <w:gridCol w:w="9926"/>
      </w:tblGrid>
      <w:tr>
        <w:trPr/>
        <w:tc>
          <w:tcPr>
            <w:tcW w:w="6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Symbol" w:hAnsi="Symbol"/>
              </w:rPr>
            </w:pPr>
            <w:r>
              <w:rPr>
                <w:rFonts w:ascii="Symbol" w:hAnsi="Symbol"/>
              </w:rPr>
              <w:t>·</w:t>
            </w:r>
          </w:p>
        </w:tc>
        <w:tc>
          <w:tcPr>
            <w:tcW w:w="99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Continued shareholder support with $128 million in funding.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NEW YORK – August 27, 2026</w:t>
      </w:r>
      <w:r>
        <w:rPr>
          <w:rFonts w:ascii="Times New Roman;Times;Serif" w:hAnsi="Times New Roman;Times;Serif"/>
          <w:b w:val="false"/>
          <w:i w:val="false"/>
          <w:caps w:val="false"/>
          <w:smallCaps w:val="false"/>
          <w:sz w:val="20"/>
        </w:rPr>
        <w:t xml:space="preserve"> – Lotus Technology Inc. (Nasdaq: LOT) (“Lotus Tech” or the “Company”), a leading global intelligent and luxury mobility provider, today announced its unaudited financial results for the half year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Highlights of the First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half of 2026, the Company recorded total deliveries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of 3,904 units, up 39% YoY, outperforming the referenced traditional premium and luxury peers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Growth was driven by the successful launch of the new PHEV model, Eletre X, which resonated strongly with customers and expanded the brand’s reach into new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Eletre X has accelerated the Company’s product mix transition, with contribution of lifestyle vehicles to total deliveries increasing to 77%, while maintaining stable performance in its sports car segment. Eletre X has been delivered in China and six international markets. Deliveries in mainland Europe are expected to commence in the fourth quarter of 2026, followed by the UK in mid-2027.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Regionally, China experienced strong growth in total deliveries with an increase of 60% YoY, outpacing the premium passenger automotive segment</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amid an increasingly competitive landscape.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results improved during the period. Total revenues were $268 million, an increase of 23% YoY. Gross profit improved to $26 million, with gross margin expanding to 10%, driven by an optimized product mix. Operating loss narrowed by 63% YoY, reflecting disciplined financial management, improving operating leverage, and a one-off refund of the license fee in connection with adjustments to the product pipeline</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the Company completed the previously announced acquisition of Lotus UK. The integration brings together British sports car expertise and advanced technology development, and is expected to create a unique position within the luxury automotive sector, with a unified brand, streamlined governance, and enhanced synergies.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achievements underscore the early success of the Company’s Focus 2030 strategy, which is centered on brand reinforcement, multi-powertrain strategy, close partner collaboration, and financial discipline. The strong market reception of Eletre X validates the Company’s multi-powertrain strategy, while margin expansion and a significantly narrowed operating loss reflect continued financial discipline. The integration resulting from the Lotus UK acquisition is expected to further strengthen brand management and operational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continues to benefit from the strong support from its major shareholders and strategic partners. During the first half of 2026, it secured $128 million in funding from Geely, reinforcing confidence in its long-term strategy and providing a foundation for continued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Deliveries</w:t>
      </w: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caps w:val="false"/>
          <w:smallCaps w:val="false"/>
          <w:sz w:val="20"/>
        </w:rPr>
        <w:t xml:space="preserve"> by Model Type</w:t>
      </w:r>
    </w:p>
    <w:p>
      <w:pPr>
        <w:pStyle w:val="TextBody"/>
        <w:bidi w:val="0"/>
        <w:spacing w:before="0" w:after="0"/>
        <w:ind w:left="0" w:right="0" w:hanging="0"/>
        <w:jc w:val="left"/>
        <w:rPr>
          <w:caps w:val="false"/>
          <w:smallCaps w:val="false"/>
        </w:rPr>
      </w:pPr>
      <w:r>
        <w:rPr>
          <w:caps w:val="false"/>
          <w:smallCaps w:val="false"/>
        </w:rPr>
        <w:t> </w:t>
      </w:r>
    </w:p>
    <w:tbl>
      <w:tblPr>
        <w:tblW w:w="6682" w:type="dxa"/>
        <w:jc w:val="left"/>
        <w:tblInd w:w="0" w:type="dxa"/>
        <w:tblLayout w:type="fixed"/>
        <w:tblCellMar>
          <w:top w:w="0" w:type="dxa"/>
          <w:left w:w="0" w:type="dxa"/>
          <w:bottom w:w="0" w:type="dxa"/>
          <w:right w:w="0" w:type="dxa"/>
        </w:tblCellMar>
      </w:tblPr>
      <w:tblGrid>
        <w:gridCol w:w="2060"/>
        <w:gridCol w:w="60"/>
        <w:gridCol w:w="145"/>
        <w:gridCol w:w="1179"/>
        <w:gridCol w:w="60"/>
        <w:gridCol w:w="60"/>
        <w:gridCol w:w="145"/>
        <w:gridCol w:w="1179"/>
        <w:gridCol w:w="60"/>
        <w:gridCol w:w="60"/>
        <w:gridCol w:w="298"/>
        <w:gridCol w:w="1146"/>
        <w:gridCol w:w="230"/>
      </w:tblGrid>
      <w:tr>
        <w:trPr/>
        <w:tc>
          <w:tcPr>
            <w:tcW w:w="20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Half Year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Half Year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 (YoY)</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Lifestyle SUV and Sedan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Cars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Deliveries</w:t>
      </w: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caps w:val="false"/>
          <w:smallCaps w:val="false"/>
          <w:sz w:val="20"/>
        </w:rPr>
        <w:t xml:space="preserve"> by Region</w:t>
      </w:r>
    </w:p>
    <w:p>
      <w:pPr>
        <w:pStyle w:val="TextBody"/>
        <w:bidi w:val="0"/>
        <w:spacing w:before="0" w:after="0"/>
        <w:ind w:left="0" w:right="0" w:hanging="0"/>
        <w:jc w:val="left"/>
        <w:rPr>
          <w:caps w:val="false"/>
          <w:smallCaps w:val="false"/>
        </w:rPr>
      </w:pPr>
      <w:r>
        <w:rPr>
          <w:caps w:val="false"/>
          <w:smallCaps w:val="false"/>
        </w:rPr>
        <w:t> </w:t>
      </w:r>
    </w:p>
    <w:tbl>
      <w:tblPr>
        <w:tblW w:w="5345" w:type="dxa"/>
        <w:jc w:val="left"/>
        <w:tblInd w:w="0" w:type="dxa"/>
        <w:tblLayout w:type="fixed"/>
        <w:tblCellMar>
          <w:top w:w="0" w:type="dxa"/>
          <w:left w:w="0" w:type="dxa"/>
          <w:bottom w:w="0" w:type="dxa"/>
          <w:right w:w="0" w:type="dxa"/>
        </w:tblCellMar>
      </w:tblPr>
      <w:tblGrid>
        <w:gridCol w:w="1460"/>
        <w:gridCol w:w="60"/>
        <w:gridCol w:w="75"/>
        <w:gridCol w:w="606"/>
        <w:gridCol w:w="75"/>
        <w:gridCol w:w="75"/>
        <w:gridCol w:w="125"/>
        <w:gridCol w:w="704"/>
        <w:gridCol w:w="215"/>
        <w:gridCol w:w="60"/>
        <w:gridCol w:w="75"/>
        <w:gridCol w:w="606"/>
        <w:gridCol w:w="75"/>
        <w:gridCol w:w="75"/>
        <w:gridCol w:w="125"/>
        <w:gridCol w:w="704"/>
        <w:gridCol w:w="230"/>
      </w:tblGrid>
      <w:tr>
        <w:trPr/>
        <w:tc>
          <w:tcPr>
            <w:tcW w:w="14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Half Year 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Half Year 2025</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Americas</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 of the World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 of the First Half of 2026</w:t>
      </w:r>
    </w:p>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185"/>
        <w:gridCol w:w="8285"/>
      </w:tblGrid>
      <w:tr>
        <w:trPr/>
        <w:tc>
          <w:tcPr>
            <w:tcW w:w="185"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revenues</w:t>
            </w:r>
            <w:r>
              <w:rPr>
                <w:rFonts w:ascii="Times New Roman;Times;Serif" w:hAnsi="Times New Roman;Times;Serif"/>
              </w:rPr>
              <w:t xml:space="preserve"> were $268 million, up 23% YoY.</w:t>
            </w:r>
          </w:p>
        </w:tc>
      </w:tr>
      <w:tr>
        <w:trPr/>
        <w:tc>
          <w:tcPr>
            <w:tcW w:w="185"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Gross margin</w:t>
            </w:r>
            <w:r>
              <w:rPr>
                <w:rFonts w:ascii="Times New Roman;Times;Serif" w:hAnsi="Times New Roman;Times;Serif"/>
              </w:rPr>
              <w:t xml:space="preserve"> was 10%, versus 8% for the first half of 2025.</w:t>
            </w:r>
          </w:p>
        </w:tc>
      </w:tr>
      <w:tr>
        <w:trPr/>
        <w:tc>
          <w:tcPr>
            <w:tcW w:w="185"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Operating loss</w:t>
            </w:r>
            <w:r>
              <w:rPr>
                <w:rFonts w:ascii="Times New Roman;Times;Serif" w:hAnsi="Times New Roman;Times;Serif"/>
              </w:rPr>
              <w:t xml:space="preserve"> was $97 million, narrowed by 63% YoY.</w:t>
            </w:r>
          </w:p>
        </w:tc>
      </w:tr>
      <w:tr>
        <w:trPr/>
        <w:tc>
          <w:tcPr>
            <w:tcW w:w="185"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Net loss</w:t>
            </w:r>
            <w:r>
              <w:rPr>
                <w:rFonts w:ascii="Times New Roman;Times;Serif" w:hAnsi="Times New Roman;Times;Serif"/>
              </w:rPr>
              <w:t xml:space="preserve"> was $151 million, narrowed by 52% YoY.</w:t>
            </w:r>
          </w:p>
        </w:tc>
      </w:tr>
      <w:tr>
        <w:trPr/>
        <w:tc>
          <w:tcPr>
            <w:tcW w:w="185"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Adjusted EBITDA (non-GAAP)</w:t>
            </w:r>
            <w:r>
              <w:rPr>
                <w:rFonts w:ascii="Times New Roman;Times;Serif" w:hAnsi="Times New Roman;Times;Serif"/>
              </w:rPr>
              <w:t xml:space="preserve"> was a loss of $104 million, narrowed by 57% YoY.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Financial Results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key preliminary financial results for the six months ended June 30, 2026.</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millions of U.S. dollars, unaudited)</w:t>
      </w:r>
    </w:p>
    <w:p>
      <w:pPr>
        <w:pStyle w:val="TextBody"/>
        <w:bidi w:val="0"/>
        <w:spacing w:before="0" w:after="0"/>
        <w:ind w:left="0" w:right="0" w:hanging="0"/>
        <w:jc w:val="left"/>
        <w:rPr>
          <w:caps w:val="false"/>
          <w:smallCaps w:val="false"/>
        </w:rPr>
      </w:pPr>
      <w:r>
        <w:rPr>
          <w:caps w:val="false"/>
          <w:smallCaps w:val="false"/>
        </w:rPr>
        <w:t> </w:t>
      </w:r>
    </w:p>
    <w:tbl>
      <w:tblPr>
        <w:tblW w:w="6662" w:type="dxa"/>
        <w:jc w:val="left"/>
        <w:tblInd w:w="0" w:type="dxa"/>
        <w:tblLayout w:type="fixed"/>
        <w:tblCellMar>
          <w:top w:w="0" w:type="dxa"/>
          <w:left w:w="0" w:type="dxa"/>
          <w:bottom w:w="0" w:type="dxa"/>
          <w:right w:w="0" w:type="dxa"/>
        </w:tblCellMar>
      </w:tblPr>
      <w:tblGrid>
        <w:gridCol w:w="1760"/>
        <w:gridCol w:w="60"/>
        <w:gridCol w:w="174"/>
        <w:gridCol w:w="1150"/>
        <w:gridCol w:w="185"/>
        <w:gridCol w:w="60"/>
        <w:gridCol w:w="174"/>
        <w:gridCol w:w="1150"/>
        <w:gridCol w:w="185"/>
        <w:gridCol w:w="60"/>
        <w:gridCol w:w="247"/>
        <w:gridCol w:w="1197"/>
        <w:gridCol w:w="260"/>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Half Year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Half Year 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 (YoY)</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w:t>
            </w:r>
            <w:r>
              <w:rPr>
                <w:rFonts w:ascii="Times New Roman;Times;Serif" w:hAnsi="Times New Roman;Times;Serif"/>
                <w:b w:val="false"/>
                <w:i w:val="false"/>
                <w:caps w:val="false"/>
                <w:smallCaps w:val="false"/>
                <w:position w:val="7"/>
                <w:sz w:val="16"/>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position w:val="7"/>
                <w:sz w:val="16"/>
                <w:sz w:val="20"/>
              </w:rPr>
              <w:t>(A)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Non-GAAP measure. See “Non-GAAP Financial Measures” and “Appendix C – Unaudited Reconciliation of GAAP and Non-GAAP Results (Adjusted net loss/Adjusted EBITDA)” for details and a reconciliation of adjusted metrics to the nearest GAAP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Eletre Launched in Canada: </w:t>
            </w:r>
            <w:r>
              <w:rPr>
                <w:rFonts w:ascii="Times New Roman;Times;Serif" w:hAnsi="Times New Roman;Times;Serif"/>
              </w:rPr>
              <w:t>On April 23, Eletre EVs debuted in the Canadian market, making them the first Chinese-built luxury EVs available for purchase in Canada and making another milestone in the Company’s international expansion strategy.</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Emira 420 Sport: </w:t>
            </w:r>
            <w:r>
              <w:rPr>
                <w:rFonts w:ascii="Times New Roman;Times;Serif" w:hAnsi="Times New Roman;Times;Serif"/>
              </w:rPr>
              <w:t>In May, Lotus introduced the Emira 420 Sport, further strengthening its sports car portfolio and reinforcing the brand’s commitment to preserving its track-bred DNA.</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Type 135 Supercar for 2028:</w:t>
            </w:r>
            <w:r>
              <w:rPr>
                <w:rFonts w:ascii="Times New Roman;Times;Serif" w:hAnsi="Times New Roman;Times;Serif"/>
              </w:rPr>
              <w:t xml:space="preserve"> Lotus has officially announced the development of a new mid-engine V8 hybrid supercar, internally codenamed Type 135, scheduled for release in 2028, underscoring its long-term commitment to high-performance vehicles.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Eletre X Orders Open in Mainland Europe: </w:t>
            </w:r>
            <w:r>
              <w:rPr>
                <w:rFonts w:ascii="Times New Roman;Times;Serif" w:hAnsi="Times New Roman;Times;Serif"/>
              </w:rPr>
              <w:t>On June 3, Eletre X became available to order in mainland Europe, representing an important step in the international rollout of the Company’s first PHEV model. Customer deliveries are expected to commence in the fourth quarter of 2026.</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2025 Sustainability Report</w:t>
            </w:r>
            <w:r>
              <w:rPr>
                <w:rFonts w:ascii="Times New Roman;Times;Serif" w:hAnsi="Times New Roman;Times;Serif"/>
              </w:rPr>
              <w:t>: On June 18, Lotus released its 2025 Sustainability Report, highlighting continued progress in embedding sustainability across its global operations.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Emira Scura Limited Edition Launched: </w:t>
            </w:r>
            <w:r>
              <w:rPr>
                <w:rFonts w:ascii="Times New Roman;Times;Serif" w:hAnsi="Times New Roman;Times;Serif"/>
              </w:rPr>
              <w:t>On July 26, Lotus launched the Emira Scura Limited Edition in China. Arriving 17 years after the Exige Scura, the Emira Scura pays homage to that model with a similarly striking design and is limited to just 9 units in China and 60 units in North America.</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Emeya Sets New Electric Vehicle Lap Record: </w:t>
            </w:r>
            <w:r>
              <w:rPr>
                <w:rFonts w:ascii="Times New Roman;Times;Serif" w:hAnsi="Times New Roman;Times;Serif"/>
              </w:rPr>
              <w:t>On July 20, Lotus Emeya set a new record at Malaysia’s renowned Sepang International Circuit, reinforcing the brand’s performance credentials.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Strategic Collaboration: </w:t>
            </w:r>
            <w:r>
              <w:rPr>
                <w:rFonts w:ascii="Times New Roman;Times;Serif" w:hAnsi="Times New Roman;Times;Serif"/>
              </w:rPr>
              <w:t>On July 28, the Company announced a strategic collaboration with Finloop Finance Technology, an AI-driven global one-stop Web5 (Web2+Web3) wealth technology platform, and FOMO Pay, a leading Singapore-headquartered payment institution, to explore digital asset and real-world asset (RWA) tokenization in the luxury mobility sector.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CEO and CFO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Qingfeng Feng, Chief Executive Officer, commented: “Our first-half performance demonstrates clear progress in executing our transformational Focus 2030 strategy. The strong demand for our new PHEV validates our multi-powertrain approach and expands our addressable market. We are encouraged by the improvement in both scale and operating performance, and remain focused on delivering sustainable, long-term value. Looking ahead, we remain fully committed to our Focus 2030 strategy, building on the momentum of our multi-powertrain approach, expanding internationally and further enhancing operating efficiency, while continuing to strengthen Lotus’ track-bred DNA through vehicles such as the Emira 420 Sport and the upcoming V8 hybrid sports car, Type 135.”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Daxue Wang, Chief Financial Officer, commented: “We are seeing tangible results from our disciplined financial management and improving operating leverage. Margin expansion and significant reduction in operating loss highlight the effectiveness of our product strategy and cost control. With continued support from our shareholders, we are well positioned to further strengthen our financial performance in the coming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Lotus Tech management will host an earnings conference call at 8:00 AM U.S. Eastern Time on Thursday, August 27, 2026 (14:00 Central European Time / 20:00 China Standard Time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will be a live audio webcast and limited-time replay available on the Company’s investor relations website at </w:t>
      </w:r>
      <w:r>
        <w:rPr>
          <w:rFonts w:ascii="Times New Roman;Times;Serif" w:hAnsi="Times New Roman;Times;Serif"/>
          <w:b w:val="false"/>
          <w:i w:val="false"/>
          <w:caps w:val="false"/>
          <w:smallCaps w:val="false"/>
          <w:sz w:val="20"/>
          <w:u w:val="single"/>
        </w:rPr>
        <w:t>https://ir.group-lotus.com/news-events/events/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Participants who wish to view the live webcast may register at </w:t>
      </w:r>
      <w:r>
        <w:rPr>
          <w:rFonts w:ascii="Times New Roman;Times;Serif" w:hAnsi="Times New Roman;Times;Serif"/>
          <w:b w:val="false"/>
          <w:i w:val="false"/>
          <w:caps w:val="false"/>
          <w:smallCaps w:val="false"/>
          <w:sz w:val="20"/>
          <w:u w:val="single"/>
        </w:rPr>
        <w:t>https://edge.media-server.com/mmc/p/fna84dsa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Participants who wish to join the conference call, please complete online registration prior to the scheduled call start time using the link provided below. Upon registration, participants will receive a confirmation email with conference call access information, including dial-in numbers and a unique PIN. Participant online registration link: </w:t>
      </w:r>
      <w:r>
        <w:rPr>
          <w:rFonts w:ascii="Times New Roman;Times;Serif" w:hAnsi="Times New Roman;Times;Serif"/>
          <w:b w:val="false"/>
          <w:i w:val="false"/>
          <w:caps w:val="false"/>
          <w:smallCaps w:val="false"/>
          <w:sz w:val="20"/>
          <w:u w:val="single"/>
        </w:rPr>
        <w:t>https://register-conf.media-server.com/register/BIb14ba874347b4170a033130cedc8bcac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Including commissioned deliveries in the U.S.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Based on publicly disclosed information of Ferrari, Lamborghini, Aston Martin, Rolls-Royce, Porsche, BMW, Mercedes-Benz, Audi, and Volvo.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Based on market data of retail sales volume in the first half of 2026 in mainland China. Premium auto segment refers to passenger vehicles priced over RMB 400,000.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Excluding the one-off license fee refund, the operating loss in the first half of 2026 was $195 million, narrowed by 26% YoY.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Americas includes the U.S., Canada and South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Lotus Technology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Lotus Technology Inc. has operations across the UK, the EU, the US and China. The Company is dedicated to delivering high-performance sports cars and luxury lifestyle electric vehicles under Lotus Brand, a global performance brand built on solid foundations and a rich heritage, with a focus on world-class R&amp;D in next-generation automobility technologies and designs to meet its uncompromising vision of how a car should look, perform and feel. For more information about Lotus Technology Inc., please visit </w:t>
      </w:r>
      <w:r>
        <w:rPr>
          <w:rFonts w:ascii="Times New Roman;Times;Serif" w:hAnsi="Times New Roman;Times;Serif"/>
          <w:b w:val="false"/>
          <w:i w:val="false"/>
          <w:caps w:val="false"/>
          <w:smallCaps w:val="false"/>
          <w:sz w:val="20"/>
          <w:u w:val="single"/>
        </w:rPr>
        <w:t>www.group-lotus.com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non-GAAP financial measures, including adjusted net loss and adjusted EBITDA in evaluating its operating results and for financial and operational decision-making purposes. Adjusted net loss represents net loss excluding share-based compensation expenses, and such adjustment has no impact on income tax. Lotus Tech defines adjusted EBITDA as net loss excluding interest income, interest expense, income tax expenses, depreciation of property, equipment and software, and share-based compensation expenses. The Company believes that non-GAAP financial measures help identify underlying trends in its business and enhance the overall understanding of the Company’s past performance and future prospects. The Company also believes that non-GAAP financial measures allow for greater visibility with respect to key metrics used by the Company’s management in its financial and operational decision-making.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are not presented in accordance with U.S. GAAP and may be different from non-GAAP methods of accounting and reporting used by other companies. Non-GAAP financial measures have limitations as analytical tools and when assessing the Company’s operating performance, investors should not consider them in isolation, or as a substitute for financial information prepared in accordance with U.S. GAAP. The Company encourages investors and others to review its financial information in its entirety and not rely on a single financial measure. The Company mitigates these limitations by reconciling non-GAAP financial measures to the most comparable U.S. GAAP performance measures, all of which should be considered when evaluating the Company’s performance. For more information on non-GAAP financial measures, please see "Appendix C – Unaudited Reconciliation of GAAP and Non-GAAP Results (Adjusted net loss/Adjusted EBITDA)" set forth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All statements other than statements of historical fact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although not all forward-looking statements contain such terminology. Forward-looking statements involve inherent risks and uncertainties, including those identified under the heading “Risk Factors” in the Company’s filings with the U.S. Securities and Exchange Commission. All information provided in this press release is as of the date of this press release, and Lotus Tech undertakes no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inquiries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ir@group-lotus.com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Lotus Technology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w:t>
      </w:r>
    </w:p>
    <w:p>
      <w:pPr>
        <w:pStyle w:val="TextBody"/>
        <w:bidi w:val="0"/>
        <w:spacing w:before="0" w:after="0"/>
        <w:ind w:left="0" w:right="0" w:hanging="0"/>
        <w:jc w:val="left"/>
        <w:rPr>
          <w:caps w:val="false"/>
          <w:smallCaps w:val="false"/>
        </w:rPr>
      </w:pPr>
      <w:r>
        <w:rPr>
          <w:caps w:val="false"/>
          <w:smallCaps w:val="false"/>
        </w:rPr>
        <w:t> </w:t>
      </w:r>
    </w:p>
    <w:tbl>
      <w:tblPr>
        <w:tblW w:w="7768" w:type="dxa"/>
        <w:jc w:val="left"/>
        <w:tblInd w:w="0" w:type="dxa"/>
        <w:tblLayout w:type="fixed"/>
        <w:tblCellMar>
          <w:top w:w="0" w:type="dxa"/>
          <w:left w:w="0" w:type="dxa"/>
          <w:bottom w:w="0" w:type="dxa"/>
          <w:right w:w="0" w:type="dxa"/>
        </w:tblCellMar>
      </w:tblPr>
      <w:tblGrid>
        <w:gridCol w:w="4685"/>
        <w:gridCol w:w="60"/>
        <w:gridCol w:w="78"/>
        <w:gridCol w:w="1111"/>
        <w:gridCol w:w="60"/>
        <w:gridCol w:w="60"/>
        <w:gridCol w:w="107"/>
        <w:gridCol w:w="1532"/>
        <w:gridCol w:w="75"/>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269,593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375,865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 third parties,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 related parties,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170,371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121,361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 – third parties,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 – related parties,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809,369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911,089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209,490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receivable from a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368,584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351,486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equipment and software,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226,891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116,475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 third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1,094,677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1,041,659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1,904,046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1,952,748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Lotus Technology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w:t>
      </w:r>
    </w:p>
    <w:p>
      <w:pPr>
        <w:pStyle w:val="TextBody"/>
        <w:bidi w:val="0"/>
        <w:spacing w:before="0" w:after="0"/>
        <w:ind w:left="0" w:right="0" w:hanging="0"/>
        <w:jc w:val="left"/>
        <w:rPr>
          <w:caps w:val="false"/>
          <w:smallCaps w:val="false"/>
        </w:rPr>
      </w:pPr>
      <w:r>
        <w:rPr>
          <w:caps w:val="false"/>
          <w:smallCaps w:val="false"/>
        </w:rPr>
        <w:t> </w:t>
      </w:r>
    </w:p>
    <w:tbl>
      <w:tblPr>
        <w:tblW w:w="8158" w:type="dxa"/>
        <w:jc w:val="left"/>
        <w:tblInd w:w="0" w:type="dxa"/>
        <w:tblLayout w:type="fixed"/>
        <w:tblCellMar>
          <w:top w:w="0" w:type="dxa"/>
          <w:left w:w="0" w:type="dxa"/>
          <w:bottom w:w="0" w:type="dxa"/>
          <w:right w:w="0" w:type="dxa"/>
        </w:tblCellMar>
      </w:tblPr>
      <w:tblGrid>
        <w:gridCol w:w="5075"/>
        <w:gridCol w:w="60"/>
        <w:gridCol w:w="78"/>
        <w:gridCol w:w="1111"/>
        <w:gridCol w:w="60"/>
        <w:gridCol w:w="60"/>
        <w:gridCol w:w="107"/>
        <w:gridCol w:w="1532"/>
        <w:gridCol w:w="75"/>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DEFICIT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 –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402,744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479,419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863,776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784,288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633,627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458,189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 third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215,523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251,361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136,886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213,529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207,075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2,519,041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2,398,078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 third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Exchangeable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128,852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204,644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98,254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330,334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311,912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 – third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713,772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884,916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3,232,813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3,282,994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Lotus Technology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w:t>
      </w:r>
    </w:p>
    <w:p>
      <w:pPr>
        <w:pStyle w:val="TextBody"/>
        <w:bidi w:val="0"/>
        <w:spacing w:before="0" w:after="0"/>
        <w:ind w:left="0" w:right="0" w:hanging="0"/>
        <w:jc w:val="left"/>
        <w:rPr>
          <w:caps w:val="false"/>
          <w:smallCaps w:val="false"/>
        </w:rPr>
      </w:pPr>
      <w:r>
        <w:rPr>
          <w:caps w:val="false"/>
          <w:smallCaps w:val="false"/>
        </w:rPr>
        <w:t> </w:t>
      </w:r>
    </w:p>
    <w:tbl>
      <w:tblPr>
        <w:tblW w:w="8603" w:type="dxa"/>
        <w:jc w:val="left"/>
        <w:tblInd w:w="0" w:type="dxa"/>
        <w:tblLayout w:type="fixed"/>
        <w:tblCellMar>
          <w:top w:w="0" w:type="dxa"/>
          <w:left w:w="0" w:type="dxa"/>
          <w:bottom w:w="0" w:type="dxa"/>
          <w:right w:w="0" w:type="dxa"/>
        </w:tblCellMar>
      </w:tblPr>
      <w:tblGrid>
        <w:gridCol w:w="5480"/>
        <w:gridCol w:w="60"/>
        <w:gridCol w:w="73"/>
        <w:gridCol w:w="1116"/>
        <w:gridCol w:w="80"/>
        <w:gridCol w:w="60"/>
        <w:gridCol w:w="101"/>
        <w:gridCol w:w="1538"/>
        <w:gridCol w:w="95"/>
      </w:tblGrid>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DEFICIT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2,118,617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1,933,992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(3,308,860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(3,157,918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deficit attributable to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(1,325,929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(1,322,498</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(1,328,767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(1,330,246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1,904,046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1,952,748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Lotus Technology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23"/>
        <w:gridCol w:w="60"/>
        <w:gridCol w:w="70"/>
        <w:gridCol w:w="1259"/>
        <w:gridCol w:w="94"/>
        <w:gridCol w:w="70"/>
        <w:gridCol w:w="70"/>
        <w:gridCol w:w="1259"/>
        <w:gridCol w:w="100"/>
      </w:tblGrid>
      <w:tr>
        <w:trPr/>
        <w:tc>
          <w:tcPr>
            <w:tcW w:w="72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13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1329"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2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goods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263,256</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197,485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4,843</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2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268,099</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218,326</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2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(238,119</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(184,885</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(3,688</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(15,575</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2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(241,807</w:t>
            </w:r>
          </w:p>
        </w:tc>
        <w:tc>
          <w:tcPr>
            <w:tcW w:w="9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(200,460</w:t>
            </w:r>
          </w:p>
        </w:tc>
        <w:tc>
          <w:tcPr>
            <w:tcW w:w="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26,292</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17,866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2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credit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(92,305</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(82,932</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(78,995</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(46,176</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(63,356</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3,839</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4,866</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long-lived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(51,504</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2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(123,704</w:t>
            </w:r>
          </w:p>
        </w:tc>
        <w:tc>
          <w:tcPr>
            <w:tcW w:w="9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(281,294</w:t>
            </w:r>
          </w:p>
        </w:tc>
        <w:tc>
          <w:tcPr>
            <w:tcW w:w="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(97,412</w:t>
            </w:r>
          </w:p>
        </w:tc>
        <w:tc>
          <w:tcPr>
            <w:tcW w:w="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(263,428</w:t>
            </w:r>
          </w:p>
        </w:tc>
        <w:tc>
          <w:tcPr>
            <w:tcW w:w="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(34,300</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(33,641</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15,202</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(loss)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(losses) gains,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(21,817</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40,525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fair values of liabilities, excluding impact of instrument-specific credit risk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(9,948</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(68,084</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taxes and share of results of equity method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(148,728</w:t>
            </w:r>
          </w:p>
        </w:tc>
        <w:tc>
          <w:tcPr>
            <w:tcW w:w="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(302,071</w:t>
            </w:r>
          </w:p>
        </w:tc>
        <w:tc>
          <w:tcPr>
            <w:tcW w:w="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credit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(15,043</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results of equity method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(2,878</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2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(150,942</w:t>
            </w:r>
          </w:p>
        </w:tc>
        <w:tc>
          <w:tcPr>
            <w:tcW w:w="9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(313,040</w:t>
            </w:r>
          </w:p>
        </w:tc>
        <w:tc>
          <w:tcPr>
            <w:tcW w:w="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loss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2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(150,942</w:t>
            </w:r>
          </w:p>
        </w:tc>
        <w:tc>
          <w:tcPr>
            <w:tcW w:w="9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(313,038</w:t>
            </w:r>
          </w:p>
        </w:tc>
        <w:tc>
          <w:tcPr>
            <w:tcW w:w="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per ordinary share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223"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(0.23</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(0.47</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2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ordinary shares outstanding used in computing net loss per ordinary share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223"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645,541,822</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659,335,966</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Lotus Technology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6"/>
        <w:gridCol w:w="60"/>
        <w:gridCol w:w="97"/>
        <w:gridCol w:w="1230"/>
        <w:gridCol w:w="129"/>
        <w:gridCol w:w="97"/>
        <w:gridCol w:w="97"/>
        <w:gridCol w:w="1230"/>
        <w:gridCol w:w="99"/>
      </w:tblGrid>
      <w:tr>
        <w:trPr/>
        <w:tc>
          <w:tcPr>
            <w:tcW w:w="71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13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7"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1327"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(150,942</w:t>
            </w:r>
          </w:p>
        </w:tc>
        <w:tc>
          <w:tcPr>
            <w:tcW w:w="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(313,040</w:t>
            </w:r>
          </w:p>
        </w:tc>
        <w:tc>
          <w:tcPr>
            <w:tcW w:w="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1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71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7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changes of liabilities due to instrument-specific credit risk, net of nil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13,664</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16,427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net of nil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(45,552</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(6,332</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71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comprehensive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(31,888</w:t>
            </w:r>
          </w:p>
        </w:tc>
        <w:tc>
          <w:tcPr>
            <w:tcW w:w="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10,095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71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(182,830</w:t>
            </w:r>
          </w:p>
        </w:tc>
        <w:tc>
          <w:tcPr>
            <w:tcW w:w="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(302,945</w:t>
            </w:r>
          </w:p>
        </w:tc>
        <w:tc>
          <w:tcPr>
            <w:tcW w:w="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Total comprehensive loss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1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 attributable to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(182,830</w:t>
            </w:r>
          </w:p>
        </w:tc>
        <w:tc>
          <w:tcPr>
            <w:tcW w:w="1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(302,943</w:t>
            </w:r>
          </w:p>
        </w:tc>
        <w:tc>
          <w:tcPr>
            <w:tcW w:w="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Lotus Technology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and Non-GAAP Results (Adjusted net loss/Adjusted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w:t>
      </w:r>
    </w:p>
    <w:p>
      <w:pPr>
        <w:pStyle w:val="TextBody"/>
        <w:bidi w:val="0"/>
        <w:spacing w:before="0" w:after="0"/>
        <w:ind w:left="0" w:right="0" w:hanging="0"/>
        <w:jc w:val="left"/>
        <w:rPr>
          <w:caps w:val="false"/>
          <w:smallCaps w:val="false"/>
        </w:rPr>
      </w:pPr>
      <w:r>
        <w:rPr>
          <w:caps w:val="false"/>
          <w:smallCaps w:val="false"/>
        </w:rPr>
        <w:t> </w:t>
      </w:r>
    </w:p>
    <w:tbl>
      <w:tblPr>
        <w:tblW w:w="6087" w:type="dxa"/>
        <w:jc w:val="left"/>
        <w:tblInd w:w="0" w:type="dxa"/>
        <w:tblLayout w:type="fixed"/>
        <w:tblCellMar>
          <w:top w:w="0" w:type="dxa"/>
          <w:left w:w="0" w:type="dxa"/>
          <w:bottom w:w="0" w:type="dxa"/>
          <w:right w:w="0" w:type="dxa"/>
        </w:tblCellMar>
      </w:tblPr>
      <w:tblGrid>
        <w:gridCol w:w="2975"/>
        <w:gridCol w:w="60"/>
        <w:gridCol w:w="100"/>
        <w:gridCol w:w="1262"/>
        <w:gridCol w:w="133"/>
        <w:gridCol w:w="100"/>
        <w:gridCol w:w="100"/>
        <w:gridCol w:w="1262"/>
        <w:gridCol w:w="95"/>
      </w:tblGrid>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5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3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2"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362"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(150,942</w:t>
            </w:r>
          </w:p>
        </w:tc>
        <w:tc>
          <w:tcPr>
            <w:tcW w:w="1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(313,040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1,635</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(149,307</w:t>
            </w:r>
          </w:p>
        </w:tc>
        <w:tc>
          <w:tcPr>
            <w:tcW w:w="1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(310,825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(150,942</w:t>
            </w:r>
          </w:p>
        </w:tc>
        <w:tc>
          <w:tcPr>
            <w:tcW w:w="1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(313,040</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34,300</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(15,202</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(credit)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1,635</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26,920</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(103,953</w:t>
            </w:r>
          </w:p>
        </w:tc>
        <w:tc>
          <w:tcPr>
            <w:tcW w:w="1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(239,646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4" w:name="tm2624173d1_ex99-2.htm"/>
      <w:bookmarkStart w:id="5" w:name="kstm2624173d1_ex992"/>
      <w:bookmarkEnd w:id="4"/>
      <w:bookmarkEnd w:id="5"/>
      <w:r>
        <w:rPr>
          <w:rFonts w:ascii="Times New Roman" w:hAnsi="Times New Roman"/>
          <w:b/>
          <w:sz w:val="20"/>
        </w:rPr>
        <w:t>Exhibit 99.2</w:t>
      </w:r>
      <w:r>
        <w:br w:type="page"/>
      </w:r>
    </w:p>
    <w:p>
      <w:pPr>
        <w:pStyle w:val="TextBody"/>
        <w:bidi w:val="0"/>
        <w:spacing w:before="40" w:after="40"/>
        <w:ind w:left="0" w:right="0" w:hanging="0"/>
        <w:jc w:val="right"/>
        <w:rPr>
          <w:caps w:val="false"/>
          <w:smallCaps w:val="false"/>
        </w:rPr>
      </w:pPr>
      <w:r>
        <w:rPr>
          <w:caps w:val="false"/>
          <w:smallCaps w:val="false"/>
        </w:rPr>
        <w:t> </w:t>
      </w:r>
    </w:p>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&lt;PUBLIC&gt; FIRST HALF 2026 RESULTS</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2</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3 • • • •</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4 • ’ • •</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5</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6</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7</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8</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9 9</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10</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11</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 • • • • • • 12</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13 • • • • • • • • • • 13</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APPENDIX 14</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15</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16</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17</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 18</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LOTUS TECH EARNINGS RESULT</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 255 G: 255 B: 255 R: 242 G: 241 B: 240 R: 255 G: 247 B: 102 R: 255 G: 249 B: 153 R: 193 G: 192 B: 191 R: 247 G: 246 B: 246 R: 252 G: 252 B: 252 R: 114 G: 114 B: 114 R: 184 G: 184 B: 184 THANK YOU &lt;PUBLIC&gt; ir.group-lotus.com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4335</Words>
  <Characters>21343</Characters>
  <CharactersWithSpaces>26142</CharactersWithSpaces>
  <Paragraphs>1801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