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7116d1_6k.htm"/>
      <w:bookmarkStart w:id="1" w:name="kstm247116d1_6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001-41970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Lotus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800 Century Avenue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Pudong District, Shanghai, People’s Republic of China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28" w:type="dxa"/>
          <w:right w:w="0" w:type="dxa"/>
        </w:tblCellMar>
      </w:tblPr>
      <w:tblGrid>
        <w:gridCol w:w="995"/>
        <w:gridCol w:w="60"/>
        <w:gridCol w:w="581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4711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10" w:type="dxa"/>
            <w:tcBorders/>
            <w:tcMar>
              <w:bottom w:w="0" w:type="dxa"/>
            </w:tcMar>
            <w:vAlign w:val="center"/>
          </w:tcPr>
          <w:p>
            <w:pPr>
              <w:pStyle w:val="TableContents"/>
              <w:bidi w:val="0"/>
              <w:spacing w:before="0" w:after="283"/>
              <w:jc w:val="both"/>
              <w:rPr/>
            </w:pPr>
            <w:hyperlink w:anchor="tm247116d1_ex99-1.htm">
              <w:r>
                <w:rPr>
                  <w:rStyle w:val="InternetLink"/>
                  <w:rFonts w:ascii="Times New Roman;Times;Serif" w:hAnsi="Times New Roman;Times;Serif"/>
                  <w:sz w:val="20"/>
                </w:rPr>
                <w:t>Press Release – Lotus Technology Celebrates Public Listing on Nasdaq</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9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4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Alexious Kuen Long Lee</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Alexious Kuen Long Lee</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47116d1_ex99-1.htm"/>
      <w:bookmarkStart w:id="3" w:name="kstm247116d1_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LOTUS 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group-lotus.com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Celebrates Public Listing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New York and Singapore</w:t>
      </w:r>
      <w:r>
        <w:rPr>
          <w:rFonts w:ascii="Times New Roman;Times;Serif" w:hAnsi="Times New Roman;Times;Serif"/>
          <w:b/>
          <w:i w:val="false"/>
          <w:caps w:val="false"/>
          <w:smallCaps w:val="false"/>
          <w:sz w:val="20"/>
        </w:rPr>
        <w:t xml:space="preserve"> - </w:t>
      </w:r>
      <w:r>
        <w:rPr>
          <w:rFonts w:ascii="Times New Roman;Times;Serif" w:hAnsi="Times New Roman;Times;Serif"/>
          <w:b/>
          <w:i w:val="false"/>
          <w:caps w:val="false"/>
          <w:smallCaps w:val="false"/>
          <w:sz w:val="20"/>
          <w:u w:val="single"/>
        </w:rPr>
        <w:t>February 23, 2024</w:t>
      </w:r>
      <w:r>
        <w:rPr>
          <w:rFonts w:ascii="Times New Roman;Times;Serif" w:hAnsi="Times New Roman;Times;Serif"/>
          <w:b w:val="false"/>
          <w:i w:val="false"/>
          <w:caps w:val="false"/>
          <w:smallCaps w:val="false"/>
          <w:sz w:val="20"/>
        </w:rPr>
        <w:t xml:space="preserve"> – Lotus Technology Inc. (“Lotus Tech” or the “Company”), a leading global luxury electric vehicle maker, rang today’s opening bell at the Nasdaq stock exchange in New York City in celebration of its public listing. The Company’s American depositary shares (“ADSs”) commenced trading today on the Nasdaq Stock Market LLC (“Nasdaq”) under the ticker symbol “LOT” following the completion of its business combination on February 22, 2024 with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 Catterton Asia Acquisition Corp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a special purpose acquisition company (“SPAC”) formed by affiliates of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 Catterton, a leading global consumer-focused investment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00800" cy="426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00800" cy="426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 caption: Lotus Tech Debuts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Lotus Tech CEO Feng Qingfeng was joined by members of the Lotus Tech and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 Catterton teams in New York City to witness this important milestone, which will help Lotus Tech to further its mission of becoming an advanced, fully electric, intelligent, and sustainable luxury mobility provider under the brand’s Vision80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an exciting moment for all of us at Lotus Technology,” said Mr. Feng. “I would like to extend my appreciation to our shareholders, partners, suppliers, our outstanding employees, and most importantly, our customers, for their support. We are proud to carry Lotus’s heritage into the future, and to open a new chapter in the Lotus story with our public listing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Chinta Bhagat, Co-Chief Executive Officer of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CAA said: “We believe that Lotus Tech is ideally positioned to seize the tremendous opportunity in the fast-growing and underserved luxury EV market, leveraging our global consumer insights and strategic relationship with LVMH. Today’s public listing is a significant step in the company’s future expansion and we are looking forward to our continued collaboration with Lotus Tech’s talented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will support Lotus Tech’s development of next generation automobility technologies and the expected expansion of its global distribution network from around 200 to over 300 stores globally by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LOTUS 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group-lotus.com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to become the first traditional luxury auto brand to achieve a 100% electric product portfolio by 2027, the Company has launched a well-balanced portfolio of exceptionally performant models, including the Eletre hyper-SUV and Emeya hyper-GT, and plans to launch two additional luxury battery electric vehicles (BEV) over the next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bell-ringing ceremony was broadcast on Nasdaq’s digital billboards in Times Square and livestreamed online, with Lotus Tech employees joining the celebration remotely from offices across the world. The brand’s signature BEV models, Evija, Eletre and Emeya were also displayed in Times Square in front of the Nasdaq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Lotus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Lotus Technology Inc. has operations across China, the UK, and the EU. The Company is dedicated to delivering luxury lifestyle battery electric vehicles, with a focus on world-class R&amp;D in next-generation automobility technologies such as electrification, digitalisation and more. For more information about Lotus Technology Inc., please visit </w:t>
      </w:r>
      <w:r>
        <w:rPr>
          <w:rFonts w:ascii="Times New Roman;Times;Serif" w:hAnsi="Times New Roman;Times;Serif"/>
          <w:b w:val="false"/>
          <w:i w:val="false"/>
          <w:caps w:val="false"/>
          <w:smallCaps w:val="false"/>
          <w:sz w:val="20"/>
          <w:u w:val="single"/>
        </w:rPr>
        <w:t>www.group-lotus.com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t>
      </w:r>
      <w:r>
        <w:rPr>
          <w:rFonts w:ascii="Times New Roman;Times;Serif" w:hAnsi="Times New Roman;Times;Serif"/>
          <w:b/>
          <w:i/>
          <w:caps w:val="false"/>
          <w:smallCaps w:val="false"/>
          <w:sz w:val="20"/>
        </w:rPr>
        <w:t>L</w:t>
      </w:r>
      <w:r>
        <w:rPr>
          <w:rFonts w:ascii="Times New Roman;Times;Serif" w:hAnsi="Times New Roman;Times;Serif"/>
          <w:b/>
          <w:i w:val="false"/>
          <w:caps w:val="false"/>
          <w:smallCaps w:val="false"/>
          <w:sz w:val="20"/>
        </w:rPr>
        <w:t> Catterton Asia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 Catterton Asia Acquisition Corp (NASDAQ: LCAA) is a blank check company incorporated for the purpose of effecting a merger, capital stock exchange, asset acquisition, stock purchase, reorganization or similar business combination with one or more businesses or entities. While it may pursue an initial target business in any industry or sector, it has focused its search on high-growth, consumer technology sectors across Asia. For more information about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 Catterton Asia Acquisition Corp, please visit </w:t>
      </w:r>
      <w:r>
        <w:rPr>
          <w:rFonts w:ascii="Times New Roman;Times;Serif" w:hAnsi="Times New Roman;Times;Serif"/>
          <w:b w:val="false"/>
          <w:i w:val="false"/>
          <w:caps w:val="false"/>
          <w:smallCaps w:val="false"/>
          <w:sz w:val="20"/>
          <w:u w:val="single"/>
        </w:rPr>
        <w:t>www.lcaac.com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w:t>
      </w:r>
      <w:r>
        <w:rPr>
          <w:rFonts w:ascii="Times New Roman;Times;Serif" w:hAnsi="Times New Roman;Times;Serif"/>
          <w:b/>
          <w:i/>
          <w:caps w:val="false"/>
          <w:smallCaps w:val="false"/>
          <w:sz w:val="20"/>
        </w:rPr>
        <w:t>L</w:t>
      </w:r>
      <w:r>
        <w:rPr>
          <w:rFonts w:ascii="Times New Roman;Times;Serif" w:hAnsi="Times New Roman;Times;Serif"/>
          <w:b/>
          <w:i w:val="false"/>
          <w:caps w:val="false"/>
          <w:smallCaps w:val="false"/>
          <w:sz w:val="20"/>
        </w:rPr>
        <w:t xml:space="preserve"> Catterton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 </w:t>
      </w:r>
      <w:r>
        <w:rPr>
          <w:rFonts w:ascii="Times New Roman;Times;Serif" w:hAnsi="Times New Roman;Times;Serif"/>
          <w:b w:val="false"/>
          <w:i w:val="false"/>
          <w:caps w:val="false"/>
          <w:smallCaps w:val="false"/>
          <w:sz w:val="20"/>
        </w:rPr>
        <w:t xml:space="preserve">Catterton is a market-leading consumer-focused investment firm, managing approximately $35 billion of equity capital and three multi-product platforms: private equity, credit and real estate. Leveraging deep category insight, operational excellence, and a broad network of strategic relationships,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 Catterton’s team of more than 200 investment and operating professionals across 17 offices partners with management teams to drive differentiated value creation across its portfolio. Founded in 1989, the firm has made over 275 investments in some of the world’s most iconic consumer brands. For more information about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 Catterton, please visit </w:t>
      </w:r>
      <w:r>
        <w:rPr>
          <w:rFonts w:ascii="Times New Roman;Times;Serif" w:hAnsi="Times New Roman;Times;Serif"/>
          <w:b w:val="false"/>
          <w:i w:val="false"/>
          <w:caps w:val="false"/>
          <w:smallCaps w:val="false"/>
          <w:sz w:val="20"/>
          <w:u w:val="single"/>
        </w:rPr>
        <w:t>www.lcatterton.com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LOTUS 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group-lotus.com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(the “Press Release”) contains forward-looking statements within the meaning of Section 27A of the U.S. Securities Act of 1933, as amended (the “Securities Act”), and Section 21E of the U.S. Securities Exchange Act of 1934, that are based on beliefs and assumptions and on information currently available to Lotus Tech and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CAA. All statements other than statements of historical fact contained in this Press Release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based upon estimates and assumptions that, while considered reasonable by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and its management, and Lotus Tech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Lotus Tech and the other parties thereto (the “Business Combination”); (2) the outcome of any legal proceedings that may be instituted against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the Combined Company or others following the announcement of the Business Combination and any definitive agreements with respect thereto; (3) the amount of redemption requests made by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public shareholders and the inability to complete the Business Combination due to the failure to obtain approval of the shareholders of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to obtain financing to complete the Business Combination or to satisfy other conditions to closing and;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Lotus Tech’s international operations; (10) the possibility that Lotus Tech or the Combined Company may be adversely affected by other economic, business, and/or competitive factors; (11) Lotus Tech’s estimates of expenses and profitability; (12) Lotus Tech’s ability to maintain agreements or partnerships with its strategic partner Geely Holding and to develop new agreements or partnerships; (13) Lotus Tech’s ability to maintain relationships with its existing suppliers and strategic partners, and source new suppliers for its critical components, and to complete building out its supply chain, while effectively managing the risks due to such relationships; (14) Lotus Tech’s reliance on its partnerships with vehicle charging networks to provide charging solutions for its vehicles and its strategic partners for servicing its vehicles and their integrated software; (15) Lotus Tech’s ability to establish its brand and capture additional market share, and the risks associated with negative press or reputational harm, including from lithium-ion battery cells catching fire or venting smoke; (16) delays in the design, manufacture, launch and financing of Lotus Tech’s vehicles and Lotus Tech’s reliance on a limited number of vehicle models to generate revenues; (17) Lotus Tech’s ability to continuously and rapidly innovate, develop and market new products; (18) risks related to future market adoption of Lotus Tech’s offerings; (19) increases in costs, disruption of supply or shortage of materials, in particular for lithium-ion cells or semiconductors; (20) Lotus Tech’s reliance on its partners to manufacture vehicles at a high volume, some of which have limited experience in producing electric vehicles, and on the allocation of sufficient production capacity to Lotus Tech by its partners in order for Lotus Tech to be able to increase its vehicle production capacities; (21) risks related to Lotus Tech’s distribution model; (22) the effects of competition and the high barriers to entry in the automotive industry, and the pace and depth of electric vehicle adoption generally on Lotus Tech’s future business; (23) changes in regulatory requirements, governmental incentives and fuel and energy prices; (24) the impact of the global COVID-19 pandemic on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Lotus Tech, Lotus Tech’s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Lotus Tech’s registration statement on Form F-4  (File No. 333-275001) filed by Lotus Tech with the U.S. Securities and Exchange Commission (the “SEC”) on January 12, 2024 and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CAA’s final prospectus relating to its initial public offering (File No. 333-253334) filed by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with the SEC on March 12, 2021, and other documents filed, or to be filed, with the the SEC”) by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or Lotus Tech, including the Registration/Proxy Statement (as defined below). There may be additional risks that neither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nor Lotus Tech presently know or that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CAA or Lotus Tech currently believe are immaterial that could also cause actual results to differ from those contained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LOTUS 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group-lotus.com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Press Release should be regarded as a representation by any person that the forward-looking statements set forth herein will be achieved in any specified time frame, or at all, or that any of the contemplated results of such forward-looking statements will be achieved in any specified time frame, or at all. The forward-looking statements in this Press Release represent the views of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and Lotus Tech as of the date they are made. While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xml:space="preserve">CAA and Lotus Tech may update these forward-looking statements in the future, </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CAA and Lotus Tech specifically disclaim any obligation to do so, except to the extent required by applicable law. You should not place undue reliance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 Information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inquiries regarding Lotus Tech</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 Zhang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ir@group-lotus.com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Brunswick Group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Lotustechmedia@brunswickgroup.com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inquiries regarding </w:t>
      </w:r>
      <w:r>
        <w:rPr>
          <w:rFonts w:ascii="Times New Roman;Times;Serif" w:hAnsi="Times New Roman;Times;Serif"/>
          <w:b/>
          <w:i/>
          <w:caps w:val="false"/>
          <w:smallCaps w:val="false"/>
          <w:sz w:val="20"/>
        </w:rPr>
        <w:t>L</w:t>
      </w:r>
      <w:r>
        <w:rPr>
          <w:rFonts w:ascii="Times New Roman;Times;Serif" w:hAnsi="Times New Roman;Times;Serif"/>
          <w:b/>
          <w:i w:val="false"/>
          <w:caps w:val="false"/>
          <w:smallCaps w:val="false"/>
          <w:sz w:val="20"/>
        </w:rPr>
        <w:t xml:space="preserve">CAA and/or </w:t>
      </w:r>
      <w:r>
        <w:rPr>
          <w:rFonts w:ascii="Times New Roman;Times;Serif" w:hAnsi="Times New Roman;Times;Serif"/>
          <w:b/>
          <w:i/>
          <w:caps w:val="false"/>
          <w:smallCaps w:val="false"/>
          <w:sz w:val="20"/>
        </w:rPr>
        <w:t>L</w:t>
      </w:r>
      <w:r>
        <w:rPr>
          <w:rFonts w:ascii="Times New Roman;Times;Serif" w:hAnsi="Times New Roman;Times;Serif"/>
          <w:b/>
          <w:i w:val="false"/>
          <w:caps w:val="false"/>
          <w:smallCaps w:val="false"/>
          <w:sz w:val="20"/>
        </w:rPr>
        <w:t xml:space="preserve"> Catterton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Hamilton (U.S.)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media@lcatterton.com</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+1 203 742 5185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Ong / Bonnie Gan (Asia)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bob.ong@lcatterton.com / bonnie.gan@lcatterton.com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6672 7619 / +86 10 8555 1807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1957</Words>
  <Characters>11196</Characters>
  <CharactersWithSpaces>13196</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