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203200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ind w:left="50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117475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31"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127635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7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REPORT OF FOREIGN PRIVATE ISSUER PURSUANT TO RULE 13a-16 OR 15d-16</w:t>
      </w:r>
    </w:p>
    <w:p>
      <w:pPr>
        <w:spacing w:after="0" w:line="3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UNDER THE SECURITIES EXCHANGE ACT OF 1934</w:t>
      </w:r>
    </w:p>
    <w:p>
      <w:pPr>
        <w:spacing w:after="0" w:line="13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For the month of April 2026</w:t>
      </w: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b w:val="1"/>
          <w:bCs w:val="1"/>
          <w:color w:val="auto"/>
        </w:rPr>
        <w:t>Commission File Number: 001-41970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127635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4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Lotus Technology Inc.</w:t>
      </w:r>
    </w:p>
    <w:p>
      <w:pPr>
        <w:spacing w:after="0" w:line="2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2"/>
          <w:szCs w:val="12"/>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117475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4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 800 Century Avenue</w:t>
      </w:r>
    </w:p>
    <w:p>
      <w:pPr>
        <w:spacing w:after="0" w:line="2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Pudong District, Shanghai, People’s Republic of China</w:t>
      </w:r>
    </w:p>
    <w:p>
      <w:pPr>
        <w:spacing w:after="0" w:line="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118110</wp:posOffset>
            </wp:positionV>
            <wp:extent cx="17945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6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22" w:lineRule="exact"/>
        <w:rPr>
          <w:sz w:val="24"/>
          <w:szCs w:val="24"/>
          <w:color w:val="auto"/>
        </w:rPr>
      </w:pPr>
    </w:p>
    <w:p>
      <w:pPr>
        <w:ind w:left="4900"/>
        <w:spacing w:after="0" w:line="138" w:lineRule="exact"/>
        <w:rPr>
          <w:sz w:val="20"/>
          <w:szCs w:val="20"/>
          <w:color w:val="auto"/>
        </w:rPr>
      </w:pPr>
      <w:r>
        <w:rPr>
          <w:rFonts w:ascii="Times New Roman" w:cs="Times New Roman" w:eastAsia="Times New Roman" w:hAnsi="Times New Roman"/>
          <w:sz w:val="12"/>
          <w:szCs w:val="12"/>
          <w:color w:val="auto"/>
        </w:rPr>
        <w:t xml:space="preserve">Form 20-F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Form 40-F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142875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160020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365760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508" w:right="1440" w:bottom="1440" w:gutter="0" w:footer="0" w:header="0"/>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EXPLANATORY NOTE</w:t>
      </w:r>
    </w:p>
    <w:p>
      <w:pPr>
        <w:spacing w:after="0" w:line="154"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2"/>
          <w:szCs w:val="12"/>
          <w:color w:val="auto"/>
        </w:rPr>
        <w:t>This current report on Form 6-K, including the exhibits hereto, is incorporated by reference into the pre-effective amendment No. 1 to the registration statement on Form F-3 (File No. 333-285533), post-effective amendment No. 3 to the registration statement on Form F-1 on Form F-3 (File No. 333-279108) and the post-effective amendment No. 2 to the registration statement on Form F-1 on Form F-3 (File No. 333-282217) and shall be a part of such registration statements from the date on which this current report is furnished,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60"/>
          </w:cols>
          <w:pgMar w:left="300" w:top="647"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9"/>
        </w:trPr>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380" w:type="dxa"/>
            <w:vAlign w:val="bottom"/>
            <w:gridSpan w:val="3"/>
          </w:tcPr>
          <w:p>
            <w:pPr>
              <w:ind w:left="3260"/>
              <w:spacing w:after="0"/>
              <w:rPr>
                <w:sz w:val="20"/>
                <w:szCs w:val="20"/>
                <w:color w:val="auto"/>
              </w:rPr>
            </w:pPr>
            <w:r>
              <w:rPr>
                <w:rFonts w:ascii="Times New Roman" w:cs="Times New Roman" w:eastAsia="Times New Roman" w:hAnsi="Times New Roman"/>
                <w:sz w:val="12"/>
                <w:szCs w:val="12"/>
                <w:b w:val="1"/>
                <w:bCs w:val="1"/>
                <w:color w:val="auto"/>
              </w:rPr>
              <w:t>EXHIBIT INDEX</w:t>
            </w:r>
          </w:p>
        </w:tc>
      </w:tr>
      <w:tr>
        <w:trPr>
          <w:trHeight w:val="277"/>
        </w:trPr>
        <w:tc>
          <w:tcPr>
            <w:tcW w:w="192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3560" w:type="dxa"/>
            <w:vAlign w:val="bottom"/>
          </w:tcPr>
          <w:p>
            <w:pPr>
              <w:spacing w:after="0"/>
              <w:rPr>
                <w:sz w:val="24"/>
                <w:szCs w:val="24"/>
                <w:color w:val="auto"/>
              </w:rPr>
            </w:pPr>
          </w:p>
        </w:tc>
        <w:tc>
          <w:tcPr>
            <w:tcW w:w="5820" w:type="dxa"/>
            <w:vAlign w:val="bottom"/>
            <w:gridSpan w:val="2"/>
          </w:tcPr>
          <w:p>
            <w:pPr>
              <w:ind w:left="84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28"/>
        </w:trPr>
        <w:tc>
          <w:tcPr>
            <w:tcW w:w="940" w:type="dxa"/>
            <w:vAlign w:val="bottom"/>
            <w:gridSpan w:val="2"/>
          </w:tcPr>
          <w:p>
            <w:pPr>
              <w:jc w:val="center"/>
              <w:ind w:left="680"/>
              <w:spacing w:after="0" w:line="128"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1</w:t>
            </w:r>
          </w:p>
        </w:tc>
        <w:tc>
          <w:tcPr>
            <w:tcW w:w="980" w:type="dxa"/>
            <w:vAlign w:val="bottom"/>
          </w:tcPr>
          <w:p>
            <w:pPr>
              <w:spacing w:after="0"/>
              <w:rPr>
                <w:sz w:val="11"/>
                <w:szCs w:val="11"/>
                <w:color w:val="auto"/>
              </w:rPr>
            </w:pPr>
          </w:p>
        </w:tc>
        <w:tc>
          <w:tcPr>
            <w:tcW w:w="9380" w:type="dxa"/>
            <w:vAlign w:val="bottom"/>
            <w:gridSpan w:val="3"/>
          </w:tcPr>
          <w:p>
            <w:pPr>
              <w:spacing w:after="0" w:line="128" w:lineRule="exact"/>
              <w:rPr>
                <w:sz w:val="20"/>
                <w:szCs w:val="20"/>
                <w:color w:val="auto"/>
              </w:rPr>
            </w:pPr>
            <w:r>
              <w:rPr>
                <w:rFonts w:ascii="Times New Roman" w:cs="Times New Roman" w:eastAsia="Times New Roman" w:hAnsi="Times New Roman"/>
                <w:sz w:val="12"/>
                <w:szCs w:val="12"/>
                <w:color w:val="0000EE"/>
              </w:rPr>
              <w:t>Press Release – Lotus Technology Reports Unaudited Fourth Quarter and Full Year 2025 Financial Results</w:t>
            </w:r>
          </w:p>
        </w:tc>
      </w:tr>
      <w:tr>
        <w:trPr>
          <w:trHeight w:val="20"/>
        </w:trPr>
        <w:tc>
          <w:tcPr>
            <w:tcW w:w="7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268"/>
        </w:trPr>
        <w:tc>
          <w:tcPr>
            <w:tcW w:w="940" w:type="dxa"/>
            <w:vAlign w:val="bottom"/>
            <w:gridSpan w:val="2"/>
          </w:tcPr>
          <w:p>
            <w:pPr>
              <w:jc w:val="center"/>
              <w:ind w:left="680"/>
              <w:spacing w:after="0"/>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2</w:t>
            </w:r>
          </w:p>
        </w:tc>
        <w:tc>
          <w:tcPr>
            <w:tcW w:w="980" w:type="dxa"/>
            <w:vAlign w:val="bottom"/>
          </w:tcPr>
          <w:p>
            <w:pPr>
              <w:spacing w:after="0"/>
              <w:rPr>
                <w:sz w:val="23"/>
                <w:szCs w:val="23"/>
                <w:color w:val="auto"/>
              </w:rPr>
            </w:pPr>
          </w:p>
        </w:tc>
        <w:tc>
          <w:tcPr>
            <w:tcW w:w="9380" w:type="dxa"/>
            <w:vAlign w:val="bottom"/>
            <w:gridSpan w:val="3"/>
          </w:tcPr>
          <w:p>
            <w:pPr>
              <w:spacing w:after="0"/>
              <w:rPr>
                <w:sz w:val="20"/>
                <w:szCs w:val="20"/>
                <w:color w:val="auto"/>
              </w:rPr>
            </w:pPr>
            <w:r>
              <w:rPr>
                <w:rFonts w:ascii="Times New Roman" w:cs="Times New Roman" w:eastAsia="Times New Roman" w:hAnsi="Times New Roman"/>
                <w:sz w:val="12"/>
                <w:szCs w:val="12"/>
                <w:color w:val="0000EE"/>
              </w:rPr>
              <w:t>Presentation – Unaudited Q4 &amp; FY2025 Results of Lotus Technology Inc.</w:t>
            </w:r>
          </w:p>
        </w:tc>
      </w:tr>
      <w:tr>
        <w:trPr>
          <w:trHeight w:val="457"/>
        </w:trPr>
        <w:tc>
          <w:tcPr>
            <w:tcW w:w="740" w:type="dxa"/>
            <w:vAlign w:val="bottom"/>
            <w:tcBorders>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560" w:type="dxa"/>
            <w:vAlign w:val="bottom"/>
            <w:tcBorders>
              <w:top w:val="single" w:sz="8" w:color="0000EE"/>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Lotus Technology Inc.</w:t>
      </w:r>
    </w:p>
    <w:p>
      <w:pPr>
        <w:spacing w:after="0" w:line="298" w:lineRule="exact"/>
        <w:rPr>
          <w:sz w:val="20"/>
          <w:szCs w:val="20"/>
          <w:color w:val="auto"/>
        </w:rPr>
      </w:pPr>
    </w:p>
    <w:tbl>
      <w:tblPr>
        <w:tblLayout w:type="fixed"/>
        <w:tblInd w:w="5660" w:type="dxa"/>
        <w:tblCellMar>
          <w:top w:w="0" w:type="dxa"/>
          <w:left w:w="0" w:type="dxa"/>
          <w:bottom w:w="0" w:type="dxa"/>
          <w:right w:w="0" w:type="dxa"/>
        </w:tblCellMar>
      </w:tblPr>
      <w:tr>
        <w:trPr>
          <w:trHeight w:val="155"/>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Daxue Wang</w:t>
            </w:r>
          </w:p>
        </w:tc>
      </w:tr>
      <w:tr>
        <w:trPr>
          <w:trHeight w:val="122"/>
        </w:trPr>
        <w:tc>
          <w:tcPr>
            <w:tcW w:w="5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400" w:type="dxa"/>
            <w:vAlign w:val="bottom"/>
          </w:tcPr>
          <w:p>
            <w:pPr>
              <w:jc w:val="right"/>
              <w:ind w:right="100"/>
              <w:spacing w:after="0" w:line="122" w:lineRule="exact"/>
              <w:rPr>
                <w:sz w:val="20"/>
                <w:szCs w:val="20"/>
                <w:color w:val="auto"/>
              </w:rPr>
            </w:pPr>
            <w:r>
              <w:rPr>
                <w:rFonts w:ascii="Times New Roman" w:cs="Times New Roman" w:eastAsia="Times New Roman" w:hAnsi="Times New Roman"/>
                <w:sz w:val="12"/>
                <w:szCs w:val="12"/>
                <w:color w:val="auto"/>
              </w:rPr>
              <w:t>:</w:t>
            </w:r>
          </w:p>
        </w:tc>
        <w:tc>
          <w:tcPr>
            <w:tcW w:w="47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Daxue Wang</w:t>
            </w:r>
          </w:p>
        </w:tc>
      </w:tr>
      <w:tr>
        <w:trPr>
          <w:trHeight w:val="155"/>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April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LOTUS TECH</w:t>
      </w:r>
    </w:p>
    <w:p>
      <w:pPr>
        <w:spacing w:after="0" w:line="1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group-lotus.com</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Lotus Technology Reports Unaudited Fourth Quarter and Full Year 2025 Financial Results</w:t>
      </w:r>
    </w:p>
    <w:p>
      <w:pPr>
        <w:spacing w:after="0" w:line="61" w:lineRule="exact"/>
        <w:rPr>
          <w:sz w:val="20"/>
          <w:szCs w:val="20"/>
          <w:color w:val="auto"/>
        </w:rPr>
      </w:pPr>
    </w:p>
    <w:p>
      <w:pPr>
        <w:ind w:left="420" w:hanging="212"/>
        <w:spacing w:after="0"/>
        <w:tabs>
          <w:tab w:leader="none" w:pos="420" w:val="left"/>
        </w:tabs>
        <w:numPr>
          <w:ilvl w:val="0"/>
          <w:numId w:val="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color w:val="auto"/>
        </w:rPr>
        <w:t>Delivered 6,520 vehicles</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and achieved total revenue of $519 million in 2025.</w:t>
      </w: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Service revenues increased 69% YoY in 2025, affirming the Company’s technology edge and validating the commercialization of its intellectual property (IP).</w:t>
      </w:r>
    </w:p>
    <w:p>
      <w:pPr>
        <w:spacing w:after="0" w:line="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Gross margin improved to 9% in 2025 mainly due to the commencement of upgraded model deliveries globally and disciplined cost control.</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loss narrowed by 65% YoY and 29% QoQ in the fourth quarter, with the full-year operating loss narrowed by 46% YoY, demonstrating the Company’s commitment to operational efficiencies.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Debut of Company’s first PHEV model, named For Me (Eletre X in Europe), extending product roadmap and catering to evolving consumer demands across diversified powertrain segments.</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u w:val="single" w:color="auto"/>
          <w:color w:val="auto"/>
        </w:rPr>
        <w:t>NEW YORK – April 10, 2026</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Lotus Technology Inc. (Nasdaq: LOT) (“Lotus Tech” or the “Company”), a leading global intelligent and luxury mobility provider, today announced its unaudited financial results for the fourth quarter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the year ended December 31, 2025.</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Operating Highlights of the Full Year of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2025, the Company recorded total deliveries</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of 6,520 units, a transitional performance hampered by tariff headwinds, gradual inventory destocking and the phased rollout of upgraded models.</w:t>
      </w:r>
    </w:p>
    <w:p>
      <w:pPr>
        <w:spacing w:after="0" w:line="9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Deliveries were predominantly driven by the China and Europe markets. China delivery growth outperformed the PRC premium automotive segment², underscoring the competitiveness of the Company’s product portfolio amid an intensifying market landscape.</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Service revenues surged 69% YoY in 2025 to $56 million, primarily driven by R&amp;D service revenue. The commercialization of the Company’s intellectual property through technical licensing and other avenues demonstrated significant market recognition of its pioneering technologies.</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Operating loss narrowed by 65% in the fourth quarter and 46% in the full year of 2025 on a YoY basis. The consecutive reductions in operating loss in the third and fourth quarters of 2025 were mainly driven by optimized product mix and stringent expense control, demonstrating the Company’s operational resilience amid intensified market competition.</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Company has unveiled its first PHEV model, named For Me (also known as Eletre X in Europe), and commenced deliveries in China in March 2026, with a global release to follow, aimed at meeting worldwide customer demand for diversified powertrains. For Me is built on Lotus 900V X-Hybrid architecture, enabling a 0-100 km/h acceleration of 3.3 seconds and a combined cruising range of over 1,400 kilometers. Its comprehensive handling dynamics system delivers a 100-0 km/h braking distance of 33.9 meters, offering safety and confidence in emergency situations.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20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Deliveries</w:t>
            </w:r>
            <w:r>
              <w:rPr>
                <w:rFonts w:ascii="Times New Roman" w:cs="Times New Roman" w:eastAsia="Times New Roman" w:hAnsi="Times New Roman"/>
                <w:sz w:val="19"/>
                <w:szCs w:val="19"/>
                <w:i w:val="1"/>
                <w:iCs w:val="1"/>
                <w:color w:val="auto"/>
                <w:vertAlign w:val="superscript"/>
              </w:rPr>
              <w:t>1</w:t>
            </w:r>
            <w:r>
              <w:rPr>
                <w:rFonts w:ascii="Times New Roman" w:cs="Times New Roman" w:eastAsia="Times New Roman" w:hAnsi="Times New Roman"/>
                <w:sz w:val="12"/>
                <w:szCs w:val="12"/>
                <w:i w:val="1"/>
                <w:iCs w:val="1"/>
                <w:color w:val="auto"/>
              </w:rPr>
              <w:t xml:space="preserve"> by Model Type</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14"/>
        </w:trPr>
        <w:tc>
          <w:tcPr>
            <w:tcW w:w="5980" w:type="dxa"/>
            <w:vAlign w:val="bottom"/>
          </w:tcPr>
          <w:p>
            <w:pPr>
              <w:spacing w:after="0"/>
              <w:rPr>
                <w:sz w:val="18"/>
                <w:szCs w:val="18"/>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12"/>
                <w:szCs w:val="12"/>
                <w:b w:val="1"/>
                <w:bCs w:val="1"/>
                <w:color w:val="auto"/>
              </w:rPr>
              <w:t>Full Year 2025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Full Year 2024</w:t>
            </w: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 Change (YoY)</w:t>
            </w:r>
          </w:p>
        </w:tc>
      </w:tr>
      <w:tr>
        <w:trPr>
          <w:trHeight w:val="133"/>
        </w:trPr>
        <w:tc>
          <w:tcPr>
            <w:tcW w:w="59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Lifestyle SUV and Sedan</w:t>
            </w:r>
          </w:p>
        </w:tc>
        <w:tc>
          <w:tcPr>
            <w:tcW w:w="12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4,552</w:t>
            </w:r>
          </w:p>
        </w:tc>
        <w:tc>
          <w:tcPr>
            <w:tcW w:w="200" w:type="dxa"/>
            <w:vAlign w:val="bottom"/>
            <w:tcBorders>
              <w:top w:val="single" w:sz="8" w:color="CCEEFF"/>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6,815</w:t>
            </w:r>
          </w:p>
        </w:tc>
        <w:tc>
          <w:tcPr>
            <w:tcW w:w="220" w:type="dxa"/>
            <w:vAlign w:val="bottom"/>
            <w:tcBorders>
              <w:top w:val="single" w:sz="8" w:color="CCEEFF"/>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w:t>
            </w:r>
          </w:p>
        </w:tc>
        <w:tc>
          <w:tcPr>
            <w:tcW w:w="160" w:type="dxa"/>
            <w:vAlign w:val="bottom"/>
            <w:tcBorders>
              <w:top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r>
      <w:tr>
        <w:trPr>
          <w:trHeight w:val="144"/>
        </w:trPr>
        <w:tc>
          <w:tcPr>
            <w:tcW w:w="7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Sportscars</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1,968</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5,169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15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6,520</w:t>
            </w:r>
          </w:p>
        </w:tc>
        <w:tc>
          <w:tcPr>
            <w:tcW w:w="20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11,984</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(46)%</w:t>
            </w:r>
          </w:p>
        </w:tc>
      </w:tr>
      <w:tr>
        <w:trPr>
          <w:trHeight w:val="421"/>
        </w:trPr>
        <w:tc>
          <w:tcPr>
            <w:tcW w:w="5980" w:type="dxa"/>
            <w:vAlign w:val="bottom"/>
            <w:tcBorders>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r>
    </w:tbl>
    <w:p>
      <w:pPr>
        <w:sectPr>
          <w:pgSz w:w="11900" w:h="16838" w:orient="portrait"/>
          <w:cols w:equalWidth="0" w:num="1">
            <w:col w:w="11300"/>
          </w:cols>
          <w:pgMar w:left="300" w:top="269" w:right="299" w:bottom="1440" w:gutter="0" w:footer="0" w:header="0"/>
        </w:sectPr>
      </w:pPr>
    </w:p>
    <w:bookmarkStart w:id="5" w:name="page6"/>
    <w:bookmarkEnd w:id="5"/>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5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LOTUS TECH</w:t>
            </w:r>
          </w:p>
        </w:tc>
      </w:tr>
      <w:tr>
        <w:trPr>
          <w:trHeight w:val="288"/>
        </w:trPr>
        <w:tc>
          <w:tcPr>
            <w:tcW w:w="5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group-lotus.com</w:t>
            </w:r>
          </w:p>
        </w:tc>
      </w:tr>
      <w:tr>
        <w:trPr>
          <w:trHeight w:val="542"/>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Deliveries</w:t>
            </w:r>
            <w:r>
              <w:rPr>
                <w:rFonts w:ascii="Times New Roman" w:cs="Times New Roman" w:eastAsia="Times New Roman" w:hAnsi="Times New Roman"/>
                <w:sz w:val="19"/>
                <w:szCs w:val="19"/>
                <w:i w:val="1"/>
                <w:iCs w:val="1"/>
                <w:color w:val="auto"/>
                <w:vertAlign w:val="superscript"/>
              </w:rPr>
              <w:t>1</w:t>
            </w:r>
            <w:r>
              <w:rPr>
                <w:rFonts w:ascii="Times New Roman" w:cs="Times New Roman" w:eastAsia="Times New Roman" w:hAnsi="Times New Roman"/>
                <w:sz w:val="12"/>
                <w:szCs w:val="12"/>
                <w:i w:val="1"/>
                <w:iCs w:val="1"/>
                <w:color w:val="auto"/>
              </w:rPr>
              <w:t xml:space="preserve"> by Region</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4"/>
        </w:trPr>
        <w:tc>
          <w:tcPr>
            <w:tcW w:w="5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80" w:type="dxa"/>
            <w:vAlign w:val="bottom"/>
            <w:gridSpan w:val="6"/>
          </w:tcPr>
          <w:p>
            <w:pPr>
              <w:ind w:left="120"/>
              <w:spacing w:after="0"/>
              <w:rPr>
                <w:sz w:val="20"/>
                <w:szCs w:val="20"/>
                <w:color w:val="auto"/>
              </w:rPr>
            </w:pPr>
            <w:r>
              <w:rPr>
                <w:rFonts w:ascii="Times New Roman" w:cs="Times New Roman" w:eastAsia="Times New Roman" w:hAnsi="Times New Roman"/>
                <w:sz w:val="12"/>
                <w:szCs w:val="12"/>
                <w:b w:val="1"/>
                <w:bCs w:val="1"/>
                <w:color w:val="auto"/>
              </w:rPr>
              <w:t>Full Year 2025</w:t>
            </w:r>
          </w:p>
        </w:tc>
        <w:tc>
          <w:tcPr>
            <w:tcW w:w="2820" w:type="dxa"/>
            <w:vAlign w:val="bottom"/>
            <w:gridSpan w:val="6"/>
          </w:tcPr>
          <w:p>
            <w:pPr>
              <w:jc w:val="right"/>
              <w:ind w:right="1100"/>
              <w:spacing w:after="0"/>
              <w:rPr>
                <w:sz w:val="20"/>
                <w:szCs w:val="20"/>
                <w:color w:val="auto"/>
              </w:rPr>
            </w:pPr>
            <w:r>
              <w:rPr>
                <w:rFonts w:ascii="Times New Roman" w:cs="Times New Roman" w:eastAsia="Times New Roman" w:hAnsi="Times New Roman"/>
                <w:sz w:val="12"/>
                <w:szCs w:val="12"/>
                <w:b w:val="1"/>
                <w:bCs w:val="1"/>
                <w:color w:val="auto"/>
              </w:rPr>
              <w:t>Full Year 2024</w:t>
            </w:r>
          </w:p>
        </w:tc>
      </w:tr>
      <w:tr>
        <w:trPr>
          <w:trHeight w:val="142"/>
        </w:trPr>
        <w:tc>
          <w:tcPr>
            <w:tcW w:w="554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2"/>
                <w:szCs w:val="12"/>
                <w:color w:val="auto"/>
              </w:rPr>
              <w:t>Units</w:t>
            </w:r>
          </w:p>
        </w:tc>
        <w:tc>
          <w:tcPr>
            <w:tcW w:w="3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Region %</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Units</w:t>
            </w:r>
          </w:p>
        </w:tc>
        <w:tc>
          <w:tcPr>
            <w:tcW w:w="220" w:type="dxa"/>
            <w:vAlign w:val="bottom"/>
            <w:tcBorders>
              <w:top w:val="single" w:sz="8" w:color="auto"/>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gridSpan w:val="2"/>
          </w:tcPr>
          <w:p>
            <w:pPr>
              <w:ind w:left="380"/>
              <w:spacing w:after="0"/>
              <w:rPr>
                <w:sz w:val="20"/>
                <w:szCs w:val="20"/>
                <w:color w:val="auto"/>
              </w:rPr>
            </w:pPr>
            <w:r>
              <w:rPr>
                <w:rFonts w:ascii="Times New Roman" w:cs="Times New Roman" w:eastAsia="Times New Roman" w:hAnsi="Times New Roman"/>
                <w:sz w:val="12"/>
                <w:szCs w:val="12"/>
                <w:color w:val="auto"/>
              </w:rPr>
              <w:t>Region %</w:t>
            </w:r>
          </w:p>
        </w:tc>
        <w:tc>
          <w:tcPr>
            <w:tcW w:w="120" w:type="dxa"/>
            <w:vAlign w:val="bottom"/>
            <w:tcBorders>
              <w:bottom w:val="single" w:sz="8" w:color="CCEEFF"/>
            </w:tcBorders>
          </w:tcPr>
          <w:p>
            <w:pPr>
              <w:spacing w:after="0"/>
              <w:rPr>
                <w:sz w:val="12"/>
                <w:szCs w:val="12"/>
                <w:color w:val="auto"/>
              </w:rPr>
            </w:pPr>
          </w:p>
        </w:tc>
      </w:tr>
      <w:tr>
        <w:trPr>
          <w:trHeight w:val="133"/>
        </w:trPr>
        <w:tc>
          <w:tcPr>
            <w:tcW w:w="5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China</w:t>
            </w:r>
          </w:p>
        </w:tc>
        <w:tc>
          <w:tcPr>
            <w:tcW w:w="860" w:type="dxa"/>
            <w:vAlign w:val="bottom"/>
            <w:shd w:val="clear" w:color="auto" w:fill="CCEEFF"/>
          </w:tcPr>
          <w:p>
            <w:pPr>
              <w:spacing w:after="0"/>
              <w:rPr>
                <w:sz w:val="11"/>
                <w:szCs w:val="11"/>
                <w:color w:val="auto"/>
              </w:rPr>
            </w:pPr>
          </w:p>
        </w:tc>
        <w:tc>
          <w:tcPr>
            <w:tcW w:w="38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w w:val="88"/>
              </w:rPr>
              <w:t>2,960</w:t>
            </w:r>
          </w:p>
        </w:tc>
        <w:tc>
          <w:tcPr>
            <w:tcW w:w="240" w:type="dxa"/>
            <w:vAlign w:val="bottom"/>
            <w:shd w:val="clear" w:color="auto" w:fill="CCEEFF"/>
          </w:tcPr>
          <w:p>
            <w:pPr>
              <w:spacing w:after="0"/>
              <w:rPr>
                <w:sz w:val="11"/>
                <w:szCs w:val="11"/>
                <w:color w:val="auto"/>
              </w:rPr>
            </w:pPr>
          </w:p>
        </w:tc>
        <w:tc>
          <w:tcPr>
            <w:tcW w:w="1460" w:type="dxa"/>
            <w:vAlign w:val="bottom"/>
            <w:gridSpan w:val="4"/>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45%</w:t>
            </w:r>
          </w:p>
        </w:tc>
        <w:tc>
          <w:tcPr>
            <w:tcW w:w="124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2,868</w:t>
            </w:r>
          </w:p>
        </w:tc>
        <w:tc>
          <w:tcPr>
            <w:tcW w:w="220" w:type="dxa"/>
            <w:vAlign w:val="bottom"/>
            <w:tcBorders>
              <w:right w:val="single" w:sz="8" w:color="CCEEFF"/>
            </w:tcBorders>
            <w:shd w:val="clear" w:color="auto" w:fill="CCEEFF"/>
          </w:tcPr>
          <w:p>
            <w:pPr>
              <w:spacing w:after="0"/>
              <w:rPr>
                <w:sz w:val="11"/>
                <w:szCs w:val="11"/>
                <w:color w:val="auto"/>
              </w:rPr>
            </w:pPr>
          </w:p>
        </w:tc>
        <w:tc>
          <w:tcPr>
            <w:tcW w:w="1360" w:type="dxa"/>
            <w:vAlign w:val="bottom"/>
            <w:gridSpan w:val="3"/>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24%</w:t>
            </w:r>
          </w:p>
        </w:tc>
      </w:tr>
      <w:tr>
        <w:trPr>
          <w:trHeight w:val="144"/>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Europe</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2,198</w:t>
            </w:r>
          </w:p>
        </w:tc>
        <w:tc>
          <w:tcPr>
            <w:tcW w:w="146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34%</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4,743</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40%</w:t>
            </w:r>
          </w:p>
        </w:tc>
      </w:tr>
      <w:tr>
        <w:trPr>
          <w:trHeight w:val="144"/>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North America</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1,048</w:t>
            </w:r>
          </w:p>
        </w:tc>
        <w:tc>
          <w:tcPr>
            <w:tcW w:w="14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w:t>
            </w:r>
          </w:p>
        </w:tc>
        <w:tc>
          <w:tcPr>
            <w:tcW w:w="14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2,578</w:t>
            </w: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21%</w:t>
            </w:r>
          </w:p>
        </w:tc>
      </w:tr>
      <w:tr>
        <w:trPr>
          <w:trHeight w:val="144"/>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Rest of the World</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314</w:t>
            </w:r>
          </w:p>
        </w:tc>
        <w:tc>
          <w:tcPr>
            <w:tcW w:w="146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5%</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1,795</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15%</w:t>
            </w:r>
          </w:p>
        </w:tc>
      </w:tr>
      <w:tr>
        <w:trPr>
          <w:trHeight w:val="15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6,520</w:t>
            </w:r>
          </w:p>
        </w:tc>
        <w:tc>
          <w:tcPr>
            <w:tcW w:w="14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100%</w:t>
            </w:r>
          </w:p>
        </w:tc>
        <w:tc>
          <w:tcPr>
            <w:tcW w:w="14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11,984</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100%</w:t>
            </w:r>
          </w:p>
        </w:tc>
      </w:tr>
      <w:tr>
        <w:trPr>
          <w:trHeight w:val="277"/>
        </w:trPr>
        <w:tc>
          <w:tcPr>
            <w:tcW w:w="5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Financial Highlights of the Full Year of 2025</w:t>
            </w: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73"/>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Total revenues</w:t>
            </w:r>
            <w:r>
              <w:rPr>
                <w:rFonts w:ascii="Times New Roman" w:cs="Times New Roman" w:eastAsia="Times New Roman" w:hAnsi="Times New Roman"/>
                <w:sz w:val="12"/>
                <w:szCs w:val="12"/>
                <w:color w:val="auto"/>
              </w:rPr>
              <w:t xml:space="preserve"> were $519 million, a 44% YoY decrease.</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44"/>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Gross margin</w:t>
            </w:r>
            <w:r>
              <w:rPr>
                <w:rFonts w:ascii="Times New Roman" w:cs="Times New Roman" w:eastAsia="Times New Roman" w:hAnsi="Times New Roman"/>
                <w:sz w:val="12"/>
                <w:szCs w:val="12"/>
                <w:color w:val="auto"/>
              </w:rPr>
              <w:t xml:space="preserve"> was 9%, versus 3% for the full year of 2024.</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Operating loss</w:t>
            </w:r>
            <w:r>
              <w:rPr>
                <w:rFonts w:ascii="Times New Roman" w:cs="Times New Roman" w:eastAsia="Times New Roman" w:hAnsi="Times New Roman"/>
                <w:sz w:val="12"/>
                <w:szCs w:val="12"/>
                <w:color w:val="auto"/>
              </w:rPr>
              <w:t xml:space="preserve"> was $423 million, narrowed by 46% YoY.</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Net loss</w:t>
            </w:r>
            <w:r>
              <w:rPr>
                <w:rFonts w:ascii="Times New Roman" w:cs="Times New Roman" w:eastAsia="Times New Roman" w:hAnsi="Times New Roman"/>
                <w:sz w:val="12"/>
                <w:szCs w:val="12"/>
                <w:color w:val="auto"/>
              </w:rPr>
              <w:t xml:space="preserve"> was $464 million, narrowed by 58% YoY.</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9"/>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Adjusted EBITDA (non-GAAP)</w:t>
            </w:r>
            <w:r>
              <w:rPr>
                <w:rFonts w:ascii="Times New Roman" w:cs="Times New Roman" w:eastAsia="Times New Roman" w:hAnsi="Times New Roman"/>
                <w:sz w:val="12"/>
                <w:szCs w:val="12"/>
                <w:color w:val="auto"/>
              </w:rPr>
              <w:t xml:space="preserve"> was a loss of $356 million, narrowed by 63% YoY.</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7"/>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Key Financial Results</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table below summarizes key preliminary financial results for the full year ended December 31, 2025.</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millions of U.S. dollars, unaudited)</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7"/>
        </w:trPr>
        <w:tc>
          <w:tcPr>
            <w:tcW w:w="5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w w:val="97"/>
              </w:rPr>
              <w:t>Full Year 2025</w:t>
            </w:r>
          </w:p>
        </w:tc>
        <w:tc>
          <w:tcPr>
            <w:tcW w:w="1460" w:type="dxa"/>
            <w:vAlign w:val="bottom"/>
            <w:gridSpan w:val="3"/>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Full Year 2024</w:t>
            </w: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 Change (YoY)</w:t>
            </w:r>
          </w:p>
        </w:tc>
      </w:tr>
      <w:tr>
        <w:trPr>
          <w:trHeight w:val="133"/>
        </w:trPr>
        <w:tc>
          <w:tcPr>
            <w:tcW w:w="640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Revenues</w:t>
            </w:r>
          </w:p>
        </w:tc>
        <w:tc>
          <w:tcPr>
            <w:tcW w:w="3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519</w:t>
            </w: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924</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right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(44)</w:t>
            </w:r>
          </w:p>
        </w:tc>
        <w:tc>
          <w:tcPr>
            <w:tcW w:w="140" w:type="dxa"/>
            <w:vAlign w:val="bottom"/>
            <w:tcBorders>
              <w:top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r>
      <w:tr>
        <w:trPr>
          <w:trHeight w:val="144"/>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Cost of revenues</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474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895</w:t>
            </w:r>
          </w:p>
        </w:tc>
        <w:tc>
          <w:tcPr>
            <w:tcW w:w="220" w:type="dxa"/>
            <w:vAlign w:val="bottom"/>
          </w:tcPr>
          <w:p>
            <w:pPr>
              <w:spacing w:after="0"/>
              <w:rPr>
                <w:sz w:val="12"/>
                <w:szCs w:val="12"/>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144"/>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29</w:t>
            </w:r>
          </w:p>
        </w:tc>
        <w:tc>
          <w:tcPr>
            <w:tcW w:w="220" w:type="dxa"/>
            <w:vAlign w:val="bottom"/>
            <w:tcBorders>
              <w:right w:val="single" w:sz="8" w:color="CCEEFF"/>
            </w:tcBorders>
            <w:shd w:val="clear" w:color="auto" w:fill="CCEEFF"/>
          </w:tcPr>
          <w:p>
            <w:pPr>
              <w:spacing w:after="0"/>
              <w:rPr>
                <w:sz w:val="12"/>
                <w:szCs w:val="12"/>
                <w:color w:val="auto"/>
              </w:rPr>
            </w:pP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53%</w:t>
            </w:r>
          </w:p>
        </w:tc>
      </w:tr>
      <w:tr>
        <w:trPr>
          <w:trHeight w:val="144"/>
        </w:trPr>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2"/>
                <w:szCs w:val="12"/>
                <w:i w:val="1"/>
                <w:iCs w:val="1"/>
                <w:color w:val="auto"/>
              </w:rPr>
              <w:t>Gross margin (%)</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w:t>
            </w: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loss</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(423)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(786)</w:t>
            </w:r>
          </w:p>
        </w:tc>
        <w:tc>
          <w:tcPr>
            <w:tcW w:w="220" w:type="dxa"/>
            <w:vAlign w:val="bottom"/>
            <w:tcBorders>
              <w:right w:val="single" w:sz="8" w:color="CCEEFF"/>
            </w:tcBorders>
            <w:shd w:val="clear" w:color="auto" w:fill="CCEEFF"/>
          </w:tcPr>
          <w:p>
            <w:pPr>
              <w:spacing w:after="0"/>
              <w:rPr>
                <w:sz w:val="12"/>
                <w:szCs w:val="12"/>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44"/>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loss</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(464)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(1,107)</w:t>
            </w:r>
          </w:p>
        </w:tc>
        <w:tc>
          <w:tcPr>
            <w:tcW w:w="220" w:type="dxa"/>
            <w:vAlign w:val="bottom"/>
          </w:tcPr>
          <w:p>
            <w:pPr>
              <w:spacing w:after="0"/>
              <w:rPr>
                <w:sz w:val="12"/>
                <w:szCs w:val="12"/>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171"/>
        </w:trPr>
        <w:tc>
          <w:tcPr>
            <w:tcW w:w="6400" w:type="dxa"/>
            <w:vAlign w:val="bottom"/>
            <w:gridSpan w:val="2"/>
            <w:shd w:val="clear" w:color="auto" w:fill="CCEEFF"/>
          </w:tcPr>
          <w:p>
            <w:pPr>
              <w:ind w:left="100"/>
              <w:spacing w:after="0" w:line="171" w:lineRule="exact"/>
              <w:rPr>
                <w:sz w:val="20"/>
                <w:szCs w:val="20"/>
                <w:color w:val="auto"/>
              </w:rPr>
            </w:pPr>
            <w:r>
              <w:rPr>
                <w:rFonts w:ascii="Times New Roman" w:cs="Times New Roman" w:eastAsia="Times New Roman" w:hAnsi="Times New Roman"/>
                <w:sz w:val="12"/>
                <w:szCs w:val="12"/>
                <w:color w:val="auto"/>
              </w:rPr>
              <w:t>Adjusted net loss</w:t>
            </w:r>
            <w:r>
              <w:rPr>
                <w:rFonts w:ascii="Times New Roman" w:cs="Times New Roman" w:eastAsia="Times New Roman" w:hAnsi="Times New Roman"/>
                <w:sz w:val="19"/>
                <w:szCs w:val="19"/>
                <w:color w:val="auto"/>
                <w:vertAlign w:val="superscript"/>
              </w:rPr>
              <w:t>(A)</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(462)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(1,075)</w:t>
            </w:r>
          </w:p>
        </w:tc>
        <w:tc>
          <w:tcPr>
            <w:tcW w:w="220" w:type="dxa"/>
            <w:vAlign w:val="bottom"/>
            <w:tcBorders>
              <w:right w:val="single" w:sz="8" w:color="CCEEFF"/>
            </w:tcBorders>
            <w:shd w:val="clear" w:color="auto" w:fill="CCEEFF"/>
          </w:tcPr>
          <w:p>
            <w:pPr>
              <w:spacing w:after="0"/>
              <w:rPr>
                <w:sz w:val="14"/>
                <w:szCs w:val="14"/>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80"/>
        </w:trPr>
        <w:tc>
          <w:tcPr>
            <w:tcW w:w="6400" w:type="dxa"/>
            <w:vAlign w:val="bottom"/>
            <w:gridSpan w:val="2"/>
          </w:tcPr>
          <w:p>
            <w:pPr>
              <w:spacing w:after="0" w:line="180" w:lineRule="exact"/>
              <w:rPr>
                <w:sz w:val="20"/>
                <w:szCs w:val="20"/>
                <w:color w:val="auto"/>
              </w:rPr>
            </w:pPr>
            <w:r>
              <w:rPr>
                <w:rFonts w:ascii="Times New Roman" w:cs="Times New Roman" w:eastAsia="Times New Roman" w:hAnsi="Times New Roman"/>
                <w:sz w:val="12"/>
                <w:szCs w:val="12"/>
                <w:color w:val="auto"/>
              </w:rPr>
              <w:t>Adjusted EBITDA</w:t>
            </w:r>
            <w:r>
              <w:rPr>
                <w:rFonts w:ascii="Times New Roman" w:cs="Times New Roman" w:eastAsia="Times New Roman" w:hAnsi="Times New Roman"/>
                <w:sz w:val="19"/>
                <w:szCs w:val="19"/>
                <w:color w:val="auto"/>
                <w:vertAlign w:val="superscript"/>
              </w:rPr>
              <w:t>(A)</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(961)</w:t>
            </w:r>
          </w:p>
        </w:tc>
        <w:tc>
          <w:tcPr>
            <w:tcW w:w="22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20"/>
        </w:trPr>
        <w:tc>
          <w:tcPr>
            <w:tcW w:w="5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3" w:lineRule="exact"/>
        <w:rPr>
          <w:sz w:val="20"/>
          <w:szCs w:val="20"/>
          <w:color w:val="auto"/>
        </w:rPr>
      </w:pPr>
    </w:p>
    <w:p>
      <w:pPr>
        <w:ind w:left="208" w:firstLine="8"/>
        <w:spacing w:after="0" w:line="279" w:lineRule="auto"/>
        <w:tabs>
          <w:tab w:leader="none" w:pos="41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Non-GAAP measure. See “Non-GAAP Financial Measures” and “Appendix D – Unaudited Reconciliation of GAAP and Non-GAAP results (Adjusted net loss/Adjusted EBITDA)” for details and a reconciliation of adjusted metrics to the nearest GAAP measure.</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Recent Developments</w:t>
      </w:r>
    </w:p>
    <w:p>
      <w:pPr>
        <w:spacing w:after="0" w:line="150" w:lineRule="exact"/>
        <w:rPr>
          <w:sz w:val="20"/>
          <w:szCs w:val="20"/>
          <w:color w:val="auto"/>
        </w:rPr>
      </w:pPr>
    </w:p>
    <w:p>
      <w:pPr>
        <w:ind w:left="208" w:hanging="208"/>
        <w:spacing w:after="0" w:line="263" w:lineRule="auto"/>
        <w:tabs>
          <w:tab w:leader="none" w:pos="20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Lotus Cup Racing Series: </w:t>
      </w:r>
      <w:r>
        <w:rPr>
          <w:rFonts w:ascii="Times New Roman" w:cs="Times New Roman" w:eastAsia="Times New Roman" w:hAnsi="Times New Roman"/>
          <w:sz w:val="12"/>
          <w:szCs w:val="12"/>
          <w:color w:val="auto"/>
        </w:rPr>
        <w:t>On November 30, 2025, the 2025 season of the inaugural Lotus Cup one-make racing series drew to a close at the Sepang International Circuit, with a total of 44 race-prepared Lotus Emira cars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competing in the season finale. The Sepang International Circuit also hosted the season opener of the 2026 Lotus Cup one-make racing series, which officially commenced on April 3, 2026.</w:t>
      </w:r>
    </w:p>
    <w:p>
      <w:pPr>
        <w:jc w:val="both"/>
        <w:ind w:left="208" w:hanging="208"/>
        <w:spacing w:after="0" w:line="255" w:lineRule="auto"/>
        <w:tabs>
          <w:tab w:leader="none" w:pos="20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New Strategic Investment: </w:t>
      </w:r>
      <w:r>
        <w:rPr>
          <w:rFonts w:ascii="Times New Roman" w:cs="Times New Roman" w:eastAsia="Times New Roman" w:hAnsi="Times New Roman"/>
          <w:sz w:val="12"/>
          <w:szCs w:val="12"/>
          <w:color w:val="auto"/>
        </w:rPr>
        <w:t>On December 23, 2025, the Company entered into a share subscription agreement with ECARX, pursuant to which ECARX agreed to subscribe for and purchase from the Company a total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16,788,321 newly issued ordinary shares of the Company for a purchase price of US$23 million. This strategic investment is designed to significantly broaden the collaborative framework between the two companies, deepening the existing relationship into a more integrated, strategic global partnership.</w:t>
      </w:r>
    </w:p>
    <w:p>
      <w:pPr>
        <w:spacing w:after="0" w:line="269" w:lineRule="exact"/>
        <w:rPr>
          <w:sz w:val="20"/>
          <w:szCs w:val="20"/>
          <w:color w:val="auto"/>
        </w:rPr>
      </w:pPr>
    </w:p>
    <w:p>
      <w:pPr>
        <w:ind w:left="11248"/>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2"/>
          <w:szCs w:val="12"/>
          <w:color w:val="auto"/>
        </w:rPr>
        <w:t>LOTUS TECH</w:t>
      </w:r>
    </w:p>
    <w:p>
      <w:pPr>
        <w:spacing w:after="0" w:line="1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group-lotus.com</w:t>
      </w:r>
    </w:p>
    <w:p>
      <w:pPr>
        <w:spacing w:after="0" w:line="294" w:lineRule="exact"/>
        <w:rPr>
          <w:sz w:val="20"/>
          <w:szCs w:val="20"/>
          <w:color w:val="auto"/>
        </w:rPr>
      </w:pPr>
    </w:p>
    <w:p>
      <w:pPr>
        <w:jc w:val="both"/>
        <w:ind w:left="208" w:hanging="208"/>
        <w:spacing w:after="0" w:line="259" w:lineRule="auto"/>
        <w:tabs>
          <w:tab w:leader="none" w:pos="20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UN R171.01 Certification: </w:t>
      </w:r>
      <w:r>
        <w:rPr>
          <w:rFonts w:ascii="Times New Roman" w:cs="Times New Roman" w:eastAsia="Times New Roman" w:hAnsi="Times New Roman"/>
          <w:sz w:val="12"/>
          <w:szCs w:val="12"/>
          <w:color w:val="auto"/>
        </w:rPr>
        <w:t>On March 13, 2026, the Company announced that Eletre was certified under UN Regulation No. 171, 01 Series (UN R171.01) issued by the United Nations Economic Commission for Europe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(UNECE), making it the first and only China-built model certified under this regulation and equipped with HNP function as of the press date, and making the Company the second globally operating automaker to achieve this certification.</w:t>
      </w:r>
    </w:p>
    <w:p>
      <w:pPr>
        <w:ind w:left="208" w:right="20" w:hanging="208"/>
        <w:spacing w:after="0" w:line="260" w:lineRule="auto"/>
        <w:tabs>
          <w:tab w:leader="none" w:pos="20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Milan Design Week: </w:t>
      </w:r>
      <w:r>
        <w:rPr>
          <w:rFonts w:ascii="Times New Roman" w:cs="Times New Roman" w:eastAsia="Times New Roman" w:hAnsi="Times New Roman"/>
          <w:sz w:val="12"/>
          <w:szCs w:val="12"/>
          <w:color w:val="auto"/>
        </w:rPr>
        <w:t>On April 1, 2026, the Company announced that Lotus will return to 2026 Milan Design Week with "IN PROGRESS", an exhibition created in collaboration with Haus of Automotive, showcasing Lotus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D.N.A. design principles and Theory 1 concept, deepening luxury and craft collaborations to elevate its brand vision and global design influence.</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CEO and CFO Comments</w:t>
      </w:r>
    </w:p>
    <w:p>
      <w:pPr>
        <w:spacing w:after="0" w:line="154"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Mr. Qingfeng Feng, Chief Executive Officer, commented: " Despite the external headwinds facing our business, we maintained our Company’s mission and strategy by doubling down on cutting-edge technologies, refining our product mix, and providing an industry-leading driving performance. Our established global footprint is the impetus that allows us to seize first-mover gains and enables us to become the world’s second automaker to obtain UN R171.01 certification. Our differentiation and dedication to executing our growth and innovation strategy – represented by the launch of our first PHEV vehicle, which further enriches our powertrain offerings – together with our diversified product portfolio, provide us with the foundation to remain competitive in the market."</w:t>
      </w:r>
    </w:p>
    <w:p>
      <w:pPr>
        <w:spacing w:after="0" w:line="122"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Dr. Daxue Wang, Chief Financial Officer, commented: " Our improved margin performance in the fourth quarter and full year of 2025 demonstrated our continued focus on cost optimization and operational efficiency, and was also reflected in our significantly improved bottom line results. Going forward, we expect the global launch of “For Me” to supercharge sales and revenue. Additionally, we expect that by focusing on revenue growth efforts, maximizing our products and competitive positioning, and enhancing margin expansion through strict cost reductions, our business will progress toward profitability and we will deliver long-term value to our shareholders.”</w:t>
      </w:r>
    </w:p>
    <w:p>
      <w:pPr>
        <w:spacing w:after="0" w:line="11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74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Operating and Financial Results of the Fourth Quarter of 2025</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73"/>
        </w:trPr>
        <w:tc>
          <w:tcPr>
            <w:tcW w:w="7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Total revenues</w:t>
            </w:r>
            <w:r>
              <w:rPr>
                <w:rFonts w:ascii="Times New Roman" w:cs="Times New Roman" w:eastAsia="Times New Roman" w:hAnsi="Times New Roman"/>
                <w:sz w:val="12"/>
                <w:szCs w:val="12"/>
                <w:color w:val="auto"/>
              </w:rPr>
              <w:t xml:space="preserve"> were $163 million, a 40% YoY decrease.</w:t>
            </w: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144"/>
        </w:trPr>
        <w:tc>
          <w:tcPr>
            <w:tcW w:w="7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Gross margin</w:t>
            </w:r>
            <w:r>
              <w:rPr>
                <w:rFonts w:ascii="Times New Roman" w:cs="Times New Roman" w:eastAsia="Times New Roman" w:hAnsi="Times New Roman"/>
                <w:sz w:val="12"/>
                <w:szCs w:val="12"/>
                <w:color w:val="auto"/>
              </w:rPr>
              <w:t xml:space="preserve"> was 10%, versus -11% for the same period of 2024.</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7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Operating loss</w:t>
            </w:r>
            <w:r>
              <w:rPr>
                <w:rFonts w:ascii="Times New Roman" w:cs="Times New Roman" w:eastAsia="Times New Roman" w:hAnsi="Times New Roman"/>
                <w:sz w:val="12"/>
                <w:szCs w:val="12"/>
                <w:color w:val="auto"/>
              </w:rPr>
              <w:t xml:space="preserve"> was $66 million, narrowed by 65% YoY.</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7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Net loss</w:t>
            </w:r>
            <w:r>
              <w:rPr>
                <w:rFonts w:ascii="Times New Roman" w:cs="Times New Roman" w:eastAsia="Times New Roman" w:hAnsi="Times New Roman"/>
                <w:sz w:val="12"/>
                <w:szCs w:val="12"/>
                <w:color w:val="auto"/>
              </w:rPr>
              <w:t xml:space="preserve"> was $86 million, narrowed by 81% YoY.</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7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Adjusted EBITDA (non-GAAP)</w:t>
            </w:r>
            <w:r>
              <w:rPr>
                <w:rFonts w:ascii="Times New Roman" w:cs="Times New Roman" w:eastAsia="Times New Roman" w:hAnsi="Times New Roman"/>
                <w:sz w:val="12"/>
                <w:szCs w:val="12"/>
                <w:color w:val="auto"/>
              </w:rPr>
              <w:t xml:space="preserve"> was a loss of $62 million, narrowed by 84% YoY.</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98"/>
        </w:trPr>
        <w:tc>
          <w:tcPr>
            <w:tcW w:w="740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Deliveries</w:t>
            </w:r>
            <w:r>
              <w:rPr>
                <w:rFonts w:ascii="Times New Roman" w:cs="Times New Roman" w:eastAsia="Times New Roman" w:hAnsi="Times New Roman"/>
                <w:sz w:val="19"/>
                <w:szCs w:val="19"/>
                <w:i w:val="1"/>
                <w:iCs w:val="1"/>
                <w:color w:val="auto"/>
                <w:vertAlign w:val="superscript"/>
              </w:rPr>
              <w:t>1</w:t>
            </w:r>
            <w:r>
              <w:rPr>
                <w:rFonts w:ascii="Times New Roman" w:cs="Times New Roman" w:eastAsia="Times New Roman" w:hAnsi="Times New Roman"/>
                <w:sz w:val="12"/>
                <w:szCs w:val="12"/>
                <w:i w:val="1"/>
                <w:iCs w:val="1"/>
                <w:color w:val="auto"/>
              </w:rPr>
              <w:t xml:space="preserve"> by Model Type</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4"/>
        </w:trPr>
        <w:tc>
          <w:tcPr>
            <w:tcW w:w="6320" w:type="dxa"/>
            <w:vAlign w:val="bottom"/>
          </w:tcPr>
          <w:p>
            <w:pPr>
              <w:spacing w:after="0"/>
              <w:rPr>
                <w:sz w:val="18"/>
                <w:szCs w:val="18"/>
                <w:color w:val="auto"/>
              </w:rPr>
            </w:pPr>
          </w:p>
        </w:tc>
        <w:tc>
          <w:tcPr>
            <w:tcW w:w="1080" w:type="dxa"/>
            <w:vAlign w:val="bottom"/>
          </w:tcPr>
          <w:p>
            <w:pPr>
              <w:ind w:left="520"/>
              <w:spacing w:after="0"/>
              <w:rPr>
                <w:sz w:val="20"/>
                <w:szCs w:val="20"/>
                <w:color w:val="auto"/>
              </w:rPr>
            </w:pPr>
            <w:r>
              <w:rPr>
                <w:rFonts w:ascii="Times New Roman" w:cs="Times New Roman" w:eastAsia="Times New Roman" w:hAnsi="Times New Roman"/>
                <w:sz w:val="12"/>
                <w:szCs w:val="12"/>
                <w:b w:val="1"/>
                <w:bCs w:val="1"/>
                <w:color w:val="auto"/>
              </w:rPr>
              <w:t>4Q 2025</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rPr>
              <w:t>4Q 2024</w:t>
            </w:r>
          </w:p>
        </w:tc>
        <w:tc>
          <w:tcPr>
            <w:tcW w:w="162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 Change (YoY)</w:t>
            </w:r>
          </w:p>
        </w:tc>
      </w:tr>
      <w:tr>
        <w:trPr>
          <w:trHeight w:val="133"/>
        </w:trPr>
        <w:tc>
          <w:tcPr>
            <w:tcW w:w="63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Lifestyle SUV and Sedan</w:t>
            </w:r>
          </w:p>
        </w:tc>
        <w:tc>
          <w:tcPr>
            <w:tcW w:w="10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1,238</w:t>
            </w:r>
          </w:p>
        </w:tc>
        <w:tc>
          <w:tcPr>
            <w:tcW w:w="22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2,771</w:t>
            </w:r>
          </w:p>
        </w:tc>
        <w:tc>
          <w:tcPr>
            <w:tcW w:w="22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w:t>
            </w:r>
          </w:p>
        </w:tc>
        <w:tc>
          <w:tcPr>
            <w:tcW w:w="160" w:type="dxa"/>
            <w:vAlign w:val="bottom"/>
            <w:tcBorders>
              <w:top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r>
      <w:tr>
        <w:trPr>
          <w:trHeight w:val="144"/>
        </w:trPr>
        <w:tc>
          <w:tcPr>
            <w:tcW w:w="7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Sportscars</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670</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1,540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(56)%</w:t>
            </w:r>
          </w:p>
        </w:tc>
      </w:tr>
      <w:tr>
        <w:trPr>
          <w:trHeight w:val="15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1,908</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4,311</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(56)%</w:t>
            </w:r>
          </w:p>
        </w:tc>
      </w:tr>
      <w:tr>
        <w:trPr>
          <w:trHeight w:val="421"/>
        </w:trPr>
        <w:tc>
          <w:tcPr>
            <w:tcW w:w="6320" w:type="dxa"/>
            <w:vAlign w:val="bottom"/>
            <w:tcBorders>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r>
    </w:tbl>
    <w:p>
      <w:pPr>
        <w:sectPr>
          <w:pgSz w:w="11900" w:h="16838" w:orient="portrait"/>
          <w:cols w:equalWidth="0" w:num="1">
            <w:col w:w="11308"/>
          </w:cols>
          <w:pgMar w:left="292" w:top="201" w:right="29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LOTUS TECH</w:t>
            </w:r>
          </w:p>
        </w:tc>
      </w:tr>
      <w:tr>
        <w:trPr>
          <w:trHeight w:val="288"/>
        </w:trPr>
        <w:tc>
          <w:tcPr>
            <w:tcW w:w="6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group-lotus.com</w:t>
            </w:r>
          </w:p>
        </w:tc>
      </w:tr>
      <w:tr>
        <w:trPr>
          <w:trHeight w:val="421"/>
        </w:trPr>
        <w:tc>
          <w:tcPr>
            <w:tcW w:w="772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Key Financial Results</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42"/>
        </w:trPr>
        <w:tc>
          <w:tcPr>
            <w:tcW w:w="7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table below summarizes key preliminary financial results for the fourth quarter in 2025.</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772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millions of U.S. dollars, unaudited)</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97"/>
        </w:trPr>
        <w:tc>
          <w:tcPr>
            <w:tcW w:w="6780" w:type="dxa"/>
            <w:vAlign w:val="bottom"/>
          </w:tcPr>
          <w:p>
            <w:pPr>
              <w:spacing w:after="0"/>
              <w:rPr>
                <w:sz w:val="24"/>
                <w:szCs w:val="24"/>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2"/>
                <w:szCs w:val="12"/>
                <w:b w:val="1"/>
                <w:bCs w:val="1"/>
                <w:color w:val="auto"/>
              </w:rPr>
              <w:t>4Q 2025</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ind w:left="400"/>
              <w:spacing w:after="0"/>
              <w:rPr>
                <w:sz w:val="20"/>
                <w:szCs w:val="20"/>
                <w:color w:val="auto"/>
              </w:rPr>
            </w:pPr>
            <w:r>
              <w:rPr>
                <w:rFonts w:ascii="Times New Roman" w:cs="Times New Roman" w:eastAsia="Times New Roman" w:hAnsi="Times New Roman"/>
                <w:sz w:val="12"/>
                <w:szCs w:val="12"/>
                <w:b w:val="1"/>
                <w:bCs w:val="1"/>
                <w:color w:val="auto"/>
              </w:rPr>
              <w:t>4Q 2024</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 Change (YoY)</w:t>
            </w:r>
          </w:p>
        </w:tc>
      </w:tr>
      <w:tr>
        <w:trPr>
          <w:trHeight w:val="133"/>
        </w:trPr>
        <w:tc>
          <w:tcPr>
            <w:tcW w:w="67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Revenues</w:t>
            </w:r>
          </w:p>
        </w:tc>
        <w:tc>
          <w:tcPr>
            <w:tcW w:w="9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163</w:t>
            </w:r>
          </w:p>
        </w:tc>
        <w:tc>
          <w:tcPr>
            <w:tcW w:w="34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272</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w:t>
            </w:r>
          </w:p>
        </w:tc>
        <w:tc>
          <w:tcPr>
            <w:tcW w:w="140" w:type="dxa"/>
            <w:vAlign w:val="bottom"/>
            <w:tcBorders>
              <w:top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r>
      <w:tr>
        <w:trPr>
          <w:trHeight w:val="144"/>
        </w:trPr>
        <w:tc>
          <w:tcPr>
            <w:tcW w:w="7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Cost of Revenues</w:t>
            </w: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147</w:t>
            </w:r>
          </w:p>
        </w:tc>
        <w:tc>
          <w:tcPr>
            <w:tcW w:w="920" w:type="dxa"/>
            <w:vAlign w:val="bottom"/>
          </w:tcPr>
          <w:p>
            <w:pPr>
              <w:spacing w:after="0"/>
              <w:rPr>
                <w:sz w:val="12"/>
                <w:szCs w:val="12"/>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301</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(51)%</w:t>
            </w:r>
          </w:p>
        </w:tc>
      </w:tr>
      <w:tr>
        <w:trPr>
          <w:trHeight w:val="144"/>
        </w:trPr>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profit (loss)</w:t>
            </w:r>
          </w:p>
        </w:tc>
        <w:tc>
          <w:tcPr>
            <w:tcW w:w="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16</w:t>
            </w:r>
          </w:p>
        </w:tc>
        <w:tc>
          <w:tcPr>
            <w:tcW w:w="9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(29)</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w:t>
            </w:r>
          </w:p>
        </w:tc>
      </w:tr>
      <w:tr>
        <w:trPr>
          <w:trHeight w:val="144"/>
        </w:trPr>
        <w:tc>
          <w:tcPr>
            <w:tcW w:w="7720" w:type="dxa"/>
            <w:vAlign w:val="bottom"/>
            <w:gridSpan w:val="2"/>
          </w:tcPr>
          <w:p>
            <w:pPr>
              <w:ind w:left="100"/>
              <w:spacing w:after="0"/>
              <w:rPr>
                <w:sz w:val="20"/>
                <w:szCs w:val="20"/>
                <w:color w:val="auto"/>
              </w:rPr>
            </w:pPr>
            <w:r>
              <w:rPr>
                <w:rFonts w:ascii="Times New Roman" w:cs="Times New Roman" w:eastAsia="Times New Roman" w:hAnsi="Times New Roman"/>
                <w:sz w:val="12"/>
                <w:szCs w:val="12"/>
                <w:i w:val="1"/>
                <w:iCs w:val="1"/>
                <w:color w:val="auto"/>
              </w:rPr>
              <w:t>Gross margin (%)</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10%</w:t>
            </w:r>
          </w:p>
        </w:tc>
        <w:tc>
          <w:tcPr>
            <w:tcW w:w="92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loss</w:t>
            </w: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(66)</w:t>
            </w:r>
          </w:p>
        </w:tc>
        <w:tc>
          <w:tcPr>
            <w:tcW w:w="9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(189)</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r>
      <w:tr>
        <w:trPr>
          <w:trHeight w:val="144"/>
        </w:trPr>
        <w:tc>
          <w:tcPr>
            <w:tcW w:w="7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loss</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(86)</w:t>
            </w:r>
          </w:p>
        </w:tc>
        <w:tc>
          <w:tcPr>
            <w:tcW w:w="92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(441)</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(81)%</w:t>
            </w:r>
          </w:p>
        </w:tc>
      </w:tr>
      <w:tr>
        <w:trPr>
          <w:trHeight w:val="171"/>
        </w:trPr>
        <w:tc>
          <w:tcPr>
            <w:tcW w:w="7720" w:type="dxa"/>
            <w:vAlign w:val="bottom"/>
            <w:gridSpan w:val="2"/>
            <w:shd w:val="clear" w:color="auto" w:fill="CCEEFF"/>
          </w:tcPr>
          <w:p>
            <w:pPr>
              <w:ind w:left="100"/>
              <w:spacing w:after="0" w:line="171" w:lineRule="exact"/>
              <w:rPr>
                <w:sz w:val="20"/>
                <w:szCs w:val="20"/>
                <w:color w:val="auto"/>
              </w:rPr>
            </w:pPr>
            <w:r>
              <w:rPr>
                <w:rFonts w:ascii="Times New Roman" w:cs="Times New Roman" w:eastAsia="Times New Roman" w:hAnsi="Times New Roman"/>
                <w:sz w:val="12"/>
                <w:szCs w:val="12"/>
                <w:i w:val="1"/>
                <w:iCs w:val="1"/>
                <w:color w:val="auto"/>
              </w:rPr>
              <w:t>Adjusted net loss</w:t>
            </w:r>
            <w:r>
              <w:rPr>
                <w:rFonts w:ascii="Times New Roman" w:cs="Times New Roman" w:eastAsia="Times New Roman" w:hAnsi="Times New Roman"/>
                <w:sz w:val="19"/>
                <w:szCs w:val="19"/>
                <w:i w:val="1"/>
                <w:iCs w:val="1"/>
                <w:color w:val="auto"/>
                <w:vertAlign w:val="superscript"/>
              </w:rPr>
              <w:t>(A)</w:t>
            </w: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(86)</w:t>
            </w:r>
          </w:p>
        </w:tc>
        <w:tc>
          <w:tcPr>
            <w:tcW w:w="9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(442)</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r>
      <w:tr>
        <w:trPr>
          <w:trHeight w:val="180"/>
        </w:trPr>
        <w:tc>
          <w:tcPr>
            <w:tcW w:w="6780" w:type="dxa"/>
            <w:vAlign w:val="bottom"/>
          </w:tcPr>
          <w:p>
            <w:pPr>
              <w:spacing w:after="0" w:line="180" w:lineRule="exact"/>
              <w:rPr>
                <w:sz w:val="20"/>
                <w:szCs w:val="20"/>
                <w:color w:val="auto"/>
              </w:rPr>
            </w:pPr>
            <w:r>
              <w:rPr>
                <w:rFonts w:ascii="Times New Roman" w:cs="Times New Roman" w:eastAsia="Times New Roman" w:hAnsi="Times New Roman"/>
                <w:sz w:val="12"/>
                <w:szCs w:val="12"/>
                <w:color w:val="auto"/>
              </w:rPr>
              <w:t>Adjusted EBITDA</w:t>
            </w:r>
            <w:r>
              <w:rPr>
                <w:rFonts w:ascii="Times New Roman" w:cs="Times New Roman" w:eastAsia="Times New Roman" w:hAnsi="Times New Roman"/>
                <w:sz w:val="19"/>
                <w:szCs w:val="19"/>
                <w:color w:val="auto"/>
                <w:vertAlign w:val="superscript"/>
              </w:rPr>
              <w:t>(A)</w:t>
            </w:r>
          </w:p>
        </w:tc>
        <w:tc>
          <w:tcPr>
            <w:tcW w:w="940" w:type="dxa"/>
            <w:vAlign w:val="bottom"/>
          </w:tcPr>
          <w:p>
            <w:pPr>
              <w:spacing w:after="0"/>
              <w:rPr>
                <w:sz w:val="15"/>
                <w:szCs w:val="15"/>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(62)</w:t>
            </w:r>
          </w:p>
        </w:tc>
        <w:tc>
          <w:tcPr>
            <w:tcW w:w="920" w:type="dxa"/>
            <w:vAlign w:val="bottom"/>
          </w:tcPr>
          <w:p>
            <w:pPr>
              <w:spacing w:after="0"/>
              <w:rPr>
                <w:sz w:val="15"/>
                <w:szCs w:val="15"/>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(398)</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20"/>
        </w:trPr>
        <w:tc>
          <w:tcPr>
            <w:tcW w:w="67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3" w:lineRule="exact"/>
        <w:rPr>
          <w:sz w:val="20"/>
          <w:szCs w:val="20"/>
          <w:color w:val="auto"/>
        </w:rPr>
      </w:pPr>
    </w:p>
    <w:p>
      <w:pPr>
        <w:ind w:left="200" w:firstLine="8"/>
        <w:spacing w:after="0" w:line="279" w:lineRule="auto"/>
        <w:tabs>
          <w:tab w:leader="none" w:pos="402"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Non-GAAP measure. See “Non-GAAP Financial Measures” and “Appendix D – Unaudited Reconciliation of GAAP and Non-GAAP results (Adjusted net loss/Adjusted EBITDA)” for details and a reconciliation of adjusted metrics to the nearest GAAP measure.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Lotus Tech management will host an earnings conference call at 8:00 AM U.S. Eastern Time on Friday, April 10, 2026 (14:00 Central European Time / 20:00 China Standard Time on the same day).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There will be a live audio webcast and limited-time replay available on the Company’s investor relations website at </w:t>
      </w:r>
      <w:r>
        <w:rPr>
          <w:rFonts w:ascii="Times New Roman" w:cs="Times New Roman" w:eastAsia="Times New Roman" w:hAnsi="Times New Roman"/>
          <w:sz w:val="12"/>
          <w:szCs w:val="12"/>
          <w:u w:val="single" w:color="auto"/>
          <w:color w:val="auto"/>
        </w:rPr>
        <w:t>https://ir.group-lotus.com/news-events/events/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Participants who wish to view the live webcast may register at </w:t>
      </w:r>
      <w:r>
        <w:rPr>
          <w:rFonts w:ascii="Times New Roman" w:cs="Times New Roman" w:eastAsia="Times New Roman" w:hAnsi="Times New Roman"/>
          <w:sz w:val="12"/>
          <w:szCs w:val="12"/>
          <w:u w:val="single" w:color="auto"/>
          <w:color w:val="auto"/>
        </w:rPr>
        <w:t>https://edge.media-server.com/mmc/p/g29k9vbj</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 xml:space="preserve">Participants who wish to join the conference call, please complete online registration prior to the scheduled call start time using the link provided below. Upon registration, participants will receive a confirmation email with conference call access information, including dial-in numbers and a unique PIN. Participant online registration link: </w:t>
      </w:r>
      <w:r>
        <w:rPr>
          <w:rFonts w:ascii="Times New Roman" w:cs="Times New Roman" w:eastAsia="Times New Roman" w:hAnsi="Times New Roman"/>
          <w:sz w:val="12"/>
          <w:szCs w:val="12"/>
          <w:u w:val="single" w:color="auto"/>
          <w:color w:val="auto"/>
        </w:rPr>
        <w:t>https://register-conf.media-server.com/register/BIe972002f75524fe8b4ea313e70dd459a</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Note 1: Including commissioned deliveries in US market.</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volume of delivery previously announced by the Company was based on the number of vehicles invoiced in the China market and the number of vehicles in relation to which revenue had been recognized for markets outside China, and included commissioned deliveries in the US market. Starting from the three months ended June 30, 2025, the presentation of delivery data has been unified and the volume of delivery reported represents the number of vehicles in relation to which revenue has been recognized for all markets and includes commissioned deliveries in the US market. Historical data presented in this press release has been adjusted to reflect this change.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Note 2: Based on market data of retail sales volume in 2025 in Chinese mainland. Premium auto segment refers to passenger vehicles pricing over RMB 400,000.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END –</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Lotus Technology Inc.</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 xml:space="preserve">Lotus Technology Inc. has operations across the UK, the EU and China. The Company is dedicated to delivering luxury lifestyle electric vehicles, with a focus on world-class R&amp;D in next-generation automobility technologies such as electrification, digitalisation and more. For more information about Lotus Technology Inc., please </w:t>
      </w:r>
      <w:r>
        <w:rPr>
          <w:rFonts w:ascii="Times New Roman" w:cs="Times New Roman" w:eastAsia="Times New Roman" w:hAnsi="Times New Roman"/>
          <w:sz w:val="12"/>
          <w:szCs w:val="12"/>
          <w:u w:val="single" w:color="auto"/>
          <w:color w:val="auto"/>
        </w:rPr>
        <w:t>visit www.group-lotus.com</w:t>
      </w:r>
      <w:r>
        <w:rPr>
          <w:rFonts w:ascii="Times New Roman" w:cs="Times New Roman" w:eastAsia="Times New Roman" w:hAnsi="Times New Roman"/>
          <w:sz w:val="12"/>
          <w:szCs w:val="12"/>
          <w:color w:val="auto"/>
        </w:rPr>
        <w:t>.</w:t>
      </w:r>
    </w:p>
    <w:p>
      <w:pPr>
        <w:spacing w:after="0" w:line="255"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2"/>
          <w:szCs w:val="12"/>
          <w:color w:val="auto"/>
        </w:rPr>
        <w:t>LOTUS TECH</w:t>
      </w:r>
    </w:p>
    <w:p>
      <w:pPr>
        <w:spacing w:after="0" w:line="1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group-lotus.com</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Company uses non-GAAP financial measures, including adjusted net loss and adjusted EBITDA in evaluating its operating results and for financial and operational decision-making purposes. Adjusted net loss represents net loss excluding share-based compensation expenses, and such adjustment has no impact on income tax. Lotus Tech defines adjusted EBITDA as net loss excluding interest income, interest expense, income tax expenses, depreciation of property, equipment and software, and share-based compensation expenses. The Company believes that non-GAAP financial measures help identify underlying trends in its business and enhance the overall understanding of the Company’s past performance and future prospects. The Company also believes that non-GAAP financial measures allow for greater visibility with respect to key metrics used by the Company’s management in its financial and operational decision-making.</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Non-GAAP financial measures are not presented in accordance with U.S. GAAP and may be different from non-GAAP methods of accounting and reporting used by other companies. Non-GAAP financial measures have limitations as analytical tools and when assessing the Company’s operating performance, investors should not consider them in isolation, or as a substitute for financial information prepared in accordance with U.S. GAAP. The Company encourages investors and others to review its financial information in its entirety and not rely on a single financial measure. The Company mitigates these limitations by reconciling non-GAAP financial measures to the most comparable U.S. GAAP performance measures, all of which should be considered when evaluating the Company’s performance. For more information on non-GAAP financial measures, please see "Appendix D – Unaudited Reconciliation of GAAP and Non-GAAP Results (Adjusted net loss/Adjusted EBITDA)" set forth at the end of this press release.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This press release contains statements that may constitute “forward-looking” statements pursuant to the “safe harbor” provisions of the U.S. Private Securities Litigation Reform Act of 1995. All statements other than statements of historical fact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although not all forward-looking statements contain such terminology. Forward-looking statements involve inherent risks and uncertainties, including those identified under the heading “Risk Factors” in the Company’s filings with the U.S. Securities and Exchange Commission. All information provided in this press release is as of the date of this press release, and Lotus Tech undertakes no obligation to update any forward-looking statement, except as required under applicable law.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 Information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investor inquiries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ir@group-lotus.com</w:t>
      </w:r>
    </w:p>
    <w:p>
      <w:pPr>
        <w:spacing w:after="0" w:line="283"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9" w:name="page10"/>
    <w:bookmarkEnd w:id="9"/>
    <w:p>
      <w:pPr>
        <w:ind w:left="10560"/>
        <w:spacing w:after="0"/>
        <w:rPr>
          <w:sz w:val="20"/>
          <w:szCs w:val="20"/>
          <w:color w:val="auto"/>
        </w:rPr>
      </w:pPr>
      <w:r>
        <w:rPr>
          <w:rFonts w:ascii="Times New Roman" w:cs="Times New Roman" w:eastAsia="Times New Roman" w:hAnsi="Times New Roman"/>
          <w:sz w:val="12"/>
          <w:szCs w:val="12"/>
          <w:color w:val="auto"/>
        </w:rPr>
        <w:t>LOTUS TECH</w:t>
      </w:r>
    </w:p>
    <w:p>
      <w:pPr>
        <w:spacing w:after="0" w:line="146"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2"/>
          <w:szCs w:val="12"/>
          <w:b w:val="1"/>
          <w:bCs w:val="1"/>
          <w:color w:val="auto"/>
        </w:rPr>
        <w:t>group-lotus.com</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Appendix A</w:t>
            </w:r>
          </w:p>
        </w:tc>
        <w:tc>
          <w:tcPr>
            <w:tcW w:w="1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73"/>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Lotus Technology Inc.</w:t>
            </w:r>
          </w:p>
        </w:tc>
        <w:tc>
          <w:tcPr>
            <w:tcW w:w="1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9"/>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Unaudited Condensed Consolidated Balance Sheets</w:t>
            </w:r>
          </w:p>
        </w:tc>
        <w:tc>
          <w:tcPr>
            <w:tcW w:w="1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88"/>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(All amounts in thousands)</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7340" w:type="dxa"/>
            <w:vAlign w:val="bottom"/>
          </w:tcPr>
          <w:p>
            <w:pPr>
              <w:spacing w:after="0"/>
              <w:rPr>
                <w:sz w:val="24"/>
                <w:szCs w:val="24"/>
                <w:color w:val="auto"/>
              </w:rPr>
            </w:pPr>
          </w:p>
        </w:tc>
        <w:tc>
          <w:tcPr>
            <w:tcW w:w="2260" w:type="dxa"/>
            <w:vAlign w:val="bottom"/>
            <w:tcBorders>
              <w:bottom w:val="single" w:sz="8" w:color="auto"/>
            </w:tcBorders>
            <w:gridSpan w:val="3"/>
          </w:tcPr>
          <w:p>
            <w:pPr>
              <w:ind w:left="180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340" w:type="dxa"/>
            <w:vAlign w:val="bottom"/>
          </w:tcPr>
          <w:p>
            <w:pPr>
              <w:spacing w:after="0"/>
              <w:rPr>
                <w:sz w:val="12"/>
                <w:szCs w:val="12"/>
                <w:color w:val="auto"/>
              </w:rPr>
            </w:pPr>
          </w:p>
        </w:tc>
        <w:tc>
          <w:tcPr>
            <w:tcW w:w="2260" w:type="dxa"/>
            <w:vAlign w:val="bottom"/>
            <w:gridSpan w:val="3"/>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8"/>
              </w:rPr>
              <w:t>December 31, 2025</w:t>
            </w:r>
          </w:p>
        </w:tc>
        <w:tc>
          <w:tcPr>
            <w:tcW w:w="160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00" w:type="dxa"/>
            <w:vAlign w:val="bottom"/>
          </w:tcPr>
          <w:p>
            <w:pPr>
              <w:spacing w:after="0"/>
              <w:rPr>
                <w:sz w:val="12"/>
                <w:szCs w:val="12"/>
                <w:color w:val="auto"/>
              </w:rPr>
            </w:pPr>
          </w:p>
        </w:tc>
      </w:tr>
      <w:tr>
        <w:trPr>
          <w:trHeight w:val="133"/>
        </w:trPr>
        <w:tc>
          <w:tcPr>
            <w:tcW w:w="7340" w:type="dxa"/>
            <w:vAlign w:val="bottom"/>
          </w:tcPr>
          <w:p>
            <w:pPr>
              <w:spacing w:after="0"/>
              <w:rPr>
                <w:sz w:val="11"/>
                <w:szCs w:val="11"/>
                <w:color w:val="auto"/>
              </w:rPr>
            </w:pPr>
          </w:p>
        </w:tc>
        <w:tc>
          <w:tcPr>
            <w:tcW w:w="182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i w:val="1"/>
                <w:iCs w:val="1"/>
                <w:color w:val="auto"/>
              </w:rPr>
              <w:t>US$</w:t>
            </w: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right"/>
              <w:ind w:right="740"/>
              <w:spacing w:after="0" w:line="133" w:lineRule="exact"/>
              <w:rPr>
                <w:sz w:val="20"/>
                <w:szCs w:val="20"/>
                <w:color w:val="auto"/>
              </w:rPr>
            </w:pPr>
            <w:r>
              <w:rPr>
                <w:rFonts w:ascii="Times New Roman" w:cs="Times New Roman" w:eastAsia="Times New Roman" w:hAnsi="Times New Roman"/>
                <w:sz w:val="12"/>
                <w:szCs w:val="12"/>
                <w:b w:val="1"/>
                <w:bCs w:val="1"/>
                <w:i w:val="1"/>
                <w:iCs w:val="1"/>
                <w:color w:val="auto"/>
              </w:rPr>
              <w:t>US$</w:t>
            </w:r>
          </w:p>
        </w:tc>
        <w:tc>
          <w:tcPr>
            <w:tcW w:w="100" w:type="dxa"/>
            <w:vAlign w:val="bottom"/>
          </w:tcPr>
          <w:p>
            <w:pPr>
              <w:spacing w:after="0"/>
              <w:rPr>
                <w:sz w:val="11"/>
                <w:szCs w:val="11"/>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73,431</w:t>
            </w:r>
          </w:p>
        </w:tc>
        <w:tc>
          <w:tcPr>
            <w:tcW w:w="22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103,072</w:t>
            </w:r>
          </w:p>
        </w:tc>
        <w:tc>
          <w:tcPr>
            <w:tcW w:w="10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375,865</w:t>
            </w:r>
          </w:p>
        </w:tc>
        <w:tc>
          <w:tcPr>
            <w:tcW w:w="22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379,293</w:t>
            </w:r>
          </w:p>
        </w:tc>
        <w:tc>
          <w:tcPr>
            <w:tcW w:w="10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receivable – third parties, net</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36,850</w:t>
            </w:r>
          </w:p>
        </w:tc>
        <w:tc>
          <w:tcPr>
            <w:tcW w:w="22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117,076</w:t>
            </w:r>
          </w:p>
        </w:tc>
        <w:tc>
          <w:tcPr>
            <w:tcW w:w="10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Accounts receivable – related parties, net</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114,126</w:t>
            </w:r>
          </w:p>
        </w:tc>
        <w:tc>
          <w:tcPr>
            <w:tcW w:w="22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107,816</w:t>
            </w:r>
          </w:p>
        </w:tc>
        <w:tc>
          <w:tcPr>
            <w:tcW w:w="10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Inventories</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121,361</w:t>
            </w:r>
          </w:p>
        </w:tc>
        <w:tc>
          <w:tcPr>
            <w:tcW w:w="22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188,582</w:t>
            </w:r>
          </w:p>
        </w:tc>
        <w:tc>
          <w:tcPr>
            <w:tcW w:w="10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Prepayments and other current assets – third parties, net</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77,570</w:t>
            </w:r>
          </w:p>
        </w:tc>
        <w:tc>
          <w:tcPr>
            <w:tcW w:w="220" w:type="dxa"/>
            <w:vAlign w:val="bottom"/>
          </w:tcPr>
          <w:p>
            <w:pPr>
              <w:spacing w:after="0"/>
              <w:rPr>
                <w:sz w:val="12"/>
                <w:szCs w:val="12"/>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72,541</w:t>
            </w:r>
          </w:p>
        </w:tc>
      </w:tr>
      <w:tr>
        <w:trPr>
          <w:trHeight w:val="15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Prepayments and other current assets – related parties, net</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111,886</w:t>
            </w:r>
          </w:p>
        </w:tc>
        <w:tc>
          <w:tcPr>
            <w:tcW w:w="2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74,558</w:t>
            </w:r>
          </w:p>
        </w:tc>
      </w:tr>
      <w:tr>
        <w:trPr>
          <w:trHeight w:val="133"/>
        </w:trPr>
        <w:tc>
          <w:tcPr>
            <w:tcW w:w="7340" w:type="dxa"/>
            <w:vAlign w:val="bottom"/>
          </w:tcPr>
          <w:p>
            <w:pPr>
              <w:spacing w:after="0"/>
              <w:rPr>
                <w:sz w:val="11"/>
                <w:szCs w:val="11"/>
                <w:color w:val="auto"/>
              </w:rPr>
            </w:pPr>
          </w:p>
        </w:tc>
        <w:tc>
          <w:tcPr>
            <w:tcW w:w="1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911,089</w:t>
            </w:r>
          </w:p>
        </w:tc>
        <w:tc>
          <w:tcPr>
            <w:tcW w:w="220" w:type="dxa"/>
            <w:vAlign w:val="bottom"/>
            <w:shd w:val="clear" w:color="auto" w:fill="CCEEFF"/>
          </w:tcPr>
          <w:p>
            <w:pPr>
              <w:spacing w:after="0"/>
              <w:rPr>
                <w:sz w:val="13"/>
                <w:szCs w:val="13"/>
                <w:color w:val="auto"/>
              </w:rPr>
            </w:pPr>
          </w:p>
        </w:tc>
        <w:tc>
          <w:tcPr>
            <w:tcW w:w="1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1,042,938</w:t>
            </w:r>
          </w:p>
        </w:tc>
        <w:tc>
          <w:tcPr>
            <w:tcW w:w="100" w:type="dxa"/>
            <w:vAlign w:val="bottom"/>
            <w:shd w:val="clear" w:color="auto" w:fill="CCEEFF"/>
          </w:tcPr>
          <w:p>
            <w:pPr>
              <w:spacing w:after="0"/>
              <w:rPr>
                <w:sz w:val="13"/>
                <w:szCs w:val="13"/>
                <w:color w:val="auto"/>
              </w:rPr>
            </w:pPr>
          </w:p>
        </w:tc>
      </w:tr>
      <w:tr>
        <w:trPr>
          <w:trHeight w:val="133"/>
        </w:trPr>
        <w:tc>
          <w:tcPr>
            <w:tcW w:w="7340" w:type="dxa"/>
            <w:vAlign w:val="bottom"/>
          </w:tcPr>
          <w:p>
            <w:pPr>
              <w:spacing w:after="0"/>
              <w:rPr>
                <w:sz w:val="11"/>
                <w:szCs w:val="11"/>
                <w:color w:val="auto"/>
              </w:rPr>
            </w:pPr>
          </w:p>
        </w:tc>
        <w:tc>
          <w:tcPr>
            <w:tcW w:w="1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Non-current assets</w:t>
            </w:r>
          </w:p>
        </w:tc>
        <w:tc>
          <w:tcPr>
            <w:tcW w:w="1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100,981</w:t>
            </w:r>
          </w:p>
        </w:tc>
        <w:tc>
          <w:tcPr>
            <w:tcW w:w="22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2,572</w:t>
            </w:r>
          </w:p>
        </w:tc>
        <w:tc>
          <w:tcPr>
            <w:tcW w:w="10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Securities pledged to an investor</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315,796</w:t>
            </w:r>
          </w:p>
        </w:tc>
        <w:tc>
          <w:tcPr>
            <w:tcW w:w="10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Loan receivable from a related party</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351,486</w:t>
            </w:r>
          </w:p>
        </w:tc>
        <w:tc>
          <w:tcPr>
            <w:tcW w:w="22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269,539</w:t>
            </w:r>
          </w:p>
        </w:tc>
        <w:tc>
          <w:tcPr>
            <w:tcW w:w="10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226,891</w:t>
            </w:r>
          </w:p>
        </w:tc>
        <w:tc>
          <w:tcPr>
            <w:tcW w:w="22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316,447</w:t>
            </w:r>
          </w:p>
        </w:tc>
        <w:tc>
          <w:tcPr>
            <w:tcW w:w="10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116,475</w:t>
            </w:r>
          </w:p>
        </w:tc>
        <w:tc>
          <w:tcPr>
            <w:tcW w:w="22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116,500</w:t>
            </w:r>
          </w:p>
        </w:tc>
        <w:tc>
          <w:tcPr>
            <w:tcW w:w="10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investments</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48,004</w:t>
            </w:r>
          </w:p>
        </w:tc>
        <w:tc>
          <w:tcPr>
            <w:tcW w:w="22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9,720</w:t>
            </w:r>
          </w:p>
        </w:tc>
        <w:tc>
          <w:tcPr>
            <w:tcW w:w="10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118,845</w:t>
            </w:r>
          </w:p>
        </w:tc>
        <w:tc>
          <w:tcPr>
            <w:tcW w:w="22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144,029</w:t>
            </w:r>
          </w:p>
        </w:tc>
        <w:tc>
          <w:tcPr>
            <w:tcW w:w="10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non-current assets – third parties</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78,408</w:t>
            </w:r>
          </w:p>
        </w:tc>
        <w:tc>
          <w:tcPr>
            <w:tcW w:w="2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67,009</w:t>
            </w:r>
          </w:p>
        </w:tc>
      </w:tr>
      <w:tr>
        <w:trPr>
          <w:trHeight w:val="153"/>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assets – related parties</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569</w:t>
            </w:r>
          </w:p>
        </w:tc>
        <w:tc>
          <w:tcPr>
            <w:tcW w:w="2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1,113</w:t>
            </w:r>
          </w:p>
        </w:tc>
        <w:tc>
          <w:tcPr>
            <w:tcW w:w="100" w:type="dxa"/>
            <w:vAlign w:val="bottom"/>
          </w:tcPr>
          <w:p>
            <w:pPr>
              <w:spacing w:after="0"/>
              <w:rPr>
                <w:sz w:val="13"/>
                <w:szCs w:val="13"/>
                <w:color w:val="auto"/>
              </w:rPr>
            </w:pPr>
          </w:p>
        </w:tc>
      </w:tr>
      <w:tr>
        <w:trPr>
          <w:trHeight w:val="133"/>
        </w:trPr>
        <w:tc>
          <w:tcPr>
            <w:tcW w:w="734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right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53"/>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non-current assets</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1,041,659</w:t>
            </w:r>
          </w:p>
        </w:tc>
        <w:tc>
          <w:tcPr>
            <w:tcW w:w="2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1,242,725</w:t>
            </w:r>
          </w:p>
        </w:tc>
        <w:tc>
          <w:tcPr>
            <w:tcW w:w="100" w:type="dxa"/>
            <w:vAlign w:val="bottom"/>
          </w:tcPr>
          <w:p>
            <w:pPr>
              <w:spacing w:after="0"/>
              <w:rPr>
                <w:sz w:val="13"/>
                <w:szCs w:val="13"/>
                <w:color w:val="auto"/>
              </w:rPr>
            </w:pPr>
          </w:p>
        </w:tc>
      </w:tr>
      <w:tr>
        <w:trPr>
          <w:trHeight w:val="133"/>
        </w:trPr>
        <w:tc>
          <w:tcPr>
            <w:tcW w:w="734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right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1,952,748</w:t>
            </w:r>
          </w:p>
        </w:tc>
        <w:tc>
          <w:tcPr>
            <w:tcW w:w="2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2,285,663</w:t>
            </w:r>
          </w:p>
        </w:tc>
        <w:tc>
          <w:tcPr>
            <w:tcW w:w="100" w:type="dxa"/>
            <w:vAlign w:val="bottom"/>
          </w:tcPr>
          <w:p>
            <w:pPr>
              <w:spacing w:after="0"/>
              <w:rPr>
                <w:sz w:val="14"/>
                <w:szCs w:val="14"/>
                <w:color w:val="auto"/>
              </w:rPr>
            </w:pPr>
          </w:p>
        </w:tc>
      </w:tr>
      <w:tr>
        <w:trPr>
          <w:trHeight w:val="27"/>
        </w:trPr>
        <w:tc>
          <w:tcPr>
            <w:tcW w:w="734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77"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55"/>
        </w:trPr>
        <w:tc>
          <w:tcPr>
            <w:tcW w:w="73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LOTUS TECH</w:t>
            </w:r>
          </w:p>
        </w:tc>
      </w:tr>
      <w:tr>
        <w:trPr>
          <w:trHeight w:val="288"/>
        </w:trPr>
        <w:tc>
          <w:tcPr>
            <w:tcW w:w="7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group-lotus.com</w:t>
            </w:r>
          </w:p>
        </w:tc>
      </w:tr>
      <w:tr>
        <w:trPr>
          <w:trHeight w:val="417"/>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Lotus Technology Inc.</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9"/>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Unaudited Condensed Consolidated Balance Sheets (Con’d)</w:t>
            </w:r>
          </w:p>
        </w:tc>
        <w:tc>
          <w:tcPr>
            <w:tcW w:w="1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(All amounts in thousands)</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7340" w:type="dxa"/>
            <w:vAlign w:val="bottom"/>
          </w:tcPr>
          <w:p>
            <w:pPr>
              <w:spacing w:after="0"/>
              <w:rPr>
                <w:sz w:val="24"/>
                <w:szCs w:val="24"/>
                <w:color w:val="auto"/>
              </w:rPr>
            </w:pPr>
          </w:p>
        </w:tc>
        <w:tc>
          <w:tcPr>
            <w:tcW w:w="2260" w:type="dxa"/>
            <w:vAlign w:val="bottom"/>
            <w:tcBorders>
              <w:bottom w:val="single" w:sz="8" w:color="auto"/>
            </w:tcBorders>
            <w:gridSpan w:val="3"/>
          </w:tcPr>
          <w:p>
            <w:pPr>
              <w:ind w:left="180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7340" w:type="dxa"/>
            <w:vAlign w:val="bottom"/>
          </w:tcPr>
          <w:p>
            <w:pPr>
              <w:spacing w:after="0"/>
              <w:rPr>
                <w:sz w:val="12"/>
                <w:szCs w:val="12"/>
                <w:color w:val="auto"/>
              </w:rPr>
            </w:pPr>
          </w:p>
        </w:tc>
        <w:tc>
          <w:tcPr>
            <w:tcW w:w="2260" w:type="dxa"/>
            <w:vAlign w:val="bottom"/>
            <w:gridSpan w:val="3"/>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8"/>
              </w:rPr>
              <w:t>December 31, 2025</w:t>
            </w:r>
          </w:p>
        </w:tc>
        <w:tc>
          <w:tcPr>
            <w:tcW w:w="158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20" w:type="dxa"/>
            <w:vAlign w:val="bottom"/>
          </w:tcPr>
          <w:p>
            <w:pPr>
              <w:spacing w:after="0"/>
              <w:rPr>
                <w:sz w:val="12"/>
                <w:szCs w:val="12"/>
                <w:color w:val="auto"/>
              </w:rPr>
            </w:pPr>
          </w:p>
        </w:tc>
      </w:tr>
      <w:tr>
        <w:trPr>
          <w:trHeight w:val="133"/>
        </w:trPr>
        <w:tc>
          <w:tcPr>
            <w:tcW w:w="7340" w:type="dxa"/>
            <w:vAlign w:val="bottom"/>
          </w:tcPr>
          <w:p>
            <w:pPr>
              <w:spacing w:after="0"/>
              <w:rPr>
                <w:sz w:val="11"/>
                <w:szCs w:val="11"/>
                <w:color w:val="auto"/>
              </w:rPr>
            </w:pPr>
          </w:p>
        </w:tc>
        <w:tc>
          <w:tcPr>
            <w:tcW w:w="182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i w:val="1"/>
                <w:iCs w:val="1"/>
                <w:color w:val="auto"/>
              </w:rPr>
              <w:t>US$</w:t>
            </w: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jc w:val="center"/>
              <w:ind w:right="140"/>
              <w:spacing w:after="0" w:line="133" w:lineRule="exact"/>
              <w:rPr>
                <w:sz w:val="20"/>
                <w:szCs w:val="20"/>
                <w:color w:val="auto"/>
              </w:rPr>
            </w:pPr>
            <w:r>
              <w:rPr>
                <w:rFonts w:ascii="Times New Roman" w:cs="Times New Roman" w:eastAsia="Times New Roman" w:hAnsi="Times New Roman"/>
                <w:sz w:val="12"/>
                <w:szCs w:val="12"/>
                <w:b w:val="1"/>
                <w:bCs w:val="1"/>
                <w:i w:val="1"/>
                <w:iCs w:val="1"/>
                <w:color w:val="auto"/>
              </w:rPr>
              <w:t>US$</w:t>
            </w:r>
          </w:p>
        </w:tc>
        <w:tc>
          <w:tcPr>
            <w:tcW w:w="120" w:type="dxa"/>
            <w:vAlign w:val="bottom"/>
          </w:tcPr>
          <w:p>
            <w:pPr>
              <w:spacing w:after="0"/>
              <w:rPr>
                <w:sz w:val="11"/>
                <w:szCs w:val="11"/>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 AND SHAREHOLDERS' DEFICIT</w:t>
            </w:r>
          </w:p>
        </w:tc>
        <w:tc>
          <w:tcPr>
            <w:tcW w:w="1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Short term borrowings – third parties</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479,419</w:t>
            </w:r>
          </w:p>
        </w:tc>
        <w:tc>
          <w:tcPr>
            <w:tcW w:w="2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602,949</w:t>
            </w: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Short-term borrowings – related parties</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784,288</w:t>
            </w:r>
          </w:p>
        </w:tc>
        <w:tc>
          <w:tcPr>
            <w:tcW w:w="220" w:type="dxa"/>
            <w:vAlign w:val="bottom"/>
          </w:tcPr>
          <w:p>
            <w:pPr>
              <w:spacing w:after="0"/>
              <w:rPr>
                <w:sz w:val="12"/>
                <w:szCs w:val="12"/>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199,570</w:t>
            </w: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payable – third parties</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55,032</w:t>
            </w:r>
          </w:p>
        </w:tc>
        <w:tc>
          <w:tcPr>
            <w:tcW w:w="2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61,752</w:t>
            </w: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Accounts payable – related parties</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458,189</w:t>
            </w:r>
          </w:p>
        </w:tc>
        <w:tc>
          <w:tcPr>
            <w:tcW w:w="220" w:type="dxa"/>
            <w:vAlign w:val="bottom"/>
          </w:tcPr>
          <w:p>
            <w:pPr>
              <w:spacing w:after="0"/>
              <w:rPr>
                <w:sz w:val="12"/>
                <w:szCs w:val="12"/>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410,433</w:t>
            </w: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 liabilities – third parties</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18,459</w:t>
            </w:r>
          </w:p>
        </w:tc>
        <w:tc>
          <w:tcPr>
            <w:tcW w:w="2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33,964</w:t>
            </w: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liabilities – third parties</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11,598</w:t>
            </w:r>
          </w:p>
        </w:tc>
        <w:tc>
          <w:tcPr>
            <w:tcW w:w="220" w:type="dxa"/>
            <w:vAlign w:val="bottom"/>
          </w:tcPr>
          <w:p>
            <w:pPr>
              <w:spacing w:after="0"/>
              <w:rPr>
                <w:sz w:val="12"/>
                <w:szCs w:val="12"/>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14,094</w:t>
            </w: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expenses and other current liabilities – third parties</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251,361</w:t>
            </w:r>
          </w:p>
        </w:tc>
        <w:tc>
          <w:tcPr>
            <w:tcW w:w="2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389,791</w:t>
            </w: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Accrued expenses and other current liabilities – related parties</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213,529</w:t>
            </w:r>
          </w:p>
        </w:tc>
        <w:tc>
          <w:tcPr>
            <w:tcW w:w="220" w:type="dxa"/>
            <w:vAlign w:val="bottom"/>
          </w:tcPr>
          <w:p>
            <w:pPr>
              <w:spacing w:after="0"/>
              <w:rPr>
                <w:sz w:val="12"/>
                <w:szCs w:val="12"/>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214,760</w:t>
            </w: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buyback forward liabilities</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117,059</w:t>
            </w: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Put option liabilities</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309,115</w:t>
            </w:r>
          </w:p>
        </w:tc>
      </w:tr>
      <w:tr>
        <w:trPr>
          <w:trHeight w:val="15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Convertible notes - related parties</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126,203</w:t>
            </w:r>
          </w:p>
        </w:tc>
        <w:tc>
          <w:tcPr>
            <w:tcW w:w="2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113,910</w:t>
            </w:r>
          </w:p>
        </w:tc>
      </w:tr>
      <w:tr>
        <w:trPr>
          <w:trHeight w:val="133"/>
        </w:trPr>
        <w:tc>
          <w:tcPr>
            <w:tcW w:w="7340" w:type="dxa"/>
            <w:vAlign w:val="bottom"/>
          </w:tcPr>
          <w:p>
            <w:pPr>
              <w:spacing w:after="0"/>
              <w:rPr>
                <w:sz w:val="11"/>
                <w:szCs w:val="11"/>
                <w:color w:val="auto"/>
              </w:rPr>
            </w:pPr>
          </w:p>
        </w:tc>
        <w:tc>
          <w:tcPr>
            <w:tcW w:w="1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2,398,078</w:t>
            </w:r>
          </w:p>
        </w:tc>
        <w:tc>
          <w:tcPr>
            <w:tcW w:w="2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2,467,397</w:t>
            </w:r>
          </w:p>
        </w:tc>
      </w:tr>
      <w:tr>
        <w:trPr>
          <w:trHeight w:val="133"/>
        </w:trPr>
        <w:tc>
          <w:tcPr>
            <w:tcW w:w="7340" w:type="dxa"/>
            <w:vAlign w:val="bottom"/>
          </w:tcPr>
          <w:p>
            <w:pPr>
              <w:spacing w:after="0"/>
              <w:rPr>
                <w:sz w:val="11"/>
                <w:szCs w:val="11"/>
                <w:color w:val="auto"/>
              </w:rPr>
            </w:pPr>
          </w:p>
        </w:tc>
        <w:tc>
          <w:tcPr>
            <w:tcW w:w="1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Non-current liabilities</w:t>
            </w:r>
          </w:p>
        </w:tc>
        <w:tc>
          <w:tcPr>
            <w:tcW w:w="1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Contract liabilities – third parties</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7,458</w:t>
            </w:r>
          </w:p>
        </w:tc>
        <w:tc>
          <w:tcPr>
            <w:tcW w:w="220" w:type="dxa"/>
            <w:vAlign w:val="bottom"/>
          </w:tcPr>
          <w:p>
            <w:pPr>
              <w:spacing w:after="0"/>
              <w:rPr>
                <w:sz w:val="12"/>
                <w:szCs w:val="12"/>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8,683</w:t>
            </w: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liabilities – third parties</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57,576</w:t>
            </w:r>
          </w:p>
        </w:tc>
        <w:tc>
          <w:tcPr>
            <w:tcW w:w="2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68,331</w:t>
            </w: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liabilities – related parties</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3,105</w:t>
            </w:r>
          </w:p>
        </w:tc>
        <w:tc>
          <w:tcPr>
            <w:tcW w:w="220" w:type="dxa"/>
            <w:vAlign w:val="bottom"/>
          </w:tcPr>
          <w:p>
            <w:pPr>
              <w:spacing w:after="0"/>
              <w:rPr>
                <w:sz w:val="12"/>
                <w:szCs w:val="12"/>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10,729</w:t>
            </w: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Warrant liabilities</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800</w:t>
            </w:r>
          </w:p>
        </w:tc>
        <w:tc>
          <w:tcPr>
            <w:tcW w:w="2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3,340</w:t>
            </w: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Exchangeable notes</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128,852</w:t>
            </w:r>
          </w:p>
        </w:tc>
        <w:tc>
          <w:tcPr>
            <w:tcW w:w="220" w:type="dxa"/>
            <w:vAlign w:val="bottom"/>
          </w:tcPr>
          <w:p>
            <w:pPr>
              <w:spacing w:after="0"/>
              <w:rPr>
                <w:sz w:val="12"/>
                <w:szCs w:val="12"/>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102,999</w:t>
            </w: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Convertible notes - third parties</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73,226</w:t>
            </w:r>
          </w:p>
        </w:tc>
        <w:tc>
          <w:tcPr>
            <w:tcW w:w="2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74,246</w:t>
            </w: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Convertible notes - related parties</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77,175</w:t>
            </w:r>
          </w:p>
        </w:tc>
        <w:tc>
          <w:tcPr>
            <w:tcW w:w="220" w:type="dxa"/>
            <w:vAlign w:val="bottom"/>
          </w:tcPr>
          <w:p>
            <w:pPr>
              <w:spacing w:after="0"/>
              <w:rPr>
                <w:sz w:val="12"/>
                <w:szCs w:val="12"/>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borrowings</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98,254</w:t>
            </w:r>
          </w:p>
        </w:tc>
        <w:tc>
          <w:tcPr>
            <w:tcW w:w="2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311,912</w:t>
            </w:r>
          </w:p>
        </w:tc>
        <w:tc>
          <w:tcPr>
            <w:tcW w:w="220" w:type="dxa"/>
            <w:vAlign w:val="bottom"/>
          </w:tcPr>
          <w:p>
            <w:pPr>
              <w:spacing w:after="0"/>
              <w:rPr>
                <w:sz w:val="12"/>
                <w:szCs w:val="12"/>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293,923</w:t>
            </w: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698</w:t>
            </w:r>
          </w:p>
        </w:tc>
        <w:tc>
          <w:tcPr>
            <w:tcW w:w="2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liabilities – third parties</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125,004</w:t>
            </w:r>
          </w:p>
        </w:tc>
        <w:tc>
          <w:tcPr>
            <w:tcW w:w="220" w:type="dxa"/>
            <w:vAlign w:val="bottom"/>
          </w:tcPr>
          <w:p>
            <w:pPr>
              <w:spacing w:after="0"/>
              <w:rPr>
                <w:sz w:val="12"/>
                <w:szCs w:val="12"/>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114,770</w:t>
            </w:r>
          </w:p>
        </w:tc>
      </w:tr>
      <w:tr>
        <w:trPr>
          <w:trHeight w:val="15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non-current liabilities – related parties</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856</w:t>
            </w:r>
          </w:p>
        </w:tc>
        <w:tc>
          <w:tcPr>
            <w:tcW w:w="2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1,471</w:t>
            </w:r>
          </w:p>
        </w:tc>
      </w:tr>
      <w:tr>
        <w:trPr>
          <w:trHeight w:val="133"/>
        </w:trPr>
        <w:tc>
          <w:tcPr>
            <w:tcW w:w="7340" w:type="dxa"/>
            <w:vAlign w:val="bottom"/>
          </w:tcPr>
          <w:p>
            <w:pPr>
              <w:spacing w:after="0"/>
              <w:rPr>
                <w:sz w:val="11"/>
                <w:szCs w:val="11"/>
                <w:color w:val="auto"/>
              </w:rPr>
            </w:pPr>
          </w:p>
        </w:tc>
        <w:tc>
          <w:tcPr>
            <w:tcW w:w="1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non-current liabilities</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884,916</w:t>
            </w:r>
          </w:p>
        </w:tc>
        <w:tc>
          <w:tcPr>
            <w:tcW w:w="2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678,492</w:t>
            </w:r>
          </w:p>
        </w:tc>
      </w:tr>
      <w:tr>
        <w:trPr>
          <w:trHeight w:val="133"/>
        </w:trPr>
        <w:tc>
          <w:tcPr>
            <w:tcW w:w="7340" w:type="dxa"/>
            <w:vAlign w:val="bottom"/>
          </w:tcPr>
          <w:p>
            <w:pPr>
              <w:spacing w:after="0"/>
              <w:rPr>
                <w:sz w:val="11"/>
                <w:szCs w:val="11"/>
                <w:color w:val="auto"/>
              </w:rPr>
            </w:pPr>
          </w:p>
        </w:tc>
        <w:tc>
          <w:tcPr>
            <w:tcW w:w="1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6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3,282,994</w:t>
            </w:r>
          </w:p>
        </w:tc>
        <w:tc>
          <w:tcPr>
            <w:tcW w:w="22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3,145,889</w:t>
            </w:r>
          </w:p>
        </w:tc>
      </w:tr>
      <w:tr>
        <w:trPr>
          <w:trHeight w:val="432"/>
        </w:trPr>
        <w:tc>
          <w:tcPr>
            <w:tcW w:w="7340" w:type="dxa"/>
            <w:vAlign w:val="bottom"/>
            <w:tcBorders>
              <w:top w:val="single" w:sz="8" w:color="CCEEFF"/>
              <w:bottom w:val="single" w:sz="8" w:color="auto"/>
            </w:tcBorders>
          </w:tcPr>
          <w:p>
            <w:pPr>
              <w:spacing w:after="0"/>
              <w:rPr>
                <w:sz w:val="24"/>
                <w:szCs w:val="24"/>
                <w:color w:val="auto"/>
              </w:rPr>
            </w:pPr>
          </w:p>
        </w:tc>
        <w:tc>
          <w:tcPr>
            <w:tcW w:w="18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w:t>
            </w:r>
          </w:p>
        </w:tc>
      </w:tr>
    </w:tbl>
    <w:p>
      <w:pPr>
        <w:sectPr>
          <w:pgSz w:w="11900" w:h="16838" w:orient="portrait"/>
          <w:cols w:equalWidth="0" w:num="1">
            <w:col w:w="11300"/>
          </w:cols>
          <w:pgMar w:left="300" w:top="201" w:right="29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3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LOTUS TECH</w:t>
            </w:r>
          </w:p>
        </w:tc>
      </w:tr>
      <w:tr>
        <w:trPr>
          <w:trHeight w:val="288"/>
        </w:trPr>
        <w:tc>
          <w:tcPr>
            <w:tcW w:w="7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group-lotus.com</w:t>
            </w:r>
          </w:p>
        </w:tc>
      </w:tr>
      <w:tr>
        <w:trPr>
          <w:trHeight w:val="417"/>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Lotus Technology Inc.</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9"/>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Unaudited Condensed Consolidated Balance Sheets (con’d)</w:t>
            </w:r>
          </w:p>
        </w:tc>
        <w:tc>
          <w:tcPr>
            <w:tcW w:w="1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(All amounts in thousands)</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7340" w:type="dxa"/>
            <w:vAlign w:val="bottom"/>
          </w:tcPr>
          <w:p>
            <w:pPr>
              <w:spacing w:after="0"/>
              <w:rPr>
                <w:sz w:val="24"/>
                <w:szCs w:val="24"/>
                <w:color w:val="auto"/>
              </w:rPr>
            </w:pPr>
          </w:p>
        </w:tc>
        <w:tc>
          <w:tcPr>
            <w:tcW w:w="2260" w:type="dxa"/>
            <w:vAlign w:val="bottom"/>
            <w:tcBorders>
              <w:bottom w:val="single" w:sz="8" w:color="auto"/>
            </w:tcBorders>
            <w:gridSpan w:val="3"/>
          </w:tcPr>
          <w:p>
            <w:pPr>
              <w:ind w:left="180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7340" w:type="dxa"/>
            <w:vAlign w:val="bottom"/>
          </w:tcPr>
          <w:p>
            <w:pPr>
              <w:spacing w:after="0"/>
              <w:rPr>
                <w:sz w:val="12"/>
                <w:szCs w:val="12"/>
                <w:color w:val="auto"/>
              </w:rPr>
            </w:pPr>
          </w:p>
        </w:tc>
        <w:tc>
          <w:tcPr>
            <w:tcW w:w="2260" w:type="dxa"/>
            <w:vAlign w:val="bottom"/>
            <w:gridSpan w:val="3"/>
          </w:tcPr>
          <w:p>
            <w:pPr>
              <w:ind w:left="44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1580" w:type="dxa"/>
            <w:vAlign w:val="bottom"/>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20" w:type="dxa"/>
            <w:vAlign w:val="bottom"/>
          </w:tcPr>
          <w:p>
            <w:pPr>
              <w:spacing w:after="0"/>
              <w:rPr>
                <w:sz w:val="12"/>
                <w:szCs w:val="12"/>
                <w:color w:val="auto"/>
              </w:rPr>
            </w:pPr>
          </w:p>
        </w:tc>
      </w:tr>
      <w:tr>
        <w:trPr>
          <w:trHeight w:val="133"/>
        </w:trPr>
        <w:tc>
          <w:tcPr>
            <w:tcW w:w="7340" w:type="dxa"/>
            <w:vAlign w:val="bottom"/>
          </w:tcPr>
          <w:p>
            <w:pPr>
              <w:spacing w:after="0"/>
              <w:rPr>
                <w:sz w:val="11"/>
                <w:szCs w:val="11"/>
                <w:color w:val="auto"/>
              </w:rPr>
            </w:pPr>
          </w:p>
        </w:tc>
        <w:tc>
          <w:tcPr>
            <w:tcW w:w="1820" w:type="dxa"/>
            <w:vAlign w:val="bottom"/>
            <w:tcBorders>
              <w:top w:val="single" w:sz="8" w:color="auto"/>
            </w:tcBorders>
          </w:tcPr>
          <w:p>
            <w:pPr>
              <w:jc w:val="right"/>
              <w:ind w:right="740"/>
              <w:spacing w:after="0" w:line="133" w:lineRule="exact"/>
              <w:rPr>
                <w:sz w:val="20"/>
                <w:szCs w:val="20"/>
                <w:color w:val="auto"/>
              </w:rPr>
            </w:pPr>
            <w:r>
              <w:rPr>
                <w:rFonts w:ascii="Times New Roman" w:cs="Times New Roman" w:eastAsia="Times New Roman" w:hAnsi="Times New Roman"/>
                <w:sz w:val="12"/>
                <w:szCs w:val="12"/>
                <w:b w:val="1"/>
                <w:bCs w:val="1"/>
                <w:i w:val="1"/>
                <w:iCs w:val="1"/>
                <w:color w:val="auto"/>
              </w:rPr>
              <w:t>US$</w:t>
            </w: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jc w:val="right"/>
              <w:ind w:right="720"/>
              <w:spacing w:after="0" w:line="133" w:lineRule="exact"/>
              <w:rPr>
                <w:sz w:val="20"/>
                <w:szCs w:val="20"/>
                <w:color w:val="auto"/>
              </w:rPr>
            </w:pPr>
            <w:r>
              <w:rPr>
                <w:rFonts w:ascii="Times New Roman" w:cs="Times New Roman" w:eastAsia="Times New Roman" w:hAnsi="Times New Roman"/>
                <w:sz w:val="12"/>
                <w:szCs w:val="12"/>
                <w:b w:val="1"/>
                <w:bCs w:val="1"/>
                <w:i w:val="1"/>
                <w:iCs w:val="1"/>
                <w:color w:val="auto"/>
              </w:rPr>
              <w:t>US$</w:t>
            </w:r>
          </w:p>
        </w:tc>
        <w:tc>
          <w:tcPr>
            <w:tcW w:w="120" w:type="dxa"/>
            <w:vAlign w:val="bottom"/>
          </w:tcPr>
          <w:p>
            <w:pPr>
              <w:spacing w:after="0"/>
              <w:rPr>
                <w:sz w:val="11"/>
                <w:szCs w:val="11"/>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SHAREHOLDERS’ DEFICIT</w:t>
            </w:r>
          </w:p>
        </w:tc>
        <w:tc>
          <w:tcPr>
            <w:tcW w:w="1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Ordinary shares</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w:t>
            </w:r>
          </w:p>
        </w:tc>
        <w:tc>
          <w:tcPr>
            <w:tcW w:w="220" w:type="dxa"/>
            <w:vAlign w:val="bottom"/>
          </w:tcPr>
          <w:p>
            <w:pPr>
              <w:spacing w:after="0"/>
              <w:rPr>
                <w:sz w:val="12"/>
                <w:szCs w:val="12"/>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w:t>
            </w: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Treasury stock</w:t>
            </w:r>
          </w:p>
        </w:tc>
        <w:tc>
          <w:tcPr>
            <w:tcW w:w="2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(138,397)</w:t>
            </w:r>
          </w:p>
        </w:tc>
        <w:tc>
          <w:tcPr>
            <w:tcW w:w="2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1,933,992</w:t>
            </w:r>
          </w:p>
        </w:tc>
        <w:tc>
          <w:tcPr>
            <w:tcW w:w="220" w:type="dxa"/>
            <w:vAlign w:val="bottom"/>
          </w:tcPr>
          <w:p>
            <w:pPr>
              <w:spacing w:after="0"/>
              <w:rPr>
                <w:sz w:val="12"/>
                <w:szCs w:val="12"/>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1,785,664</w:t>
            </w: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39,818</w:t>
            </w:r>
          </w:p>
        </w:tc>
        <w:tc>
          <w:tcPr>
            <w:tcW w:w="2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55,165</w:t>
            </w:r>
          </w:p>
        </w:tc>
      </w:tr>
      <w:tr>
        <w:trPr>
          <w:trHeight w:val="153"/>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(3,157,918)</w:t>
            </w:r>
          </w:p>
        </w:tc>
        <w:tc>
          <w:tcPr>
            <w:tcW w:w="220" w:type="dxa"/>
            <w:vAlign w:val="bottom"/>
          </w:tcPr>
          <w:p>
            <w:pPr>
              <w:spacing w:after="0"/>
              <w:rPr>
                <w:sz w:val="13"/>
                <w:szCs w:val="13"/>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(2,693,698)</w:t>
            </w:r>
          </w:p>
        </w:tc>
      </w:tr>
      <w:tr>
        <w:trPr>
          <w:trHeight w:val="133"/>
        </w:trPr>
        <w:tc>
          <w:tcPr>
            <w:tcW w:w="734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53"/>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shareholders' deficit attributable to ordinary shareholders</w:t>
            </w: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(1,322,498)</w:t>
            </w:r>
          </w:p>
        </w:tc>
        <w:tc>
          <w:tcPr>
            <w:tcW w:w="220" w:type="dxa"/>
            <w:vAlign w:val="bottom"/>
          </w:tcPr>
          <w:p>
            <w:pPr>
              <w:spacing w:after="0"/>
              <w:rPr>
                <w:sz w:val="13"/>
                <w:szCs w:val="13"/>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(852,862)</w:t>
            </w:r>
          </w:p>
        </w:tc>
      </w:tr>
      <w:tr>
        <w:trPr>
          <w:trHeight w:val="133"/>
        </w:trPr>
        <w:tc>
          <w:tcPr>
            <w:tcW w:w="73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Noncontrolling interests</w:t>
            </w:r>
          </w:p>
        </w:tc>
        <w:tc>
          <w:tcPr>
            <w:tcW w:w="1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(7,748)</w:t>
            </w: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15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(7,364)</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734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shareholders' deficit</w:t>
            </w:r>
          </w:p>
        </w:tc>
        <w:tc>
          <w:tcPr>
            <w:tcW w:w="1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(1,330,246)</w:t>
            </w: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(860,226)</w:t>
            </w:r>
          </w:p>
        </w:tc>
        <w:tc>
          <w:tcPr>
            <w:tcW w:w="120" w:type="dxa"/>
            <w:vAlign w:val="bottom"/>
            <w:tcBorders>
              <w:bottom w:val="single" w:sz="8" w:color="CCEEFF"/>
            </w:tcBorders>
          </w:tcPr>
          <w:p>
            <w:pPr>
              <w:spacing w:after="0"/>
              <w:rPr>
                <w:sz w:val="11"/>
                <w:szCs w:val="11"/>
                <w:color w:val="auto"/>
              </w:rPr>
            </w:pPr>
          </w:p>
        </w:tc>
      </w:tr>
      <w:tr>
        <w:trPr>
          <w:trHeight w:val="133"/>
        </w:trPr>
        <w:tc>
          <w:tcPr>
            <w:tcW w:w="734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9"/>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shareholders' deficit</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1,952,748</w:t>
            </w:r>
          </w:p>
        </w:tc>
        <w:tc>
          <w:tcPr>
            <w:tcW w:w="220" w:type="dxa"/>
            <w:vAlign w:val="bottom"/>
          </w:tcPr>
          <w:p>
            <w:pPr>
              <w:spacing w:after="0"/>
              <w:rPr>
                <w:sz w:val="14"/>
                <w:szCs w:val="14"/>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2,285,663</w:t>
            </w:r>
          </w:p>
        </w:tc>
      </w:tr>
      <w:tr>
        <w:trPr>
          <w:trHeight w:val="432"/>
        </w:trPr>
        <w:tc>
          <w:tcPr>
            <w:tcW w:w="7340" w:type="dxa"/>
            <w:vAlign w:val="bottom"/>
            <w:tcBorders>
              <w:bottom w:val="single" w:sz="8" w:color="auto"/>
            </w:tcBorders>
          </w:tcPr>
          <w:p>
            <w:pPr>
              <w:spacing w:after="0"/>
              <w:rPr>
                <w:sz w:val="24"/>
                <w:szCs w:val="24"/>
                <w:color w:val="auto"/>
              </w:rPr>
            </w:pPr>
          </w:p>
        </w:tc>
        <w:tc>
          <w:tcPr>
            <w:tcW w:w="18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w:t>
            </w:r>
          </w:p>
        </w:tc>
      </w:tr>
    </w:tbl>
    <w:p>
      <w:pPr>
        <w:sectPr>
          <w:pgSz w:w="11900" w:h="16838" w:orient="portrait"/>
          <w:cols w:equalWidth="0" w:num="1">
            <w:col w:w="11300"/>
          </w:cols>
          <w:pgMar w:left="300" w:top="201" w:right="29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2"/>
          <w:szCs w:val="12"/>
          <w:color w:val="auto"/>
        </w:rPr>
        <w:t>LOTUS TECH</w:t>
      </w:r>
    </w:p>
    <w:p>
      <w:pPr>
        <w:spacing w:after="0" w:line="1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group-lotus.com</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Appendix B</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Lotus Technology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Unaudited Condensed Consolidated Statements of Comprehensive loss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(All amounts in thousands, except for share and per share data)</w:t>
      </w:r>
    </w:p>
    <w:p>
      <w:pPr>
        <w:spacing w:after="0" w:line="155"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800" w:type="dxa"/>
            <w:vAlign w:val="bottom"/>
          </w:tcPr>
          <w:p>
            <w:pPr>
              <w:spacing w:after="0"/>
              <w:rPr>
                <w:sz w:val="12"/>
                <w:szCs w:val="12"/>
                <w:color w:val="auto"/>
              </w:rPr>
            </w:pPr>
          </w:p>
        </w:tc>
        <w:tc>
          <w:tcPr>
            <w:tcW w:w="9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6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2"/>
                <w:szCs w:val="12"/>
                <w:color w:val="auto"/>
              </w:rPr>
            </w:pPr>
          </w:p>
        </w:tc>
      </w:tr>
      <w:tr>
        <w:trPr>
          <w:trHeight w:val="133"/>
        </w:trPr>
        <w:tc>
          <w:tcPr>
            <w:tcW w:w="7800" w:type="dxa"/>
            <w:vAlign w:val="bottom"/>
          </w:tcPr>
          <w:p>
            <w:pPr>
              <w:spacing w:after="0"/>
              <w:rPr>
                <w:sz w:val="11"/>
                <w:szCs w:val="11"/>
                <w:color w:val="auto"/>
              </w:rPr>
            </w:pPr>
          </w:p>
        </w:tc>
        <w:tc>
          <w:tcPr>
            <w:tcW w:w="960" w:type="dxa"/>
            <w:vAlign w:val="bottom"/>
          </w:tcPr>
          <w:p>
            <w:pPr>
              <w:ind w:left="700"/>
              <w:spacing w:after="0" w:line="133" w:lineRule="exact"/>
              <w:rPr>
                <w:sz w:val="20"/>
                <w:szCs w:val="20"/>
                <w:color w:val="auto"/>
              </w:rPr>
            </w:pPr>
            <w:r>
              <w:rPr>
                <w:rFonts w:ascii="Times New Roman" w:cs="Times New Roman" w:eastAsia="Times New Roman" w:hAnsi="Times New Roman"/>
                <w:sz w:val="12"/>
                <w:szCs w:val="12"/>
                <w:b w:val="1"/>
                <w:bCs w:val="1"/>
                <w:i w:val="1"/>
                <w:iCs w:val="1"/>
                <w:color w:val="auto"/>
              </w:rPr>
              <w:t>US$</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tcPr>
          <w:p>
            <w:pPr>
              <w:jc w:val="right"/>
              <w:ind w:right="620"/>
              <w:spacing w:after="0" w:line="133" w:lineRule="exact"/>
              <w:rPr>
                <w:sz w:val="20"/>
                <w:szCs w:val="20"/>
                <w:color w:val="auto"/>
              </w:rPr>
            </w:pPr>
            <w:r>
              <w:rPr>
                <w:rFonts w:ascii="Times New Roman" w:cs="Times New Roman" w:eastAsia="Times New Roman" w:hAnsi="Times New Roman"/>
                <w:sz w:val="12"/>
                <w:szCs w:val="12"/>
                <w:b w:val="1"/>
                <w:bCs w:val="1"/>
                <w:i w:val="1"/>
                <w:iCs w:val="1"/>
                <w:color w:val="auto"/>
              </w:rPr>
              <w:t>US$</w:t>
            </w:r>
          </w:p>
        </w:tc>
        <w:tc>
          <w:tcPr>
            <w:tcW w:w="120" w:type="dxa"/>
            <w:vAlign w:val="bottom"/>
          </w:tcPr>
          <w:p>
            <w:pPr>
              <w:spacing w:after="0"/>
              <w:rPr>
                <w:sz w:val="11"/>
                <w:szCs w:val="11"/>
                <w:color w:val="auto"/>
              </w:rPr>
            </w:pPr>
          </w:p>
        </w:tc>
      </w:tr>
      <w:tr>
        <w:trPr>
          <w:trHeight w:val="144"/>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Sales of goods</w:t>
            </w:r>
          </w:p>
        </w:tc>
        <w:tc>
          <w:tcPr>
            <w:tcW w:w="86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462,802</w:t>
            </w:r>
          </w:p>
        </w:tc>
        <w:tc>
          <w:tcPr>
            <w:tcW w:w="168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891,061</w:t>
            </w:r>
          </w:p>
        </w:tc>
      </w:tr>
      <w:tr>
        <w:trPr>
          <w:trHeight w:val="15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Service revenues</w:t>
            </w:r>
          </w:p>
        </w:tc>
        <w:tc>
          <w:tcPr>
            <w:tcW w:w="8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56,296</w:t>
            </w:r>
          </w:p>
        </w:tc>
        <w:tc>
          <w:tcPr>
            <w:tcW w:w="16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33,288</w:t>
            </w:r>
          </w:p>
        </w:tc>
      </w:tr>
      <w:tr>
        <w:trPr>
          <w:trHeight w:val="133"/>
        </w:trPr>
        <w:tc>
          <w:tcPr>
            <w:tcW w:w="780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revenues</w:t>
            </w:r>
          </w:p>
        </w:tc>
        <w:tc>
          <w:tcPr>
            <w:tcW w:w="9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519,098</w:t>
            </w:r>
          </w:p>
        </w:tc>
        <w:tc>
          <w:tcPr>
            <w:tcW w:w="220" w:type="dxa"/>
            <w:vAlign w:val="bottom"/>
            <w:tcBorders>
              <w:bottom w:val="single" w:sz="8" w:color="CCEEFF"/>
            </w:tcBorders>
          </w:tcPr>
          <w:p>
            <w:pPr>
              <w:spacing w:after="0"/>
              <w:rPr>
                <w:sz w:val="11"/>
                <w:szCs w:val="11"/>
                <w:color w:val="auto"/>
              </w:rPr>
            </w:pPr>
          </w:p>
        </w:tc>
        <w:tc>
          <w:tcPr>
            <w:tcW w:w="1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924,349</w:t>
            </w:r>
          </w:p>
        </w:tc>
        <w:tc>
          <w:tcPr>
            <w:tcW w:w="120" w:type="dxa"/>
            <w:vAlign w:val="bottom"/>
            <w:tcBorders>
              <w:bottom w:val="single" w:sz="8" w:color="CCEEFF"/>
            </w:tcBorders>
          </w:tcPr>
          <w:p>
            <w:pPr>
              <w:spacing w:after="0"/>
              <w:rPr>
                <w:sz w:val="11"/>
                <w:szCs w:val="11"/>
                <w:color w:val="auto"/>
              </w:rPr>
            </w:pPr>
          </w:p>
        </w:tc>
      </w:tr>
      <w:tr>
        <w:trPr>
          <w:trHeight w:val="133"/>
        </w:trPr>
        <w:tc>
          <w:tcPr>
            <w:tcW w:w="78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Cost of revenues:</w:t>
            </w:r>
          </w:p>
        </w:tc>
        <w:tc>
          <w:tcPr>
            <w:tcW w:w="9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8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Cost of goods sold</w:t>
            </w: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(430,031)</w:t>
            </w:r>
          </w:p>
        </w:tc>
        <w:tc>
          <w:tcPr>
            <w:tcW w:w="168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(867,061)</w:t>
            </w:r>
          </w:p>
        </w:tc>
      </w:tr>
      <w:tr>
        <w:trPr>
          <w:trHeight w:val="15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services</w:t>
            </w: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(43,857)</w:t>
            </w:r>
          </w:p>
        </w:tc>
        <w:tc>
          <w:tcPr>
            <w:tcW w:w="16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(27,662)</w:t>
            </w:r>
          </w:p>
        </w:tc>
      </w:tr>
      <w:tr>
        <w:trPr>
          <w:trHeight w:val="133"/>
        </w:trPr>
        <w:tc>
          <w:tcPr>
            <w:tcW w:w="780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cost of revenues</w:t>
            </w:r>
          </w:p>
        </w:tc>
        <w:tc>
          <w:tcPr>
            <w:tcW w:w="9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(473,888)</w:t>
            </w:r>
          </w:p>
        </w:tc>
        <w:tc>
          <w:tcPr>
            <w:tcW w:w="220" w:type="dxa"/>
            <w:vAlign w:val="bottom"/>
            <w:tcBorders>
              <w:bottom w:val="single" w:sz="8" w:color="CCEEFF"/>
            </w:tcBorders>
          </w:tcPr>
          <w:p>
            <w:pPr>
              <w:spacing w:after="0"/>
              <w:rPr>
                <w:sz w:val="11"/>
                <w:szCs w:val="11"/>
                <w:color w:val="auto"/>
              </w:rPr>
            </w:pPr>
          </w:p>
        </w:tc>
        <w:tc>
          <w:tcPr>
            <w:tcW w:w="1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(894,723)</w:t>
            </w:r>
          </w:p>
        </w:tc>
        <w:tc>
          <w:tcPr>
            <w:tcW w:w="120" w:type="dxa"/>
            <w:vAlign w:val="bottom"/>
            <w:tcBorders>
              <w:bottom w:val="single" w:sz="8" w:color="CCEEFF"/>
            </w:tcBorders>
          </w:tcPr>
          <w:p>
            <w:pPr>
              <w:spacing w:after="0"/>
              <w:rPr>
                <w:sz w:val="11"/>
                <w:szCs w:val="11"/>
                <w:color w:val="auto"/>
              </w:rPr>
            </w:pPr>
          </w:p>
        </w:tc>
      </w:tr>
      <w:tr>
        <w:trPr>
          <w:trHeight w:val="133"/>
        </w:trPr>
        <w:tc>
          <w:tcPr>
            <w:tcW w:w="78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Gross profit</w:t>
            </w:r>
          </w:p>
        </w:tc>
        <w:tc>
          <w:tcPr>
            <w:tcW w:w="9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45,210</w:t>
            </w:r>
          </w:p>
        </w:tc>
        <w:tc>
          <w:tcPr>
            <w:tcW w:w="220" w:type="dxa"/>
            <w:vAlign w:val="bottom"/>
            <w:shd w:val="clear" w:color="auto" w:fill="CCEEFF"/>
          </w:tcPr>
          <w:p>
            <w:pPr>
              <w:spacing w:after="0"/>
              <w:rPr>
                <w:sz w:val="11"/>
                <w:szCs w:val="11"/>
                <w:color w:val="auto"/>
              </w:rPr>
            </w:pPr>
          </w:p>
        </w:tc>
        <w:tc>
          <w:tcPr>
            <w:tcW w:w="1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29,626</w:t>
            </w:r>
          </w:p>
        </w:tc>
        <w:tc>
          <w:tcPr>
            <w:tcW w:w="120" w:type="dxa"/>
            <w:vAlign w:val="bottom"/>
            <w:shd w:val="clear" w:color="auto" w:fill="CCEEFF"/>
          </w:tcPr>
          <w:p>
            <w:pPr>
              <w:spacing w:after="0"/>
              <w:rPr>
                <w:sz w:val="11"/>
                <w:szCs w:val="11"/>
                <w:color w:val="auto"/>
              </w:rPr>
            </w:pPr>
          </w:p>
        </w:tc>
      </w:tr>
      <w:tr>
        <w:trPr>
          <w:trHeight w:val="144"/>
        </w:trPr>
        <w:tc>
          <w:tcPr>
            <w:tcW w:w="87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 expenses</w:t>
            </w: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(170,960)</w:t>
            </w:r>
          </w:p>
        </w:tc>
        <w:tc>
          <w:tcPr>
            <w:tcW w:w="16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(274,801)</w:t>
            </w:r>
          </w:p>
        </w:tc>
      </w:tr>
      <w:tr>
        <w:trPr>
          <w:trHeight w:val="144"/>
        </w:trPr>
        <w:tc>
          <w:tcPr>
            <w:tcW w:w="8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Selling and marketing expenses</w:t>
            </w: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(148,261)</w:t>
            </w:r>
          </w:p>
        </w:tc>
        <w:tc>
          <w:tcPr>
            <w:tcW w:w="168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(322,310)</w:t>
            </w:r>
          </w:p>
        </w:tc>
      </w:tr>
      <w:tr>
        <w:trPr>
          <w:trHeight w:val="144"/>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(135,850)</w:t>
            </w:r>
          </w:p>
        </w:tc>
        <w:tc>
          <w:tcPr>
            <w:tcW w:w="16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(227,475)</w:t>
            </w:r>
          </w:p>
        </w:tc>
      </w:tr>
      <w:tr>
        <w:trPr>
          <w:trHeight w:val="144"/>
        </w:trPr>
        <w:tc>
          <w:tcPr>
            <w:tcW w:w="8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operating income</w:t>
            </w:r>
          </w:p>
        </w:tc>
        <w:tc>
          <w:tcPr>
            <w:tcW w:w="86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38,463</w:t>
            </w:r>
          </w:p>
        </w:tc>
        <w:tc>
          <w:tcPr>
            <w:tcW w:w="168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8,638</w:t>
            </w:r>
          </w:p>
        </w:tc>
      </w:tr>
      <w:tr>
        <w:trPr>
          <w:trHeight w:val="15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Impairment of long-lived assets</w:t>
            </w: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(51,800)</w:t>
            </w:r>
          </w:p>
        </w:tc>
        <w:tc>
          <w:tcPr>
            <w:tcW w:w="16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780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9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(468,408)</w:t>
            </w:r>
          </w:p>
        </w:tc>
        <w:tc>
          <w:tcPr>
            <w:tcW w:w="220" w:type="dxa"/>
            <w:vAlign w:val="bottom"/>
            <w:tcBorders>
              <w:bottom w:val="single" w:sz="8" w:color="CCEEFF"/>
            </w:tcBorders>
          </w:tcPr>
          <w:p>
            <w:pPr>
              <w:spacing w:after="0"/>
              <w:rPr>
                <w:sz w:val="11"/>
                <w:szCs w:val="11"/>
                <w:color w:val="auto"/>
              </w:rPr>
            </w:pPr>
          </w:p>
        </w:tc>
        <w:tc>
          <w:tcPr>
            <w:tcW w:w="1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(815,948)</w:t>
            </w:r>
          </w:p>
        </w:tc>
        <w:tc>
          <w:tcPr>
            <w:tcW w:w="120" w:type="dxa"/>
            <w:vAlign w:val="bottom"/>
            <w:tcBorders>
              <w:bottom w:val="single" w:sz="8" w:color="CCEEFF"/>
            </w:tcBorders>
          </w:tcPr>
          <w:p>
            <w:pPr>
              <w:spacing w:after="0"/>
              <w:rPr>
                <w:sz w:val="11"/>
                <w:szCs w:val="11"/>
                <w:color w:val="auto"/>
              </w:rPr>
            </w:pPr>
          </w:p>
        </w:tc>
      </w:tr>
      <w:tr>
        <w:trPr>
          <w:trHeight w:val="133"/>
        </w:trPr>
        <w:tc>
          <w:tcPr>
            <w:tcW w:w="78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Operating loss</w:t>
            </w:r>
          </w:p>
        </w:tc>
        <w:tc>
          <w:tcPr>
            <w:tcW w:w="9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(423,198)</w:t>
            </w:r>
          </w:p>
        </w:tc>
        <w:tc>
          <w:tcPr>
            <w:tcW w:w="220" w:type="dxa"/>
            <w:vAlign w:val="bottom"/>
            <w:shd w:val="clear" w:color="auto" w:fill="CCEEFF"/>
          </w:tcPr>
          <w:p>
            <w:pPr>
              <w:spacing w:after="0"/>
              <w:rPr>
                <w:sz w:val="11"/>
                <w:szCs w:val="11"/>
                <w:color w:val="auto"/>
              </w:rPr>
            </w:pPr>
          </w:p>
        </w:tc>
        <w:tc>
          <w:tcPr>
            <w:tcW w:w="1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(786,322)</w:t>
            </w:r>
          </w:p>
        </w:tc>
        <w:tc>
          <w:tcPr>
            <w:tcW w:w="120" w:type="dxa"/>
            <w:vAlign w:val="bottom"/>
            <w:shd w:val="clear" w:color="auto" w:fill="CCEEFF"/>
          </w:tcPr>
          <w:p>
            <w:pPr>
              <w:spacing w:after="0"/>
              <w:rPr>
                <w:sz w:val="11"/>
                <w:szCs w:val="11"/>
                <w:color w:val="auto"/>
              </w:rPr>
            </w:pPr>
          </w:p>
        </w:tc>
      </w:tr>
      <w:tr>
        <w:trPr>
          <w:trHeight w:val="144"/>
        </w:trPr>
        <w:tc>
          <w:tcPr>
            <w:tcW w:w="8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Interest expenses</w:t>
            </w: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(63,338)</w:t>
            </w:r>
          </w:p>
        </w:tc>
        <w:tc>
          <w:tcPr>
            <w:tcW w:w="168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(58,218)</w:t>
            </w:r>
          </w:p>
        </w:tc>
      </w:tr>
      <w:tr>
        <w:trPr>
          <w:trHeight w:val="144"/>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8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28,143</w:t>
            </w:r>
          </w:p>
        </w:tc>
        <w:tc>
          <w:tcPr>
            <w:tcW w:w="16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22,289</w:t>
            </w:r>
          </w:p>
        </w:tc>
      </w:tr>
      <w:tr>
        <w:trPr>
          <w:trHeight w:val="144"/>
        </w:trPr>
        <w:tc>
          <w:tcPr>
            <w:tcW w:w="8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Investment income, net</w:t>
            </w:r>
          </w:p>
        </w:tc>
        <w:tc>
          <w:tcPr>
            <w:tcW w:w="86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10,740</w:t>
            </w:r>
          </w:p>
        </w:tc>
        <w:tc>
          <w:tcPr>
            <w:tcW w:w="168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14,232</w:t>
            </w:r>
          </w:p>
        </w:tc>
      </w:tr>
      <w:tr>
        <w:trPr>
          <w:trHeight w:val="144"/>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currency exchange gains (losses), net</w:t>
            </w:r>
          </w:p>
        </w:tc>
        <w:tc>
          <w:tcPr>
            <w:tcW w:w="8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25,709</w:t>
            </w:r>
          </w:p>
        </w:tc>
        <w:tc>
          <w:tcPr>
            <w:tcW w:w="16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(11,664)</w:t>
            </w:r>
          </w:p>
        </w:tc>
      </w:tr>
      <w:tr>
        <w:trPr>
          <w:trHeight w:val="153"/>
        </w:trPr>
        <w:tc>
          <w:tcPr>
            <w:tcW w:w="8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Changes in fair values of liabilities, excluding impact of instrument-specific credit risk</w:t>
            </w: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(28,319)</w:t>
            </w:r>
          </w:p>
        </w:tc>
        <w:tc>
          <w:tcPr>
            <w:tcW w:w="168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(285,423)</w:t>
            </w:r>
          </w:p>
        </w:tc>
      </w:tr>
      <w:tr>
        <w:trPr>
          <w:trHeight w:val="133"/>
        </w:trPr>
        <w:tc>
          <w:tcPr>
            <w:tcW w:w="78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Loss before income taxes and share of results of equity method investments</w:t>
            </w:r>
          </w:p>
        </w:tc>
        <w:tc>
          <w:tcPr>
            <w:tcW w:w="9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(450,263)</w:t>
            </w:r>
          </w:p>
        </w:tc>
        <w:tc>
          <w:tcPr>
            <w:tcW w:w="220" w:type="dxa"/>
            <w:vAlign w:val="bottom"/>
            <w:tcBorders>
              <w:top w:val="single" w:sz="8" w:color="CCEEFF"/>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(1,105,106)</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8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(15,946)</w:t>
            </w:r>
          </w:p>
        </w:tc>
        <w:tc>
          <w:tcPr>
            <w:tcW w:w="168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(2,012)</w:t>
            </w:r>
          </w:p>
        </w:tc>
      </w:tr>
      <w:tr>
        <w:trPr>
          <w:trHeight w:val="15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of results of equity method investments</w:t>
            </w:r>
          </w:p>
        </w:tc>
        <w:tc>
          <w:tcPr>
            <w:tcW w:w="8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1,987</w:t>
            </w:r>
          </w:p>
        </w:tc>
        <w:tc>
          <w:tcPr>
            <w:tcW w:w="16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(171)</w:t>
            </w:r>
          </w:p>
        </w:tc>
      </w:tr>
      <w:tr>
        <w:trPr>
          <w:trHeight w:val="149"/>
        </w:trPr>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9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(464,222</w:t>
            </w:r>
          </w:p>
        </w:tc>
        <w:tc>
          <w:tcPr>
            <w:tcW w:w="220" w:type="dxa"/>
            <w:vAlign w:val="bottom"/>
            <w:tcBorders>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(1,107,289</w:t>
            </w:r>
          </w:p>
        </w:tc>
        <w:tc>
          <w:tcPr>
            <w:tcW w:w="120" w:type="dxa"/>
            <w:vAlign w:val="bottom"/>
            <w:tcBorders>
              <w:bottom w:val="single" w:sz="8" w:color="CCEEFF"/>
            </w:tcBorders>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44"/>
        </w:trPr>
        <w:tc>
          <w:tcPr>
            <w:tcW w:w="78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Less: Net loss attributable to noncontrolling interests</w:t>
            </w:r>
          </w:p>
        </w:tc>
        <w:tc>
          <w:tcPr>
            <w:tcW w:w="9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(2,364)</w:t>
            </w:r>
          </w:p>
        </w:tc>
        <w:tc>
          <w:tcPr>
            <w:tcW w:w="120" w:type="dxa"/>
            <w:vAlign w:val="bottom"/>
            <w:shd w:val="clear" w:color="auto" w:fill="CCEEFF"/>
          </w:tcPr>
          <w:p>
            <w:pPr>
              <w:spacing w:after="0"/>
              <w:rPr>
                <w:sz w:val="12"/>
                <w:szCs w:val="12"/>
                <w:color w:val="auto"/>
              </w:rPr>
            </w:pPr>
          </w:p>
        </w:tc>
      </w:tr>
      <w:tr>
        <w:trPr>
          <w:trHeight w:val="149"/>
        </w:trPr>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loss attributable to ordinary shareholders</w:t>
            </w:r>
          </w:p>
        </w:tc>
        <w:tc>
          <w:tcPr>
            <w:tcW w:w="9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(464,220</w:t>
            </w:r>
          </w:p>
        </w:tc>
        <w:tc>
          <w:tcPr>
            <w:tcW w:w="220" w:type="dxa"/>
            <w:vAlign w:val="bottom"/>
            <w:tcBorders>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(1,104,925</w:t>
            </w:r>
          </w:p>
        </w:tc>
        <w:tc>
          <w:tcPr>
            <w:tcW w:w="120" w:type="dxa"/>
            <w:vAlign w:val="bottom"/>
            <w:tcBorders>
              <w:bottom w:val="single" w:sz="8" w:color="CCEEFF"/>
            </w:tcBorders>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44"/>
        </w:trPr>
        <w:tc>
          <w:tcPr>
            <w:tcW w:w="78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Accretion of redeemable convertible preferred shares</w:t>
            </w:r>
          </w:p>
        </w:tc>
        <w:tc>
          <w:tcPr>
            <w:tcW w:w="9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(2,979)</w:t>
            </w:r>
          </w:p>
        </w:tc>
        <w:tc>
          <w:tcPr>
            <w:tcW w:w="120" w:type="dxa"/>
            <w:vAlign w:val="bottom"/>
            <w:shd w:val="clear" w:color="auto" w:fill="CCEEFF"/>
          </w:tcPr>
          <w:p>
            <w:pPr>
              <w:spacing w:after="0"/>
              <w:rPr>
                <w:sz w:val="12"/>
                <w:szCs w:val="12"/>
                <w:color w:val="auto"/>
              </w:rPr>
            </w:pPr>
          </w:p>
        </w:tc>
      </w:tr>
      <w:tr>
        <w:trPr>
          <w:trHeight w:val="149"/>
        </w:trPr>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loss available to ordinary shareholders</w:t>
            </w:r>
          </w:p>
        </w:tc>
        <w:tc>
          <w:tcPr>
            <w:tcW w:w="9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(464,220</w:t>
            </w:r>
          </w:p>
        </w:tc>
        <w:tc>
          <w:tcPr>
            <w:tcW w:w="220" w:type="dxa"/>
            <w:vAlign w:val="bottom"/>
            <w:tcBorders>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(1,107,904</w:t>
            </w:r>
          </w:p>
        </w:tc>
        <w:tc>
          <w:tcPr>
            <w:tcW w:w="120" w:type="dxa"/>
            <w:vAlign w:val="bottom"/>
            <w:tcBorders>
              <w:bottom w:val="single" w:sz="8" w:color="CCEEFF"/>
            </w:tcBorders>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53"/>
        </w:trPr>
        <w:tc>
          <w:tcPr>
            <w:tcW w:w="78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1"/>
                <w:szCs w:val="11"/>
                <w:b w:val="1"/>
                <w:bCs w:val="1"/>
                <w:color w:val="auto"/>
              </w:rPr>
              <w:t>Loss per ordinary share</w:t>
            </w:r>
            <w:r>
              <w:rPr>
                <w:rFonts w:ascii="Times New Roman" w:cs="Times New Roman" w:eastAsia="Times New Roman" w:hAnsi="Times New Roman"/>
                <w:sz w:val="17"/>
                <w:szCs w:val="17"/>
                <w:b w:val="1"/>
                <w:bCs w:val="1"/>
                <w:color w:val="auto"/>
                <w:vertAlign w:val="superscript"/>
              </w:rPr>
              <w:t>1</w:t>
            </w:r>
          </w:p>
        </w:tc>
        <w:tc>
          <w:tcPr>
            <w:tcW w:w="9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44"/>
        </w:trPr>
        <w:tc>
          <w:tcPr>
            <w:tcW w:w="8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—Basic and diluted</w:t>
            </w: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(0.72)</w:t>
            </w:r>
          </w:p>
        </w:tc>
        <w:tc>
          <w:tcPr>
            <w:tcW w:w="168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(1.72)</w:t>
            </w:r>
          </w:p>
        </w:tc>
      </w:tr>
      <w:tr>
        <w:trPr>
          <w:trHeight w:val="171"/>
        </w:trPr>
        <w:tc>
          <w:tcPr>
            <w:tcW w:w="876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2"/>
                <w:szCs w:val="12"/>
                <w:b w:val="1"/>
                <w:bCs w:val="1"/>
                <w:color w:val="auto"/>
              </w:rPr>
              <w:t>Weighted average number of ordinary shares outstanding used in computing net loss per ordinary share</w:t>
            </w:r>
            <w:r>
              <w:rPr>
                <w:rFonts w:ascii="Times New Roman" w:cs="Times New Roman" w:eastAsia="Times New Roman" w:hAnsi="Times New Roman"/>
                <w:sz w:val="19"/>
                <w:szCs w:val="19"/>
                <w:b w:val="1"/>
                <w:bCs w:val="1"/>
                <w:color w:val="auto"/>
                <w:vertAlign w:val="superscript"/>
              </w:rPr>
              <w:t>1</w:t>
            </w: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5"/>
        </w:trPr>
        <w:tc>
          <w:tcPr>
            <w:tcW w:w="8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—Basic and diluted</w:t>
            </w:r>
          </w:p>
        </w:tc>
        <w:tc>
          <w:tcPr>
            <w:tcW w:w="86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648,535,169</w:t>
            </w:r>
          </w:p>
        </w:tc>
        <w:tc>
          <w:tcPr>
            <w:tcW w:w="168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645,227,356</w:t>
            </w: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Shares outstanding for all periods reflect the adjustment for recapitalization upon the consummation of merger transaction in February 2024.</w:t>
      </w:r>
    </w:p>
    <w:p>
      <w:pPr>
        <w:spacing w:after="0" w:line="239"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2"/>
          <w:szCs w:val="12"/>
          <w:color w:val="auto"/>
        </w:rPr>
        <w:t>LOTUS TECH</w:t>
      </w:r>
    </w:p>
    <w:p>
      <w:pPr>
        <w:spacing w:after="0" w:line="1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group-lotus.com</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Lotus Technology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Unaudited Condensed Consolidated Statements of Comprehensive loss (cont’d)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(All amounts in thousands, except for share and per share data)</w:t>
      </w:r>
    </w:p>
    <w:p>
      <w:pPr>
        <w:spacing w:after="0" w:line="155"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800" w:type="dxa"/>
            <w:vAlign w:val="bottom"/>
          </w:tcPr>
          <w:p>
            <w:pPr>
              <w:spacing w:after="0"/>
              <w:rPr>
                <w:sz w:val="12"/>
                <w:szCs w:val="12"/>
                <w:color w:val="auto"/>
              </w:rPr>
            </w:pPr>
          </w:p>
        </w:tc>
        <w:tc>
          <w:tcPr>
            <w:tcW w:w="104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5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800" w:type="dxa"/>
            <w:vAlign w:val="bottom"/>
          </w:tcPr>
          <w:p>
            <w:pPr>
              <w:spacing w:after="0"/>
              <w:rPr>
                <w:sz w:val="11"/>
                <w:szCs w:val="11"/>
                <w:color w:val="auto"/>
              </w:rPr>
            </w:pPr>
          </w:p>
        </w:tc>
        <w:tc>
          <w:tcPr>
            <w:tcW w:w="1040" w:type="dxa"/>
            <w:vAlign w:val="bottom"/>
          </w:tcPr>
          <w:p>
            <w:pPr>
              <w:ind w:left="700"/>
              <w:spacing w:after="0" w:line="133" w:lineRule="exact"/>
              <w:rPr>
                <w:sz w:val="20"/>
                <w:szCs w:val="20"/>
                <w:color w:val="auto"/>
              </w:rPr>
            </w:pPr>
            <w:r>
              <w:rPr>
                <w:rFonts w:ascii="Times New Roman" w:cs="Times New Roman" w:eastAsia="Times New Roman" w:hAnsi="Times New Roman"/>
                <w:sz w:val="12"/>
                <w:szCs w:val="12"/>
                <w:b w:val="1"/>
                <w:bCs w:val="1"/>
                <w:i w:val="1"/>
                <w:iCs w:val="1"/>
                <w:color w:val="auto"/>
              </w:rPr>
              <w:t>US$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tcPr>
          <w:p>
            <w:pPr>
              <w:jc w:val="right"/>
              <w:ind w:right="620"/>
              <w:spacing w:after="0" w:line="133" w:lineRule="exact"/>
              <w:rPr>
                <w:sz w:val="20"/>
                <w:szCs w:val="20"/>
                <w:color w:val="auto"/>
              </w:rPr>
            </w:pPr>
            <w:r>
              <w:rPr>
                <w:rFonts w:ascii="Times New Roman" w:cs="Times New Roman" w:eastAsia="Times New Roman" w:hAnsi="Times New Roman"/>
                <w:sz w:val="12"/>
                <w:szCs w:val="12"/>
                <w:b w:val="1"/>
                <w:bCs w:val="1"/>
                <w:i w:val="1"/>
                <w:iCs w:val="1"/>
                <w:color w:val="auto"/>
              </w:rPr>
              <w:t>US$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7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(464,222)</w:t>
            </w:r>
          </w:p>
        </w:tc>
        <w:tc>
          <w:tcPr>
            <w:tcW w:w="16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(1,107,289)</w:t>
            </w:r>
          </w:p>
        </w:tc>
        <w:tc>
          <w:tcPr>
            <w:tcW w:w="0" w:type="dxa"/>
            <w:vAlign w:val="bottom"/>
          </w:tcPr>
          <w:p>
            <w:pPr>
              <w:spacing w:after="0"/>
              <w:rPr>
                <w:sz w:val="1"/>
                <w:szCs w:val="1"/>
                <w:color w:val="auto"/>
              </w:rPr>
            </w:pPr>
          </w:p>
        </w:tc>
      </w:tr>
      <w:tr>
        <w:trPr>
          <w:trHeight w:val="144"/>
        </w:trPr>
        <w:tc>
          <w:tcPr>
            <w:tcW w:w="7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comprehensive (loss) income:</w:t>
            </w: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Fair value changes of liabilities due to instrument-specific credit risk, net of nil income taxes</w:t>
            </w:r>
          </w:p>
        </w:tc>
        <w:tc>
          <w:tcPr>
            <w:tcW w:w="78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13,875</w:t>
            </w:r>
          </w:p>
        </w:tc>
        <w:tc>
          <w:tcPr>
            <w:tcW w:w="168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13,547</w:t>
            </w:r>
          </w:p>
        </w:tc>
        <w:tc>
          <w:tcPr>
            <w:tcW w:w="0" w:type="dxa"/>
            <w:vAlign w:val="bottom"/>
          </w:tcPr>
          <w:p>
            <w:pPr>
              <w:spacing w:after="0"/>
              <w:rPr>
                <w:sz w:val="1"/>
                <w:szCs w:val="1"/>
                <w:color w:val="auto"/>
              </w:rPr>
            </w:pPr>
          </w:p>
        </w:tc>
      </w:tr>
      <w:tr>
        <w:trPr>
          <w:trHeight w:val="153"/>
        </w:trPr>
        <w:tc>
          <w:tcPr>
            <w:tcW w:w="8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currency translation adjustment, net of nil income taxes</w:t>
            </w:r>
          </w:p>
        </w:tc>
        <w:tc>
          <w:tcPr>
            <w:tcW w:w="7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(29,222)</w:t>
            </w:r>
          </w:p>
        </w:tc>
        <w:tc>
          <w:tcPr>
            <w:tcW w:w="16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16,351</w:t>
            </w:r>
          </w:p>
        </w:tc>
        <w:tc>
          <w:tcPr>
            <w:tcW w:w="0" w:type="dxa"/>
            <w:vAlign w:val="bottom"/>
          </w:tcPr>
          <w:p>
            <w:pPr>
              <w:spacing w:after="0"/>
              <w:rPr>
                <w:sz w:val="1"/>
                <w:szCs w:val="1"/>
                <w:color w:val="auto"/>
              </w:rPr>
            </w:pPr>
          </w:p>
        </w:tc>
      </w:tr>
      <w:tr>
        <w:trPr>
          <w:trHeight w:val="133"/>
        </w:trPr>
        <w:tc>
          <w:tcPr>
            <w:tcW w:w="78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other comprehensive (loss) income</w:t>
            </w:r>
          </w:p>
        </w:tc>
        <w:tc>
          <w:tcPr>
            <w:tcW w:w="7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(15,347)</w:t>
            </w:r>
          </w:p>
        </w:tc>
        <w:tc>
          <w:tcPr>
            <w:tcW w:w="16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29,898</w:t>
            </w:r>
          </w:p>
        </w:tc>
        <w:tc>
          <w:tcPr>
            <w:tcW w:w="0" w:type="dxa"/>
            <w:vAlign w:val="bottom"/>
          </w:tcPr>
          <w:p>
            <w:pPr>
              <w:spacing w:after="0"/>
              <w:rPr>
                <w:sz w:val="1"/>
                <w:szCs w:val="1"/>
                <w:color w:val="auto"/>
              </w:rPr>
            </w:pPr>
          </w:p>
        </w:tc>
      </w:tr>
      <w:tr>
        <w:trPr>
          <w:trHeight w:val="133"/>
        </w:trPr>
        <w:tc>
          <w:tcPr>
            <w:tcW w:w="78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comprehensive loss</w:t>
            </w:r>
          </w:p>
        </w:tc>
        <w:tc>
          <w:tcPr>
            <w:tcW w:w="10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(479,569)</w:t>
            </w:r>
          </w:p>
        </w:tc>
        <w:tc>
          <w:tcPr>
            <w:tcW w:w="16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(1,077,391)</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Less: Total comprehensive loss attributable to noncontrolling interests</w:t>
            </w: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80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gridSpan w:val="2"/>
          </w:tcPr>
          <w:p>
            <w:pPr>
              <w:jc w:val="right"/>
              <w:ind w:right="138"/>
              <w:spacing w:after="0" w:line="133" w:lineRule="exact"/>
              <w:rPr>
                <w:sz w:val="20"/>
                <w:szCs w:val="20"/>
                <w:color w:val="auto"/>
              </w:rPr>
            </w:pPr>
            <w:r>
              <w:rPr>
                <w:rFonts w:ascii="Times New Roman" w:cs="Times New Roman" w:eastAsia="Times New Roman" w:hAnsi="Times New Roman"/>
                <w:sz w:val="12"/>
                <w:szCs w:val="12"/>
                <w:color w:val="auto"/>
              </w:rPr>
              <w:t>(2)</w:t>
            </w:r>
          </w:p>
        </w:tc>
        <w:tc>
          <w:tcPr>
            <w:tcW w:w="15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(2,364)</w:t>
            </w:r>
          </w:p>
        </w:tc>
        <w:tc>
          <w:tcPr>
            <w:tcW w:w="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comprehensive loss attributable to ordinary shareholders</w:t>
            </w:r>
          </w:p>
        </w:tc>
        <w:tc>
          <w:tcPr>
            <w:tcW w:w="104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(479,567</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(1,075,027</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11180"/>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2"/>
          <w:szCs w:val="12"/>
          <w:color w:val="auto"/>
        </w:rPr>
        <w:t>LOTUS TECH</w:t>
      </w:r>
    </w:p>
    <w:p>
      <w:pPr>
        <w:spacing w:after="0" w:line="1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group-lotus.com</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Appendix 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Lotus Technology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Unaudited Condensed Consolidated Statements of Comprehensive loss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(All amounts in thousands, except for share and per share data)</w:t>
      </w:r>
    </w:p>
    <w:p>
      <w:pPr>
        <w:spacing w:after="0" w:line="146"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2"/>
          <w:szCs w:val="12"/>
          <w:b w:val="1"/>
          <w:bCs w:val="1"/>
          <w:color w:val="auto"/>
        </w:rPr>
        <w:t>For the Three Months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7800" w:type="dxa"/>
            <w:vAlign w:val="bottom"/>
          </w:tcPr>
          <w:p>
            <w:pPr>
              <w:spacing w:after="0"/>
              <w:rPr>
                <w:sz w:val="11"/>
                <w:szCs w:val="11"/>
                <w:color w:val="auto"/>
              </w:rPr>
            </w:pPr>
          </w:p>
        </w:tc>
        <w:tc>
          <w:tcPr>
            <w:tcW w:w="960" w:type="dxa"/>
            <w:vAlign w:val="bottom"/>
            <w:tcBorders>
              <w:top w:val="single" w:sz="8" w:color="auto"/>
              <w:bottom w:val="single" w:sz="8" w:color="auto"/>
            </w:tcBorders>
          </w:tcPr>
          <w:p>
            <w:pPr>
              <w:ind w:left="680"/>
              <w:spacing w:after="0" w:line="133" w:lineRule="exact"/>
              <w:rPr>
                <w:sz w:val="20"/>
                <w:szCs w:val="20"/>
                <w:color w:val="auto"/>
              </w:rPr>
            </w:pPr>
            <w:r>
              <w:rPr>
                <w:rFonts w:ascii="Times New Roman" w:cs="Times New Roman" w:eastAsia="Times New Roman" w:hAnsi="Times New Roman"/>
                <w:sz w:val="12"/>
                <w:szCs w:val="12"/>
                <w:b w:val="1"/>
                <w:bCs w:val="1"/>
                <w:color w:val="auto"/>
              </w:rPr>
              <w:t>2025</w:t>
            </w:r>
          </w:p>
        </w:tc>
        <w:tc>
          <w:tcPr>
            <w:tcW w:w="64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60" w:type="dxa"/>
            <w:vAlign w:val="bottom"/>
            <w:tcBorders>
              <w:top w:val="single" w:sz="8" w:color="auto"/>
              <w:bottom w:val="single" w:sz="8" w:color="auto"/>
            </w:tcBorders>
          </w:tcPr>
          <w:p>
            <w:pPr>
              <w:jc w:val="right"/>
              <w:ind w:right="600"/>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1"/>
                <w:szCs w:val="11"/>
                <w:color w:val="auto"/>
              </w:rPr>
            </w:pPr>
          </w:p>
        </w:tc>
      </w:tr>
      <w:tr>
        <w:trPr>
          <w:trHeight w:val="133"/>
        </w:trPr>
        <w:tc>
          <w:tcPr>
            <w:tcW w:w="7800" w:type="dxa"/>
            <w:vAlign w:val="bottom"/>
          </w:tcPr>
          <w:p>
            <w:pPr>
              <w:spacing w:after="0"/>
              <w:rPr>
                <w:sz w:val="11"/>
                <w:szCs w:val="11"/>
                <w:color w:val="auto"/>
              </w:rPr>
            </w:pPr>
          </w:p>
        </w:tc>
        <w:tc>
          <w:tcPr>
            <w:tcW w:w="960" w:type="dxa"/>
            <w:vAlign w:val="bottom"/>
          </w:tcPr>
          <w:p>
            <w:pPr>
              <w:ind w:left="700"/>
              <w:spacing w:after="0" w:line="133" w:lineRule="exact"/>
              <w:rPr>
                <w:sz w:val="20"/>
                <w:szCs w:val="20"/>
                <w:color w:val="auto"/>
              </w:rPr>
            </w:pPr>
            <w:r>
              <w:rPr>
                <w:rFonts w:ascii="Times New Roman" w:cs="Times New Roman" w:eastAsia="Times New Roman" w:hAnsi="Times New Roman"/>
                <w:sz w:val="12"/>
                <w:szCs w:val="12"/>
                <w:b w:val="1"/>
                <w:bCs w:val="1"/>
                <w:i w:val="1"/>
                <w:iCs w:val="1"/>
                <w:color w:val="auto"/>
              </w:rPr>
              <w:t>US$</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tcPr>
          <w:p>
            <w:pPr>
              <w:jc w:val="right"/>
              <w:ind w:right="620"/>
              <w:spacing w:after="0" w:line="133" w:lineRule="exact"/>
              <w:rPr>
                <w:sz w:val="20"/>
                <w:szCs w:val="20"/>
                <w:color w:val="auto"/>
              </w:rPr>
            </w:pPr>
            <w:r>
              <w:rPr>
                <w:rFonts w:ascii="Times New Roman" w:cs="Times New Roman" w:eastAsia="Times New Roman" w:hAnsi="Times New Roman"/>
                <w:sz w:val="12"/>
                <w:szCs w:val="12"/>
                <w:b w:val="1"/>
                <w:bCs w:val="1"/>
                <w:i w:val="1"/>
                <w:iCs w:val="1"/>
                <w:color w:val="auto"/>
              </w:rPr>
              <w:t>US$</w:t>
            </w:r>
          </w:p>
        </w:tc>
        <w:tc>
          <w:tcPr>
            <w:tcW w:w="120" w:type="dxa"/>
            <w:vAlign w:val="bottom"/>
          </w:tcPr>
          <w:p>
            <w:pPr>
              <w:spacing w:after="0"/>
              <w:rPr>
                <w:sz w:val="11"/>
                <w:szCs w:val="11"/>
                <w:color w:val="auto"/>
              </w:rPr>
            </w:pPr>
          </w:p>
        </w:tc>
      </w:tr>
      <w:tr>
        <w:trPr>
          <w:trHeight w:val="144"/>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Sales of goods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132,410</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266,812</w:t>
            </w:r>
          </w:p>
        </w:tc>
      </w:tr>
      <w:tr>
        <w:trPr>
          <w:trHeight w:val="144"/>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Service revenues</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30,930</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4,714</w:t>
            </w:r>
          </w:p>
        </w:tc>
      </w:tr>
      <w:tr>
        <w:trPr>
          <w:trHeight w:val="133"/>
        </w:trPr>
        <w:tc>
          <w:tcPr>
            <w:tcW w:w="780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revenues</w:t>
            </w:r>
          </w:p>
        </w:tc>
        <w:tc>
          <w:tcPr>
            <w:tcW w:w="9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163,340</w:t>
            </w:r>
          </w:p>
        </w:tc>
        <w:tc>
          <w:tcPr>
            <w:tcW w:w="220" w:type="dxa"/>
            <w:vAlign w:val="bottom"/>
            <w:tcBorders>
              <w:bottom w:val="single" w:sz="8" w:color="CCEEFF"/>
            </w:tcBorders>
          </w:tcPr>
          <w:p>
            <w:pPr>
              <w:spacing w:after="0"/>
              <w:rPr>
                <w:sz w:val="11"/>
                <w:szCs w:val="11"/>
                <w:color w:val="auto"/>
              </w:rPr>
            </w:pPr>
          </w:p>
        </w:tc>
        <w:tc>
          <w:tcPr>
            <w:tcW w:w="1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271,526</w:t>
            </w:r>
          </w:p>
        </w:tc>
        <w:tc>
          <w:tcPr>
            <w:tcW w:w="120" w:type="dxa"/>
            <w:vAlign w:val="bottom"/>
            <w:tcBorders>
              <w:bottom w:val="single" w:sz="8" w:color="CCEEFF"/>
            </w:tcBorders>
          </w:tcPr>
          <w:p>
            <w:pPr>
              <w:spacing w:after="0"/>
              <w:rPr>
                <w:sz w:val="11"/>
                <w:szCs w:val="11"/>
                <w:color w:val="auto"/>
              </w:rPr>
            </w:pPr>
          </w:p>
        </w:tc>
      </w:tr>
      <w:tr>
        <w:trPr>
          <w:trHeight w:val="133"/>
        </w:trPr>
        <w:tc>
          <w:tcPr>
            <w:tcW w:w="78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Cost of revenues:</w:t>
            </w:r>
          </w:p>
        </w:tc>
        <w:tc>
          <w:tcPr>
            <w:tcW w:w="9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8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Cost of goods sold</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(122,748)</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(286,241)</w:t>
            </w:r>
          </w:p>
        </w:tc>
      </w:tr>
      <w:tr>
        <w:trPr>
          <w:trHeight w:val="144"/>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services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(24,124)</w:t>
            </w: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(14,774)</w:t>
            </w:r>
          </w:p>
        </w:tc>
      </w:tr>
      <w:tr>
        <w:trPr>
          <w:trHeight w:val="133"/>
        </w:trPr>
        <w:tc>
          <w:tcPr>
            <w:tcW w:w="780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cost of revenues</w:t>
            </w:r>
          </w:p>
        </w:tc>
        <w:tc>
          <w:tcPr>
            <w:tcW w:w="9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(146,872)</w:t>
            </w:r>
          </w:p>
        </w:tc>
        <w:tc>
          <w:tcPr>
            <w:tcW w:w="220" w:type="dxa"/>
            <w:vAlign w:val="bottom"/>
            <w:tcBorders>
              <w:bottom w:val="single" w:sz="8" w:color="CCEEFF"/>
            </w:tcBorders>
          </w:tcPr>
          <w:p>
            <w:pPr>
              <w:spacing w:after="0"/>
              <w:rPr>
                <w:sz w:val="11"/>
                <w:szCs w:val="11"/>
                <w:color w:val="auto"/>
              </w:rPr>
            </w:pPr>
          </w:p>
        </w:tc>
        <w:tc>
          <w:tcPr>
            <w:tcW w:w="1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(301,015)</w:t>
            </w:r>
          </w:p>
        </w:tc>
        <w:tc>
          <w:tcPr>
            <w:tcW w:w="120" w:type="dxa"/>
            <w:vAlign w:val="bottom"/>
            <w:tcBorders>
              <w:bottom w:val="single" w:sz="8" w:color="CCEEFF"/>
            </w:tcBorders>
          </w:tcPr>
          <w:p>
            <w:pPr>
              <w:spacing w:after="0"/>
              <w:rPr>
                <w:sz w:val="11"/>
                <w:szCs w:val="11"/>
                <w:color w:val="auto"/>
              </w:rPr>
            </w:pPr>
          </w:p>
        </w:tc>
      </w:tr>
      <w:tr>
        <w:trPr>
          <w:trHeight w:val="133"/>
        </w:trPr>
        <w:tc>
          <w:tcPr>
            <w:tcW w:w="78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Gross profit (loss)</w:t>
            </w:r>
          </w:p>
        </w:tc>
        <w:tc>
          <w:tcPr>
            <w:tcW w:w="9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16,468</w:t>
            </w:r>
          </w:p>
        </w:tc>
        <w:tc>
          <w:tcPr>
            <w:tcW w:w="220" w:type="dxa"/>
            <w:vAlign w:val="bottom"/>
            <w:shd w:val="clear" w:color="auto" w:fill="CCEEFF"/>
          </w:tcPr>
          <w:p>
            <w:pPr>
              <w:spacing w:after="0"/>
              <w:rPr>
                <w:sz w:val="11"/>
                <w:szCs w:val="11"/>
                <w:color w:val="auto"/>
              </w:rPr>
            </w:pPr>
          </w:p>
        </w:tc>
        <w:tc>
          <w:tcPr>
            <w:tcW w:w="1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(29,489)</w:t>
            </w:r>
          </w:p>
        </w:tc>
        <w:tc>
          <w:tcPr>
            <w:tcW w:w="120" w:type="dxa"/>
            <w:vAlign w:val="bottom"/>
            <w:shd w:val="clear" w:color="auto" w:fill="CCEEFF"/>
          </w:tcPr>
          <w:p>
            <w:pPr>
              <w:spacing w:after="0"/>
              <w:rPr>
                <w:sz w:val="11"/>
                <w:szCs w:val="11"/>
                <w:color w:val="auto"/>
              </w:rPr>
            </w:pPr>
          </w:p>
        </w:tc>
      </w:tr>
      <w:tr>
        <w:trPr>
          <w:trHeight w:val="144"/>
        </w:trPr>
        <w:tc>
          <w:tcPr>
            <w:tcW w:w="87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 expenses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(41,154)</w:t>
            </w: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(47,276)</w:t>
            </w:r>
          </w:p>
        </w:tc>
      </w:tr>
      <w:tr>
        <w:trPr>
          <w:trHeight w:val="144"/>
        </w:trPr>
        <w:tc>
          <w:tcPr>
            <w:tcW w:w="8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Selling and marketing expenses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(31,597)</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(62,506)</w:t>
            </w:r>
          </w:p>
        </w:tc>
      </w:tr>
      <w:tr>
        <w:trPr>
          <w:trHeight w:val="144"/>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(43,183)</w:t>
            </w: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(52,133)</w:t>
            </w:r>
          </w:p>
        </w:tc>
      </w:tr>
      <w:tr>
        <w:trPr>
          <w:trHeight w:val="144"/>
        </w:trPr>
        <w:tc>
          <w:tcPr>
            <w:tcW w:w="8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operating income</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33,512</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2,827</w:t>
            </w:r>
          </w:p>
        </w:tc>
      </w:tr>
      <w:tr>
        <w:trPr>
          <w:trHeight w:val="144"/>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Impairment of long-lived assets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(154)</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780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9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(82,576)</w:t>
            </w:r>
          </w:p>
        </w:tc>
        <w:tc>
          <w:tcPr>
            <w:tcW w:w="220" w:type="dxa"/>
            <w:vAlign w:val="bottom"/>
            <w:tcBorders>
              <w:bottom w:val="single" w:sz="8" w:color="CCEEFF"/>
            </w:tcBorders>
          </w:tcPr>
          <w:p>
            <w:pPr>
              <w:spacing w:after="0"/>
              <w:rPr>
                <w:sz w:val="11"/>
                <w:szCs w:val="11"/>
                <w:color w:val="auto"/>
              </w:rPr>
            </w:pPr>
          </w:p>
        </w:tc>
        <w:tc>
          <w:tcPr>
            <w:tcW w:w="1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(159,088)</w:t>
            </w:r>
          </w:p>
        </w:tc>
        <w:tc>
          <w:tcPr>
            <w:tcW w:w="120" w:type="dxa"/>
            <w:vAlign w:val="bottom"/>
            <w:tcBorders>
              <w:bottom w:val="single" w:sz="8" w:color="CCEEFF"/>
            </w:tcBorders>
          </w:tcPr>
          <w:p>
            <w:pPr>
              <w:spacing w:after="0"/>
              <w:rPr>
                <w:sz w:val="11"/>
                <w:szCs w:val="11"/>
                <w:color w:val="auto"/>
              </w:rPr>
            </w:pPr>
          </w:p>
        </w:tc>
      </w:tr>
      <w:tr>
        <w:trPr>
          <w:trHeight w:val="133"/>
        </w:trPr>
        <w:tc>
          <w:tcPr>
            <w:tcW w:w="78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Operating loss</w:t>
            </w:r>
          </w:p>
        </w:tc>
        <w:tc>
          <w:tcPr>
            <w:tcW w:w="9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(66,108)</w:t>
            </w:r>
          </w:p>
        </w:tc>
        <w:tc>
          <w:tcPr>
            <w:tcW w:w="220" w:type="dxa"/>
            <w:vAlign w:val="bottom"/>
            <w:shd w:val="clear" w:color="auto" w:fill="CCEEFF"/>
          </w:tcPr>
          <w:p>
            <w:pPr>
              <w:spacing w:after="0"/>
              <w:rPr>
                <w:sz w:val="11"/>
                <w:szCs w:val="11"/>
                <w:color w:val="auto"/>
              </w:rPr>
            </w:pPr>
          </w:p>
        </w:tc>
        <w:tc>
          <w:tcPr>
            <w:tcW w:w="1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(188,577)</w:t>
            </w:r>
          </w:p>
        </w:tc>
        <w:tc>
          <w:tcPr>
            <w:tcW w:w="120" w:type="dxa"/>
            <w:vAlign w:val="bottom"/>
            <w:shd w:val="clear" w:color="auto" w:fill="CCEEFF"/>
          </w:tcPr>
          <w:p>
            <w:pPr>
              <w:spacing w:after="0"/>
              <w:rPr>
                <w:sz w:val="11"/>
                <w:szCs w:val="11"/>
                <w:color w:val="auto"/>
              </w:rPr>
            </w:pPr>
          </w:p>
        </w:tc>
      </w:tr>
      <w:tr>
        <w:trPr>
          <w:trHeight w:val="144"/>
        </w:trPr>
        <w:tc>
          <w:tcPr>
            <w:tcW w:w="8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Interest expenses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(22,299)</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(37,661)</w:t>
            </w:r>
          </w:p>
        </w:tc>
      </w:tr>
      <w:tr>
        <w:trPr>
          <w:trHeight w:val="144"/>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7,569</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7,013</w:t>
            </w:r>
          </w:p>
        </w:tc>
      </w:tr>
      <w:tr>
        <w:trPr>
          <w:trHeight w:val="144"/>
        </w:trPr>
        <w:tc>
          <w:tcPr>
            <w:tcW w:w="8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Investment (loss) income, net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(305)</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3,433</w:t>
            </w:r>
          </w:p>
        </w:tc>
      </w:tr>
      <w:tr>
        <w:trPr>
          <w:trHeight w:val="144"/>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currency exchange losses, net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(2,735)</w:t>
            </w: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(26,627)</w:t>
            </w:r>
          </w:p>
        </w:tc>
      </w:tr>
      <w:tr>
        <w:trPr>
          <w:trHeight w:val="144"/>
        </w:trPr>
        <w:tc>
          <w:tcPr>
            <w:tcW w:w="8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Changes in fair values of liabilities, excluding impact of instrument-specific credit risk</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389</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(197,361)</w:t>
            </w:r>
          </w:p>
        </w:tc>
      </w:tr>
      <w:tr>
        <w:trPr>
          <w:trHeight w:val="133"/>
        </w:trPr>
        <w:tc>
          <w:tcPr>
            <w:tcW w:w="78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Loss before income taxes and share of results of equity method investments</w:t>
            </w:r>
          </w:p>
        </w:tc>
        <w:tc>
          <w:tcPr>
            <w:tcW w:w="9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(83,489)</w:t>
            </w:r>
          </w:p>
        </w:tc>
        <w:tc>
          <w:tcPr>
            <w:tcW w:w="220" w:type="dxa"/>
            <w:vAlign w:val="bottom"/>
            <w:tcBorders>
              <w:top w:val="single" w:sz="8" w:color="CCEEFF"/>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(439,780)</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8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 tax benefit (expense)</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739</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(857)</w:t>
            </w:r>
          </w:p>
        </w:tc>
      </w:tr>
      <w:tr>
        <w:trPr>
          <w:trHeight w:val="144"/>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of results of equity method investments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(3,017)</w:t>
            </w: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(132)</w:t>
            </w:r>
          </w:p>
        </w:tc>
      </w:tr>
      <w:tr>
        <w:trPr>
          <w:trHeight w:val="140"/>
        </w:trPr>
        <w:tc>
          <w:tcPr>
            <w:tcW w:w="780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loss</w:t>
            </w:r>
          </w:p>
        </w:tc>
        <w:tc>
          <w:tcPr>
            <w:tcW w:w="9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(85,767)</w:t>
            </w:r>
          </w:p>
        </w:tc>
        <w:tc>
          <w:tcPr>
            <w:tcW w:w="220" w:type="dxa"/>
            <w:vAlign w:val="bottom"/>
            <w:tcBorders>
              <w:bottom w:val="single" w:sz="8" w:color="CCEEFF"/>
            </w:tcBorders>
          </w:tcPr>
          <w:p>
            <w:pPr>
              <w:spacing w:after="0"/>
              <w:rPr>
                <w:sz w:val="12"/>
                <w:szCs w:val="12"/>
                <w:color w:val="auto"/>
              </w:rPr>
            </w:pPr>
          </w:p>
        </w:tc>
        <w:tc>
          <w:tcPr>
            <w:tcW w:w="1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(440,769)</w:t>
            </w:r>
          </w:p>
        </w:tc>
        <w:tc>
          <w:tcPr>
            <w:tcW w:w="120" w:type="dxa"/>
            <w:vAlign w:val="bottom"/>
            <w:tcBorders>
              <w:bottom w:val="single" w:sz="8" w:color="CCEEFF"/>
            </w:tcBorders>
          </w:tcPr>
          <w:p>
            <w:pPr>
              <w:spacing w:after="0"/>
              <w:rPr>
                <w:sz w:val="12"/>
                <w:szCs w:val="12"/>
                <w:color w:val="auto"/>
              </w:rPr>
            </w:pPr>
          </w:p>
        </w:tc>
      </w:tr>
      <w:tr>
        <w:trPr>
          <w:trHeight w:val="144"/>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Net loss attributable to noncontrolling interests</w:t>
            </w:r>
          </w:p>
        </w:tc>
        <w:tc>
          <w:tcPr>
            <w:tcW w:w="9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(962)</w:t>
            </w:r>
          </w:p>
        </w:tc>
        <w:tc>
          <w:tcPr>
            <w:tcW w:w="120" w:type="dxa"/>
            <w:vAlign w:val="bottom"/>
            <w:shd w:val="clear" w:color="auto" w:fill="CCEEFF"/>
          </w:tcPr>
          <w:p>
            <w:pPr>
              <w:spacing w:after="0"/>
              <w:rPr>
                <w:sz w:val="12"/>
                <w:szCs w:val="12"/>
                <w:color w:val="auto"/>
              </w:rPr>
            </w:pPr>
          </w:p>
        </w:tc>
      </w:tr>
      <w:tr>
        <w:trPr>
          <w:trHeight w:val="160"/>
        </w:trPr>
        <w:tc>
          <w:tcPr>
            <w:tcW w:w="87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Net loss attributable to ordinary shareholders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(85,767)</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(439,807)</w:t>
            </w:r>
          </w:p>
        </w:tc>
      </w:tr>
      <w:tr>
        <w:trPr>
          <w:trHeight w:val="144"/>
        </w:trPr>
        <w:tc>
          <w:tcPr>
            <w:tcW w:w="7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 per ordinary share</w:t>
            </w:r>
          </w:p>
        </w:tc>
        <w:tc>
          <w:tcPr>
            <w:tcW w:w="9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r>
      <w:tr>
        <w:trPr>
          <w:trHeight w:val="144"/>
        </w:trPr>
        <w:tc>
          <w:tcPr>
            <w:tcW w:w="8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—Basic and diluted</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(0.14)</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(0.66)</w:t>
            </w:r>
          </w:p>
        </w:tc>
      </w:tr>
      <w:tr>
        <w:trPr>
          <w:trHeight w:val="144"/>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Weighted average number of ordinary shares outstanding used in computing net loss per ordinary share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5"/>
        </w:trPr>
        <w:tc>
          <w:tcPr>
            <w:tcW w:w="8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—Basic and diluted</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628,115,136</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670,513,486</w:t>
            </w:r>
          </w:p>
        </w:tc>
      </w:tr>
    </w:tbl>
    <w:p>
      <w:pPr>
        <w:spacing w:after="0" w:line="266" w:lineRule="exact"/>
        <w:rPr>
          <w:sz w:val="20"/>
          <w:szCs w:val="20"/>
          <w:color w:val="auto"/>
        </w:rPr>
      </w:pPr>
    </w:p>
    <w:p>
      <w:pPr>
        <w:ind w:left="11180"/>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2"/>
          <w:szCs w:val="12"/>
          <w:color w:val="auto"/>
        </w:rPr>
        <w:t>LOTUS TECH</w:t>
      </w:r>
    </w:p>
    <w:p>
      <w:pPr>
        <w:spacing w:after="0" w:line="1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group-lotus.com</w:t>
      </w:r>
    </w:p>
    <w:p>
      <w:pPr>
        <w:spacing w:after="0" w:line="2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Lotus Technology Inc.</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Unaudited Condensed Consolidated Statements of Comprehensive loss (con’d)</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(All amounts in thousands, except for share and per share data)</w:t>
      </w:r>
    </w:p>
    <w:p>
      <w:pPr>
        <w:spacing w:after="0" w:line="155" w:lineRule="exact"/>
        <w:rPr>
          <w:sz w:val="20"/>
          <w:szCs w:val="20"/>
          <w:color w:val="auto"/>
        </w:rPr>
      </w:pPr>
    </w:p>
    <w:p>
      <w:pPr>
        <w:ind w:left="8388"/>
        <w:spacing w:after="0"/>
        <w:rPr>
          <w:sz w:val="20"/>
          <w:szCs w:val="20"/>
          <w:color w:val="auto"/>
        </w:rPr>
      </w:pPr>
      <w:r>
        <w:rPr>
          <w:rFonts w:ascii="Times New Roman" w:cs="Times New Roman" w:eastAsia="Times New Roman" w:hAnsi="Times New Roman"/>
          <w:sz w:val="12"/>
          <w:szCs w:val="12"/>
          <w:b w:val="1"/>
          <w:bCs w:val="1"/>
          <w:color w:val="auto"/>
        </w:rPr>
        <w:t>For the Three Months Ended December 31,</w:t>
      </w:r>
    </w:p>
    <w:p>
      <w:pPr>
        <w:spacing w:after="0" w:line="21"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7800" w:type="dxa"/>
            <w:vAlign w:val="bottom"/>
          </w:tcPr>
          <w:p>
            <w:pPr>
              <w:spacing w:after="0"/>
              <w:rPr>
                <w:sz w:val="12"/>
                <w:szCs w:val="12"/>
                <w:color w:val="auto"/>
              </w:rPr>
            </w:pPr>
          </w:p>
        </w:tc>
        <w:tc>
          <w:tcPr>
            <w:tcW w:w="108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2"/>
                <w:szCs w:val="12"/>
                <w:color w:val="auto"/>
              </w:rPr>
            </w:pPr>
          </w:p>
        </w:tc>
      </w:tr>
      <w:tr>
        <w:trPr>
          <w:trHeight w:val="133"/>
        </w:trPr>
        <w:tc>
          <w:tcPr>
            <w:tcW w:w="7800" w:type="dxa"/>
            <w:vAlign w:val="bottom"/>
          </w:tcPr>
          <w:p>
            <w:pPr>
              <w:spacing w:after="0"/>
              <w:rPr>
                <w:sz w:val="11"/>
                <w:szCs w:val="11"/>
                <w:color w:val="auto"/>
              </w:rPr>
            </w:pPr>
          </w:p>
        </w:tc>
        <w:tc>
          <w:tcPr>
            <w:tcW w:w="1080" w:type="dxa"/>
            <w:vAlign w:val="bottom"/>
          </w:tcPr>
          <w:p>
            <w:pPr>
              <w:ind w:left="700"/>
              <w:spacing w:after="0" w:line="133" w:lineRule="exact"/>
              <w:rPr>
                <w:sz w:val="20"/>
                <w:szCs w:val="20"/>
                <w:color w:val="auto"/>
              </w:rPr>
            </w:pPr>
            <w:r>
              <w:rPr>
                <w:rFonts w:ascii="Times New Roman" w:cs="Times New Roman" w:eastAsia="Times New Roman" w:hAnsi="Times New Roman"/>
                <w:sz w:val="12"/>
                <w:szCs w:val="12"/>
                <w:b w:val="1"/>
                <w:bCs w:val="1"/>
                <w:i w:val="1"/>
                <w:iCs w:val="1"/>
                <w:color w:val="auto"/>
              </w:rPr>
              <w:t>US$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tcPr>
          <w:p>
            <w:pPr>
              <w:jc w:val="right"/>
              <w:ind w:right="620"/>
              <w:spacing w:after="0" w:line="133" w:lineRule="exact"/>
              <w:rPr>
                <w:sz w:val="20"/>
                <w:szCs w:val="20"/>
                <w:color w:val="auto"/>
              </w:rPr>
            </w:pPr>
            <w:r>
              <w:rPr>
                <w:rFonts w:ascii="Times New Roman" w:cs="Times New Roman" w:eastAsia="Times New Roman" w:hAnsi="Times New Roman"/>
                <w:sz w:val="12"/>
                <w:szCs w:val="12"/>
                <w:b w:val="1"/>
                <w:bCs w:val="1"/>
                <w:i w:val="1"/>
                <w:iCs w:val="1"/>
                <w:color w:val="auto"/>
              </w:rPr>
              <w:t>US$</w:t>
            </w:r>
          </w:p>
        </w:tc>
        <w:tc>
          <w:tcPr>
            <w:tcW w:w="120" w:type="dxa"/>
            <w:vAlign w:val="bottom"/>
          </w:tcPr>
          <w:p>
            <w:pPr>
              <w:spacing w:after="0"/>
              <w:rPr>
                <w:sz w:val="11"/>
                <w:szCs w:val="11"/>
                <w:color w:val="auto"/>
              </w:rPr>
            </w:pPr>
          </w:p>
        </w:tc>
      </w:tr>
      <w:tr>
        <w:trPr>
          <w:trHeight w:val="144"/>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7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(85,767)</w:t>
            </w:r>
          </w:p>
        </w:tc>
        <w:tc>
          <w:tcPr>
            <w:tcW w:w="16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(440,769)</w:t>
            </w:r>
          </w:p>
        </w:tc>
      </w:tr>
      <w:tr>
        <w:trPr>
          <w:trHeight w:val="144"/>
        </w:trPr>
        <w:tc>
          <w:tcPr>
            <w:tcW w:w="7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comprehensive (loss) income (i):</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Fair value changes of liabilities due to instrument-specific credit risk, net of nil income taxes</w:t>
            </w:r>
          </w:p>
        </w:tc>
        <w:tc>
          <w:tcPr>
            <w:tcW w:w="74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9,881</w:t>
            </w:r>
          </w:p>
        </w:tc>
        <w:tc>
          <w:tcPr>
            <w:tcW w:w="168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13,317</w:t>
            </w:r>
          </w:p>
        </w:tc>
      </w:tr>
      <w:tr>
        <w:trPr>
          <w:trHeight w:val="144"/>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currency translation adjustment, net of nil income taxes</w:t>
            </w:r>
          </w:p>
        </w:tc>
        <w:tc>
          <w:tcPr>
            <w:tcW w:w="7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(10,126)</w:t>
            </w:r>
          </w:p>
        </w:tc>
        <w:tc>
          <w:tcPr>
            <w:tcW w:w="16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16,233</w:t>
            </w:r>
          </w:p>
        </w:tc>
      </w:tr>
      <w:tr>
        <w:trPr>
          <w:trHeight w:val="144"/>
        </w:trPr>
        <w:tc>
          <w:tcPr>
            <w:tcW w:w="7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other comprehensive (loss) income</w:t>
            </w:r>
          </w:p>
        </w:tc>
        <w:tc>
          <w:tcPr>
            <w:tcW w:w="7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(245)</w:t>
            </w:r>
          </w:p>
        </w:tc>
        <w:tc>
          <w:tcPr>
            <w:tcW w:w="16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29,550</w:t>
            </w:r>
          </w:p>
        </w:tc>
      </w:tr>
      <w:tr>
        <w:trPr>
          <w:trHeight w:val="133"/>
        </w:trPr>
        <w:tc>
          <w:tcPr>
            <w:tcW w:w="780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comprehensive loss</w:t>
            </w:r>
          </w:p>
        </w:tc>
        <w:tc>
          <w:tcPr>
            <w:tcW w:w="7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(86,012)</w:t>
            </w:r>
          </w:p>
        </w:tc>
        <w:tc>
          <w:tcPr>
            <w:tcW w:w="16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(411,219)</w:t>
            </w:r>
          </w:p>
        </w:tc>
      </w:tr>
      <w:tr>
        <w:trPr>
          <w:trHeight w:val="133"/>
        </w:trPr>
        <w:tc>
          <w:tcPr>
            <w:tcW w:w="780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Less: Total comprehensive loss attributable to noncontrolling interests</w:t>
            </w:r>
          </w:p>
        </w:tc>
        <w:tc>
          <w:tcPr>
            <w:tcW w:w="10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tcPr>
          <w:p>
            <w:pPr>
              <w:spacing w:after="0"/>
              <w:rPr>
                <w:sz w:val="11"/>
                <w:szCs w:val="11"/>
                <w:color w:val="auto"/>
              </w:rPr>
            </w:pPr>
          </w:p>
        </w:tc>
        <w:tc>
          <w:tcPr>
            <w:tcW w:w="1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(962)</w:t>
            </w:r>
          </w:p>
        </w:tc>
        <w:tc>
          <w:tcPr>
            <w:tcW w:w="120" w:type="dxa"/>
            <w:vAlign w:val="bottom"/>
            <w:tcBorders>
              <w:bottom w:val="single" w:sz="8" w:color="CCEEFF"/>
            </w:tcBorders>
          </w:tcPr>
          <w:p>
            <w:pPr>
              <w:spacing w:after="0"/>
              <w:rPr>
                <w:sz w:val="11"/>
                <w:szCs w:val="11"/>
                <w:color w:val="auto"/>
              </w:rPr>
            </w:pPr>
          </w:p>
        </w:tc>
      </w:tr>
      <w:tr>
        <w:trPr>
          <w:trHeight w:val="149"/>
        </w:trPr>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comprehensive loss attributable to ordinary shareholders</w:t>
            </w:r>
          </w:p>
        </w:tc>
        <w:tc>
          <w:tcPr>
            <w:tcW w:w="10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(86,012</w:t>
            </w:r>
          </w:p>
        </w:tc>
        <w:tc>
          <w:tcPr>
            <w:tcW w:w="2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(410,257</w:t>
            </w:r>
          </w:p>
        </w:tc>
        <w:tc>
          <w:tcPr>
            <w:tcW w:w="1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73"/>
              </w:rPr>
              <w:t>)</w:t>
            </w:r>
          </w:p>
        </w:tc>
      </w:tr>
    </w:tbl>
    <w:p>
      <w:pPr>
        <w:spacing w:after="0" w:line="133" w:lineRule="exact"/>
        <w:rPr>
          <w:sz w:val="20"/>
          <w:szCs w:val="20"/>
          <w:color w:val="auto"/>
        </w:rPr>
      </w:pPr>
    </w:p>
    <w:p>
      <w:pPr>
        <w:jc w:val="both"/>
        <w:ind w:left="8" w:hanging="8"/>
        <w:spacing w:after="0" w:line="257" w:lineRule="auto"/>
        <w:tabs>
          <w:tab w:leader="none" w:pos="165"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identified a mathematical error in the total other comprehensive loss in the unaudited condensed consolidated statement of comprehensive loss for the three months ended September 30, 2025, included in the Company’s press release for the third quarter of 2025 on Form 6-K previously furnished to the SEC on November 24, 2025. The financial information for the nine months ended September 30, 2025 was correctly stated. The revised total other comprehensive loss for the three months ended September 30, 2025 was US$25.2 million, comprised of US$12.4 million of “fair value changes of liabilities due to instrument-specific credit risk, net of nil income taxes” and US$12.8 million of “foreign currency translation adjustment, net of nil income taxes”, respectively. The revised total comprehensive loss and total comprehensive loss attributable to ordinary shareholders for the three months ended September 30, 2025 was US$90.6 million. The Company concluded the error was not material to the Company’s financial position or results of operations for any prior periods.</w:t>
      </w:r>
    </w:p>
    <w:p>
      <w:pPr>
        <w:spacing w:after="0" w:line="269" w:lineRule="exact"/>
        <w:rPr>
          <w:sz w:val="20"/>
          <w:szCs w:val="20"/>
          <w:color w:val="auto"/>
        </w:rPr>
      </w:pPr>
    </w:p>
    <w:p>
      <w:pPr>
        <w:ind w:left="11188"/>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6" w:name="page17"/>
    <w:bookmarkEnd w:id="16"/>
    <w:p>
      <w:pPr>
        <w:ind w:left="10560"/>
        <w:spacing w:after="0"/>
        <w:rPr>
          <w:sz w:val="20"/>
          <w:szCs w:val="20"/>
          <w:color w:val="auto"/>
        </w:rPr>
      </w:pPr>
      <w:r>
        <w:rPr>
          <w:rFonts w:ascii="Times New Roman" w:cs="Times New Roman" w:eastAsia="Times New Roman" w:hAnsi="Times New Roman"/>
          <w:sz w:val="12"/>
          <w:szCs w:val="12"/>
          <w:color w:val="auto"/>
        </w:rPr>
        <w:t>LOTUS TECH</w:t>
      </w:r>
    </w:p>
    <w:p>
      <w:pPr>
        <w:spacing w:after="0" w:line="146"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2"/>
          <w:szCs w:val="12"/>
          <w:b w:val="1"/>
          <w:bCs w:val="1"/>
          <w:color w:val="auto"/>
        </w:rPr>
        <w:t>group-lotus.com</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8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Appendix D</w:t>
            </w: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73"/>
        </w:trPr>
        <w:tc>
          <w:tcPr>
            <w:tcW w:w="78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Lotus Technology Inc.</w:t>
            </w:r>
          </w:p>
        </w:tc>
        <w:tc>
          <w:tcPr>
            <w:tcW w:w="1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9"/>
        </w:trPr>
        <w:tc>
          <w:tcPr>
            <w:tcW w:w="78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Unaudited Reconciliation of GAAP and Non-GAAP results (Adjusted net loss/Adjusted EBITDA)</w:t>
            </w: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88"/>
        </w:trPr>
        <w:tc>
          <w:tcPr>
            <w:tcW w:w="7800" w:type="dxa"/>
            <w:vAlign w:val="bottom"/>
          </w:tcPr>
          <w:p>
            <w:pPr>
              <w:spacing w:after="0"/>
              <w:rPr>
                <w:sz w:val="20"/>
                <w:szCs w:val="20"/>
                <w:color w:val="auto"/>
              </w:rPr>
            </w:pPr>
            <w:r>
              <w:rPr>
                <w:rFonts w:ascii="Times New Roman" w:cs="Times New Roman" w:eastAsia="Times New Roman" w:hAnsi="Times New Roman"/>
                <w:sz w:val="12"/>
                <w:szCs w:val="12"/>
                <w:color w:val="auto"/>
              </w:rPr>
              <w:t>(All amounts in thousands)</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7800" w:type="dxa"/>
            <w:vAlign w:val="bottom"/>
          </w:tcPr>
          <w:p>
            <w:pPr>
              <w:spacing w:after="0"/>
              <w:rPr>
                <w:sz w:val="24"/>
                <w:szCs w:val="24"/>
                <w:color w:val="auto"/>
              </w:rPr>
            </w:pPr>
          </w:p>
        </w:tc>
        <w:tc>
          <w:tcPr>
            <w:tcW w:w="3500" w:type="dxa"/>
            <w:vAlign w:val="bottom"/>
            <w:gridSpan w:val="4"/>
          </w:tcPr>
          <w:p>
            <w:pPr>
              <w:jc w:val="right"/>
              <w:ind w:right="654"/>
              <w:spacing w:after="0"/>
              <w:rPr>
                <w:sz w:val="20"/>
                <w:szCs w:val="20"/>
                <w:color w:val="auto"/>
              </w:rPr>
            </w:pPr>
            <w:r>
              <w:rPr>
                <w:rFonts w:ascii="Times New Roman" w:cs="Times New Roman" w:eastAsia="Times New Roman" w:hAnsi="Times New Roman"/>
                <w:sz w:val="12"/>
                <w:szCs w:val="12"/>
                <w:b w:val="1"/>
                <w:bCs w:val="1"/>
                <w:color w:val="auto"/>
              </w:rPr>
              <w:t>For the Twelve Months Ended December 31,</w:t>
            </w:r>
          </w:p>
        </w:tc>
      </w:tr>
      <w:tr>
        <w:trPr>
          <w:trHeight w:val="142"/>
        </w:trPr>
        <w:tc>
          <w:tcPr>
            <w:tcW w:w="7800" w:type="dxa"/>
            <w:vAlign w:val="bottom"/>
          </w:tcPr>
          <w:p>
            <w:pPr>
              <w:spacing w:after="0"/>
              <w:rPr>
                <w:sz w:val="12"/>
                <w:szCs w:val="12"/>
                <w:color w:val="auto"/>
              </w:rPr>
            </w:pPr>
          </w:p>
        </w:tc>
        <w:tc>
          <w:tcPr>
            <w:tcW w:w="160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Borders>
              <w:top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2"/>
                <w:szCs w:val="12"/>
                <w:color w:val="auto"/>
              </w:rPr>
            </w:pPr>
          </w:p>
        </w:tc>
      </w:tr>
      <w:tr>
        <w:trPr>
          <w:trHeight w:val="133"/>
        </w:trPr>
        <w:tc>
          <w:tcPr>
            <w:tcW w:w="7800" w:type="dxa"/>
            <w:vAlign w:val="bottom"/>
          </w:tcPr>
          <w:p>
            <w:pPr>
              <w:spacing w:after="0"/>
              <w:rPr>
                <w:sz w:val="11"/>
                <w:szCs w:val="11"/>
                <w:color w:val="auto"/>
              </w:rPr>
            </w:pPr>
          </w:p>
        </w:tc>
        <w:tc>
          <w:tcPr>
            <w:tcW w:w="1600" w:type="dxa"/>
            <w:vAlign w:val="bottom"/>
          </w:tcPr>
          <w:p>
            <w:pPr>
              <w:ind w:left="700"/>
              <w:spacing w:after="0" w:line="133" w:lineRule="exact"/>
              <w:rPr>
                <w:sz w:val="20"/>
                <w:szCs w:val="20"/>
                <w:color w:val="auto"/>
              </w:rPr>
            </w:pPr>
            <w:r>
              <w:rPr>
                <w:rFonts w:ascii="Times New Roman" w:cs="Times New Roman" w:eastAsia="Times New Roman" w:hAnsi="Times New Roman"/>
                <w:sz w:val="12"/>
                <w:szCs w:val="12"/>
                <w:b w:val="1"/>
                <w:bCs w:val="1"/>
                <w:i w:val="1"/>
                <w:iCs w:val="1"/>
                <w:color w:val="auto"/>
              </w:rPr>
              <w:t>US$</w:t>
            </w:r>
          </w:p>
        </w:tc>
        <w:tc>
          <w:tcPr>
            <w:tcW w:w="220" w:type="dxa"/>
            <w:vAlign w:val="bottom"/>
          </w:tcPr>
          <w:p>
            <w:pPr>
              <w:spacing w:after="0"/>
              <w:rPr>
                <w:sz w:val="11"/>
                <w:szCs w:val="11"/>
                <w:color w:val="auto"/>
              </w:rPr>
            </w:pPr>
          </w:p>
        </w:tc>
        <w:tc>
          <w:tcPr>
            <w:tcW w:w="1580" w:type="dxa"/>
            <w:vAlign w:val="bottom"/>
          </w:tcPr>
          <w:p>
            <w:pPr>
              <w:ind w:left="680"/>
              <w:spacing w:after="0" w:line="133" w:lineRule="exact"/>
              <w:rPr>
                <w:sz w:val="20"/>
                <w:szCs w:val="20"/>
                <w:color w:val="auto"/>
              </w:rPr>
            </w:pPr>
            <w:r>
              <w:rPr>
                <w:rFonts w:ascii="Times New Roman" w:cs="Times New Roman" w:eastAsia="Times New Roman" w:hAnsi="Times New Roman"/>
                <w:sz w:val="12"/>
                <w:szCs w:val="12"/>
                <w:b w:val="1"/>
                <w:bCs w:val="1"/>
                <w:i w:val="1"/>
                <w:iCs w:val="1"/>
                <w:color w:val="auto"/>
              </w:rPr>
              <w:t>US$</w:t>
            </w:r>
          </w:p>
        </w:tc>
        <w:tc>
          <w:tcPr>
            <w:tcW w:w="100" w:type="dxa"/>
            <w:vAlign w:val="bottom"/>
          </w:tcPr>
          <w:p>
            <w:pPr>
              <w:spacing w:after="0"/>
              <w:rPr>
                <w:sz w:val="11"/>
                <w:szCs w:val="11"/>
                <w:color w:val="auto"/>
              </w:rPr>
            </w:pPr>
          </w:p>
        </w:tc>
      </w:tr>
      <w:tr>
        <w:trPr>
          <w:trHeight w:val="144"/>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18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(464,222)</w:t>
            </w:r>
          </w:p>
        </w:tc>
        <w:tc>
          <w:tcPr>
            <w:tcW w:w="16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2"/>
                <w:szCs w:val="12"/>
                <w:b w:val="1"/>
                <w:bCs w:val="1"/>
                <w:color w:val="auto"/>
              </w:rPr>
              <w:t>(1,107,289)</w:t>
            </w:r>
          </w:p>
        </w:tc>
      </w:tr>
      <w:tr>
        <w:trPr>
          <w:trHeight w:val="144"/>
        </w:trPr>
        <w:tc>
          <w:tcPr>
            <w:tcW w:w="7800" w:type="dxa"/>
            <w:vAlign w:val="bottom"/>
          </w:tcPr>
          <w:p>
            <w:pPr>
              <w:spacing w:after="0"/>
              <w:rPr>
                <w:sz w:val="20"/>
                <w:szCs w:val="20"/>
                <w:color w:val="auto"/>
              </w:rPr>
            </w:pPr>
            <w:r>
              <w:rPr>
                <w:rFonts w:ascii="Times New Roman" w:cs="Times New Roman" w:eastAsia="Times New Roman" w:hAnsi="Times New Roman"/>
                <w:sz w:val="12"/>
                <w:szCs w:val="12"/>
                <w:color w:val="auto"/>
              </w:rPr>
              <w:t>Share-based compensation expenses</w:t>
            </w:r>
          </w:p>
        </w:tc>
        <w:tc>
          <w:tcPr>
            <w:tcW w:w="182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2,274</w:t>
            </w:r>
          </w:p>
        </w:tc>
        <w:tc>
          <w:tcPr>
            <w:tcW w:w="1680" w:type="dxa"/>
            <w:vAlign w:val="bottom"/>
            <w:gridSpan w:val="2"/>
          </w:tcPr>
          <w:p>
            <w:pPr>
              <w:jc w:val="right"/>
              <w:ind w:right="114"/>
              <w:spacing w:after="0"/>
              <w:rPr>
                <w:sz w:val="20"/>
                <w:szCs w:val="20"/>
                <w:color w:val="auto"/>
              </w:rPr>
            </w:pPr>
            <w:r>
              <w:rPr>
                <w:rFonts w:ascii="Times New Roman" w:cs="Times New Roman" w:eastAsia="Times New Roman" w:hAnsi="Times New Roman"/>
                <w:sz w:val="12"/>
                <w:szCs w:val="12"/>
                <w:color w:val="auto"/>
              </w:rPr>
              <w:t>31,930</w:t>
            </w:r>
          </w:p>
        </w:tc>
      </w:tr>
      <w:tr>
        <w:trPr>
          <w:trHeight w:val="144"/>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net loss</w:t>
            </w:r>
          </w:p>
        </w:tc>
        <w:tc>
          <w:tcPr>
            <w:tcW w:w="18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(461,948)</w:t>
            </w:r>
          </w:p>
        </w:tc>
        <w:tc>
          <w:tcPr>
            <w:tcW w:w="16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2"/>
                <w:szCs w:val="12"/>
                <w:b w:val="1"/>
                <w:bCs w:val="1"/>
                <w:color w:val="auto"/>
              </w:rPr>
              <w:t>(1,075,359)</w:t>
            </w:r>
          </w:p>
        </w:tc>
      </w:tr>
      <w:tr>
        <w:trPr>
          <w:trHeight w:val="144"/>
        </w:trPr>
        <w:tc>
          <w:tcPr>
            <w:tcW w:w="78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182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(464,222)</w:t>
            </w:r>
          </w:p>
        </w:tc>
        <w:tc>
          <w:tcPr>
            <w:tcW w:w="1680" w:type="dxa"/>
            <w:vAlign w:val="bottom"/>
            <w:gridSpan w:val="2"/>
          </w:tcPr>
          <w:p>
            <w:pPr>
              <w:jc w:val="right"/>
              <w:ind w:right="74"/>
              <w:spacing w:after="0"/>
              <w:rPr>
                <w:sz w:val="20"/>
                <w:szCs w:val="20"/>
                <w:color w:val="auto"/>
              </w:rPr>
            </w:pPr>
            <w:r>
              <w:rPr>
                <w:rFonts w:ascii="Times New Roman" w:cs="Times New Roman" w:eastAsia="Times New Roman" w:hAnsi="Times New Roman"/>
                <w:sz w:val="12"/>
                <w:szCs w:val="12"/>
                <w:b w:val="1"/>
                <w:bCs w:val="1"/>
                <w:color w:val="auto"/>
              </w:rPr>
              <w:t>(1,107,289)</w:t>
            </w:r>
          </w:p>
        </w:tc>
      </w:tr>
      <w:tr>
        <w:trPr>
          <w:trHeight w:val="144"/>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expenses</w:t>
            </w:r>
          </w:p>
        </w:tc>
        <w:tc>
          <w:tcPr>
            <w:tcW w:w="18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63,338</w:t>
            </w:r>
          </w:p>
        </w:tc>
        <w:tc>
          <w:tcPr>
            <w:tcW w:w="16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2"/>
                <w:szCs w:val="12"/>
                <w:color w:val="auto"/>
              </w:rPr>
              <w:t>58,218</w:t>
            </w:r>
          </w:p>
        </w:tc>
      </w:tr>
      <w:tr>
        <w:trPr>
          <w:trHeight w:val="144"/>
        </w:trPr>
        <w:tc>
          <w:tcPr>
            <w:tcW w:w="7800" w:type="dxa"/>
            <w:vAlign w:val="bottom"/>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182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(28,143)</w:t>
            </w:r>
          </w:p>
        </w:tc>
        <w:tc>
          <w:tcPr>
            <w:tcW w:w="1680" w:type="dxa"/>
            <w:vAlign w:val="bottom"/>
            <w:gridSpan w:val="2"/>
          </w:tcPr>
          <w:p>
            <w:pPr>
              <w:jc w:val="right"/>
              <w:ind w:right="74"/>
              <w:spacing w:after="0"/>
              <w:rPr>
                <w:sz w:val="20"/>
                <w:szCs w:val="20"/>
                <w:color w:val="auto"/>
              </w:rPr>
            </w:pPr>
            <w:r>
              <w:rPr>
                <w:rFonts w:ascii="Times New Roman" w:cs="Times New Roman" w:eastAsia="Times New Roman" w:hAnsi="Times New Roman"/>
                <w:sz w:val="12"/>
                <w:szCs w:val="12"/>
                <w:color w:val="auto"/>
              </w:rPr>
              <w:t>(22,289)</w:t>
            </w:r>
          </w:p>
        </w:tc>
      </w:tr>
      <w:tr>
        <w:trPr>
          <w:trHeight w:val="144"/>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8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15,946</w:t>
            </w:r>
          </w:p>
        </w:tc>
        <w:tc>
          <w:tcPr>
            <w:tcW w:w="1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2,012</w:t>
            </w:r>
          </w:p>
        </w:tc>
        <w:tc>
          <w:tcPr>
            <w:tcW w:w="100" w:type="dxa"/>
            <w:vAlign w:val="bottom"/>
            <w:shd w:val="clear" w:color="auto" w:fill="CCEEFF"/>
          </w:tcPr>
          <w:p>
            <w:pPr>
              <w:spacing w:after="0"/>
              <w:rPr>
                <w:sz w:val="12"/>
                <w:szCs w:val="12"/>
                <w:color w:val="auto"/>
              </w:rPr>
            </w:pPr>
          </w:p>
        </w:tc>
      </w:tr>
      <w:tr>
        <w:trPr>
          <w:trHeight w:val="144"/>
        </w:trPr>
        <w:tc>
          <w:tcPr>
            <w:tcW w:w="7800" w:type="dxa"/>
            <w:vAlign w:val="bottom"/>
          </w:tcPr>
          <w:p>
            <w:pPr>
              <w:spacing w:after="0"/>
              <w:rPr>
                <w:sz w:val="20"/>
                <w:szCs w:val="20"/>
                <w:color w:val="auto"/>
              </w:rPr>
            </w:pPr>
            <w:r>
              <w:rPr>
                <w:rFonts w:ascii="Times New Roman" w:cs="Times New Roman" w:eastAsia="Times New Roman" w:hAnsi="Times New Roman"/>
                <w:sz w:val="12"/>
                <w:szCs w:val="12"/>
                <w:color w:val="auto"/>
              </w:rPr>
              <w:t>Share-based compensation expenses</w:t>
            </w:r>
          </w:p>
        </w:tc>
        <w:tc>
          <w:tcPr>
            <w:tcW w:w="182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2,274</w:t>
            </w:r>
          </w:p>
        </w:tc>
        <w:tc>
          <w:tcPr>
            <w:tcW w:w="1680" w:type="dxa"/>
            <w:vAlign w:val="bottom"/>
            <w:gridSpan w:val="2"/>
          </w:tcPr>
          <w:p>
            <w:pPr>
              <w:jc w:val="right"/>
              <w:ind w:right="114"/>
              <w:spacing w:after="0"/>
              <w:rPr>
                <w:sz w:val="20"/>
                <w:szCs w:val="20"/>
                <w:color w:val="auto"/>
              </w:rPr>
            </w:pPr>
            <w:r>
              <w:rPr>
                <w:rFonts w:ascii="Times New Roman" w:cs="Times New Roman" w:eastAsia="Times New Roman" w:hAnsi="Times New Roman"/>
                <w:sz w:val="12"/>
                <w:szCs w:val="12"/>
                <w:color w:val="auto"/>
              </w:rPr>
              <w:t>31,930</w:t>
            </w:r>
          </w:p>
        </w:tc>
      </w:tr>
      <w:tr>
        <w:trPr>
          <w:trHeight w:val="15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w:t>
            </w:r>
          </w:p>
        </w:tc>
        <w:tc>
          <w:tcPr>
            <w:tcW w:w="18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54,740</w:t>
            </w:r>
          </w:p>
        </w:tc>
        <w:tc>
          <w:tcPr>
            <w:tcW w:w="16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2"/>
                <w:szCs w:val="12"/>
                <w:color w:val="auto"/>
              </w:rPr>
              <w:t>76,488</w:t>
            </w:r>
          </w:p>
        </w:tc>
      </w:tr>
      <w:tr>
        <w:trPr>
          <w:trHeight w:val="149"/>
        </w:trPr>
        <w:tc>
          <w:tcPr>
            <w:tcW w:w="78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(356,067</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(960,930</w:t>
            </w:r>
          </w:p>
        </w:tc>
        <w:tc>
          <w:tcPr>
            <w:tcW w:w="100" w:type="dxa"/>
            <w:vAlign w:val="bottom"/>
          </w:tcPr>
          <w:p>
            <w:pPr>
              <w:jc w:val="right"/>
              <w:ind w:right="74"/>
              <w:spacing w:after="0"/>
              <w:rPr>
                <w:sz w:val="20"/>
                <w:szCs w:val="20"/>
                <w:color w:val="auto"/>
              </w:rPr>
            </w:pPr>
            <w:r>
              <w:rPr>
                <w:rFonts w:ascii="Times New Roman" w:cs="Times New Roman" w:eastAsia="Times New Roman" w:hAnsi="Times New Roman"/>
                <w:sz w:val="1"/>
                <w:szCs w:val="1"/>
                <w:b w:val="1"/>
                <w:bCs w:val="1"/>
                <w:color w:val="auto"/>
                <w:w w:val="4294967281"/>
              </w:rPr>
              <w:t>)</w:t>
            </w:r>
          </w:p>
        </w:tc>
      </w:tr>
      <w:tr>
        <w:trPr>
          <w:trHeight w:val="297"/>
        </w:trPr>
        <w:tc>
          <w:tcPr>
            <w:tcW w:w="7800" w:type="dxa"/>
            <w:vAlign w:val="bottom"/>
          </w:tcPr>
          <w:p>
            <w:pPr>
              <w:spacing w:after="0"/>
              <w:rPr>
                <w:sz w:val="24"/>
                <w:szCs w:val="24"/>
                <w:color w:val="auto"/>
              </w:rPr>
            </w:pPr>
          </w:p>
        </w:tc>
        <w:tc>
          <w:tcPr>
            <w:tcW w:w="3500" w:type="dxa"/>
            <w:vAlign w:val="bottom"/>
            <w:gridSpan w:val="4"/>
          </w:tcPr>
          <w:p>
            <w:pPr>
              <w:jc w:val="right"/>
              <w:ind w:right="694"/>
              <w:spacing w:after="0"/>
              <w:rPr>
                <w:sz w:val="20"/>
                <w:szCs w:val="20"/>
                <w:color w:val="auto"/>
              </w:rPr>
            </w:pPr>
            <w:r>
              <w:rPr>
                <w:rFonts w:ascii="Times New Roman" w:cs="Times New Roman" w:eastAsia="Times New Roman" w:hAnsi="Times New Roman"/>
                <w:sz w:val="12"/>
                <w:szCs w:val="12"/>
                <w:b w:val="1"/>
                <w:bCs w:val="1"/>
                <w:color w:val="auto"/>
              </w:rPr>
              <w:t>For the Three Months Ended December 31,</w:t>
            </w:r>
          </w:p>
        </w:tc>
      </w:tr>
      <w:tr>
        <w:trPr>
          <w:trHeight w:val="142"/>
        </w:trPr>
        <w:tc>
          <w:tcPr>
            <w:tcW w:w="7800" w:type="dxa"/>
            <w:vAlign w:val="bottom"/>
          </w:tcPr>
          <w:p>
            <w:pPr>
              <w:spacing w:after="0"/>
              <w:rPr>
                <w:sz w:val="12"/>
                <w:szCs w:val="12"/>
                <w:color w:val="auto"/>
              </w:rPr>
            </w:pPr>
          </w:p>
        </w:tc>
        <w:tc>
          <w:tcPr>
            <w:tcW w:w="1820" w:type="dxa"/>
            <w:vAlign w:val="bottom"/>
            <w:tcBorders>
              <w:top w:val="single" w:sz="8" w:color="auto"/>
            </w:tcBorders>
            <w:gridSpan w:val="2"/>
          </w:tcPr>
          <w:p>
            <w:pPr>
              <w:jc w:val="right"/>
              <w:ind w:right="178"/>
              <w:spacing w:after="0"/>
              <w:rPr>
                <w:sz w:val="20"/>
                <w:szCs w:val="20"/>
                <w:color w:val="auto"/>
              </w:rPr>
            </w:pPr>
            <w:r>
              <w:rPr>
                <w:rFonts w:ascii="Times New Roman" w:cs="Times New Roman" w:eastAsia="Times New Roman" w:hAnsi="Times New Roman"/>
                <w:sz w:val="12"/>
                <w:szCs w:val="12"/>
                <w:b w:val="1"/>
                <w:bCs w:val="1"/>
                <w:color w:val="auto"/>
              </w:rPr>
              <w:t>2025</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2"/>
                <w:szCs w:val="12"/>
                <w:color w:val="auto"/>
              </w:rPr>
            </w:pPr>
          </w:p>
        </w:tc>
      </w:tr>
      <w:tr>
        <w:trPr>
          <w:trHeight w:val="133"/>
        </w:trPr>
        <w:tc>
          <w:tcPr>
            <w:tcW w:w="7800" w:type="dxa"/>
            <w:vAlign w:val="bottom"/>
          </w:tcPr>
          <w:p>
            <w:pPr>
              <w:spacing w:after="0"/>
              <w:rPr>
                <w:sz w:val="11"/>
                <w:szCs w:val="11"/>
                <w:color w:val="auto"/>
              </w:rPr>
            </w:pPr>
          </w:p>
        </w:tc>
        <w:tc>
          <w:tcPr>
            <w:tcW w:w="1600" w:type="dxa"/>
            <w:vAlign w:val="bottom"/>
            <w:tcBorders>
              <w:top w:val="single" w:sz="8" w:color="auto"/>
            </w:tcBorders>
          </w:tcPr>
          <w:p>
            <w:pPr>
              <w:ind w:left="700"/>
              <w:spacing w:after="0" w:line="133" w:lineRule="exact"/>
              <w:rPr>
                <w:sz w:val="20"/>
                <w:szCs w:val="20"/>
                <w:color w:val="auto"/>
              </w:rPr>
            </w:pPr>
            <w:r>
              <w:rPr>
                <w:rFonts w:ascii="Times New Roman" w:cs="Times New Roman" w:eastAsia="Times New Roman" w:hAnsi="Times New Roman"/>
                <w:sz w:val="12"/>
                <w:szCs w:val="12"/>
                <w:b w:val="1"/>
                <w:bCs w:val="1"/>
                <w:i w:val="1"/>
                <w:iCs w:val="1"/>
                <w:color w:val="auto"/>
              </w:rPr>
              <w:t>US$</w:t>
            </w:r>
          </w:p>
        </w:tc>
        <w:tc>
          <w:tcPr>
            <w:tcW w:w="220" w:type="dxa"/>
            <w:vAlign w:val="bottom"/>
          </w:tcPr>
          <w:p>
            <w:pPr>
              <w:spacing w:after="0"/>
              <w:rPr>
                <w:sz w:val="11"/>
                <w:szCs w:val="11"/>
                <w:color w:val="auto"/>
              </w:rPr>
            </w:pPr>
          </w:p>
        </w:tc>
        <w:tc>
          <w:tcPr>
            <w:tcW w:w="1580" w:type="dxa"/>
            <w:vAlign w:val="bottom"/>
            <w:tcBorders>
              <w:top w:val="single" w:sz="8" w:color="auto"/>
            </w:tcBorders>
          </w:tcPr>
          <w:p>
            <w:pPr>
              <w:ind w:left="680"/>
              <w:spacing w:after="0" w:line="133" w:lineRule="exact"/>
              <w:rPr>
                <w:sz w:val="20"/>
                <w:szCs w:val="20"/>
                <w:color w:val="auto"/>
              </w:rPr>
            </w:pPr>
            <w:r>
              <w:rPr>
                <w:rFonts w:ascii="Times New Roman" w:cs="Times New Roman" w:eastAsia="Times New Roman" w:hAnsi="Times New Roman"/>
                <w:sz w:val="12"/>
                <w:szCs w:val="12"/>
                <w:b w:val="1"/>
                <w:bCs w:val="1"/>
                <w:i w:val="1"/>
                <w:iCs w:val="1"/>
                <w:color w:val="auto"/>
              </w:rPr>
              <w:t>US$</w:t>
            </w:r>
          </w:p>
        </w:tc>
        <w:tc>
          <w:tcPr>
            <w:tcW w:w="100" w:type="dxa"/>
            <w:vAlign w:val="bottom"/>
          </w:tcPr>
          <w:p>
            <w:pPr>
              <w:spacing w:after="0"/>
              <w:rPr>
                <w:sz w:val="11"/>
                <w:szCs w:val="11"/>
                <w:color w:val="auto"/>
              </w:rPr>
            </w:pPr>
          </w:p>
        </w:tc>
      </w:tr>
      <w:tr>
        <w:trPr>
          <w:trHeight w:val="144"/>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18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(85,767)</w:t>
            </w:r>
          </w:p>
        </w:tc>
        <w:tc>
          <w:tcPr>
            <w:tcW w:w="16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2"/>
                <w:szCs w:val="12"/>
                <w:b w:val="1"/>
                <w:bCs w:val="1"/>
                <w:color w:val="auto"/>
              </w:rPr>
              <w:t>(440,769)</w:t>
            </w:r>
          </w:p>
        </w:tc>
      </w:tr>
      <w:tr>
        <w:trPr>
          <w:trHeight w:val="144"/>
        </w:trPr>
        <w:tc>
          <w:tcPr>
            <w:tcW w:w="7800" w:type="dxa"/>
            <w:vAlign w:val="bottom"/>
          </w:tcPr>
          <w:p>
            <w:pPr>
              <w:spacing w:after="0"/>
              <w:rPr>
                <w:sz w:val="20"/>
                <w:szCs w:val="20"/>
                <w:color w:val="auto"/>
              </w:rPr>
            </w:pPr>
            <w:r>
              <w:rPr>
                <w:rFonts w:ascii="Times New Roman" w:cs="Times New Roman" w:eastAsia="Times New Roman" w:hAnsi="Times New Roman"/>
                <w:sz w:val="12"/>
                <w:szCs w:val="12"/>
                <w:color w:val="auto"/>
              </w:rPr>
              <w:t>Share-based compensation expenses</w:t>
            </w:r>
          </w:p>
        </w:tc>
        <w:tc>
          <w:tcPr>
            <w:tcW w:w="182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19</w:t>
            </w:r>
          </w:p>
        </w:tc>
        <w:tc>
          <w:tcPr>
            <w:tcW w:w="1680" w:type="dxa"/>
            <w:vAlign w:val="bottom"/>
            <w:gridSpan w:val="2"/>
          </w:tcPr>
          <w:p>
            <w:pPr>
              <w:jc w:val="right"/>
              <w:ind w:right="74"/>
              <w:spacing w:after="0"/>
              <w:rPr>
                <w:sz w:val="20"/>
                <w:szCs w:val="20"/>
                <w:color w:val="auto"/>
              </w:rPr>
            </w:pPr>
            <w:r>
              <w:rPr>
                <w:rFonts w:ascii="Times New Roman" w:cs="Times New Roman" w:eastAsia="Times New Roman" w:hAnsi="Times New Roman"/>
                <w:sz w:val="12"/>
                <w:szCs w:val="12"/>
                <w:color w:val="auto"/>
              </w:rPr>
              <w:t>(1,635)</w:t>
            </w:r>
          </w:p>
        </w:tc>
      </w:tr>
      <w:tr>
        <w:trPr>
          <w:trHeight w:val="144"/>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net loss</w:t>
            </w:r>
          </w:p>
        </w:tc>
        <w:tc>
          <w:tcPr>
            <w:tcW w:w="18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(85,748)</w:t>
            </w:r>
          </w:p>
        </w:tc>
        <w:tc>
          <w:tcPr>
            <w:tcW w:w="16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2"/>
                <w:szCs w:val="12"/>
                <w:b w:val="1"/>
                <w:bCs w:val="1"/>
                <w:color w:val="auto"/>
              </w:rPr>
              <w:t>(442,404)</w:t>
            </w:r>
          </w:p>
        </w:tc>
      </w:tr>
      <w:tr>
        <w:trPr>
          <w:trHeight w:val="144"/>
        </w:trPr>
        <w:tc>
          <w:tcPr>
            <w:tcW w:w="78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182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(85,767)</w:t>
            </w:r>
          </w:p>
        </w:tc>
        <w:tc>
          <w:tcPr>
            <w:tcW w:w="1680" w:type="dxa"/>
            <w:vAlign w:val="bottom"/>
            <w:gridSpan w:val="2"/>
          </w:tcPr>
          <w:p>
            <w:pPr>
              <w:jc w:val="right"/>
              <w:ind w:right="74"/>
              <w:spacing w:after="0"/>
              <w:rPr>
                <w:sz w:val="20"/>
                <w:szCs w:val="20"/>
                <w:color w:val="auto"/>
              </w:rPr>
            </w:pPr>
            <w:r>
              <w:rPr>
                <w:rFonts w:ascii="Times New Roman" w:cs="Times New Roman" w:eastAsia="Times New Roman" w:hAnsi="Times New Roman"/>
                <w:sz w:val="12"/>
                <w:szCs w:val="12"/>
                <w:b w:val="1"/>
                <w:bCs w:val="1"/>
                <w:color w:val="auto"/>
              </w:rPr>
              <w:t>(440,769)</w:t>
            </w:r>
          </w:p>
        </w:tc>
      </w:tr>
      <w:tr>
        <w:trPr>
          <w:trHeight w:val="144"/>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expenses</w:t>
            </w:r>
          </w:p>
        </w:tc>
        <w:tc>
          <w:tcPr>
            <w:tcW w:w="18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22,299</w:t>
            </w:r>
          </w:p>
        </w:tc>
        <w:tc>
          <w:tcPr>
            <w:tcW w:w="16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2"/>
                <w:szCs w:val="12"/>
                <w:color w:val="auto"/>
              </w:rPr>
              <w:t>37,661</w:t>
            </w:r>
          </w:p>
        </w:tc>
      </w:tr>
      <w:tr>
        <w:trPr>
          <w:trHeight w:val="144"/>
        </w:trPr>
        <w:tc>
          <w:tcPr>
            <w:tcW w:w="7800" w:type="dxa"/>
            <w:vAlign w:val="bottom"/>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182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(7,569)</w:t>
            </w:r>
          </w:p>
        </w:tc>
        <w:tc>
          <w:tcPr>
            <w:tcW w:w="1680" w:type="dxa"/>
            <w:vAlign w:val="bottom"/>
            <w:gridSpan w:val="2"/>
          </w:tcPr>
          <w:p>
            <w:pPr>
              <w:jc w:val="right"/>
              <w:ind w:right="74"/>
              <w:spacing w:after="0"/>
              <w:rPr>
                <w:sz w:val="20"/>
                <w:szCs w:val="20"/>
                <w:color w:val="auto"/>
              </w:rPr>
            </w:pPr>
            <w:r>
              <w:rPr>
                <w:rFonts w:ascii="Times New Roman" w:cs="Times New Roman" w:eastAsia="Times New Roman" w:hAnsi="Times New Roman"/>
                <w:sz w:val="12"/>
                <w:szCs w:val="12"/>
                <w:color w:val="auto"/>
              </w:rPr>
              <w:t>(7,013)</w:t>
            </w:r>
          </w:p>
        </w:tc>
      </w:tr>
      <w:tr>
        <w:trPr>
          <w:trHeight w:val="144"/>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8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(739)</w:t>
            </w:r>
          </w:p>
        </w:tc>
        <w:tc>
          <w:tcPr>
            <w:tcW w:w="1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857</w:t>
            </w:r>
          </w:p>
        </w:tc>
        <w:tc>
          <w:tcPr>
            <w:tcW w:w="100" w:type="dxa"/>
            <w:vAlign w:val="bottom"/>
            <w:shd w:val="clear" w:color="auto" w:fill="CCEEFF"/>
          </w:tcPr>
          <w:p>
            <w:pPr>
              <w:spacing w:after="0"/>
              <w:rPr>
                <w:sz w:val="12"/>
                <w:szCs w:val="12"/>
                <w:color w:val="auto"/>
              </w:rPr>
            </w:pPr>
          </w:p>
        </w:tc>
      </w:tr>
      <w:tr>
        <w:trPr>
          <w:trHeight w:val="144"/>
        </w:trPr>
        <w:tc>
          <w:tcPr>
            <w:tcW w:w="7800" w:type="dxa"/>
            <w:vAlign w:val="bottom"/>
          </w:tcPr>
          <w:p>
            <w:pPr>
              <w:spacing w:after="0"/>
              <w:rPr>
                <w:sz w:val="20"/>
                <w:szCs w:val="20"/>
                <w:color w:val="auto"/>
              </w:rPr>
            </w:pPr>
            <w:r>
              <w:rPr>
                <w:rFonts w:ascii="Times New Roman" w:cs="Times New Roman" w:eastAsia="Times New Roman" w:hAnsi="Times New Roman"/>
                <w:sz w:val="12"/>
                <w:szCs w:val="12"/>
                <w:color w:val="auto"/>
              </w:rPr>
              <w:t>Share-based compensation expenses</w:t>
            </w:r>
          </w:p>
        </w:tc>
        <w:tc>
          <w:tcPr>
            <w:tcW w:w="182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19</w:t>
            </w:r>
          </w:p>
        </w:tc>
        <w:tc>
          <w:tcPr>
            <w:tcW w:w="1680" w:type="dxa"/>
            <w:vAlign w:val="bottom"/>
            <w:gridSpan w:val="2"/>
          </w:tcPr>
          <w:p>
            <w:pPr>
              <w:jc w:val="right"/>
              <w:ind w:right="74"/>
              <w:spacing w:after="0"/>
              <w:rPr>
                <w:sz w:val="20"/>
                <w:szCs w:val="20"/>
                <w:color w:val="auto"/>
              </w:rPr>
            </w:pPr>
            <w:r>
              <w:rPr>
                <w:rFonts w:ascii="Times New Roman" w:cs="Times New Roman" w:eastAsia="Times New Roman" w:hAnsi="Times New Roman"/>
                <w:sz w:val="12"/>
                <w:szCs w:val="12"/>
                <w:color w:val="auto"/>
              </w:rPr>
              <w:t>(1,635)</w:t>
            </w:r>
          </w:p>
        </w:tc>
      </w:tr>
      <w:tr>
        <w:trPr>
          <w:trHeight w:val="15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w:t>
            </w:r>
          </w:p>
        </w:tc>
        <w:tc>
          <w:tcPr>
            <w:tcW w:w="18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9,730</w:t>
            </w:r>
          </w:p>
        </w:tc>
        <w:tc>
          <w:tcPr>
            <w:tcW w:w="16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2"/>
                <w:szCs w:val="12"/>
                <w:color w:val="auto"/>
              </w:rPr>
              <w:t>13,335</w:t>
            </w:r>
          </w:p>
        </w:tc>
      </w:tr>
      <w:tr>
        <w:trPr>
          <w:trHeight w:val="142"/>
        </w:trPr>
        <w:tc>
          <w:tcPr>
            <w:tcW w:w="78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(62,027</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(397,564</w:t>
            </w:r>
          </w:p>
        </w:tc>
        <w:tc>
          <w:tcPr>
            <w:tcW w:w="100" w:type="dxa"/>
            <w:vAlign w:val="bottom"/>
          </w:tcPr>
          <w:p>
            <w:pPr>
              <w:jc w:val="right"/>
              <w:ind w:right="74"/>
              <w:spacing w:after="0"/>
              <w:rPr>
                <w:sz w:val="20"/>
                <w:szCs w:val="20"/>
                <w:color w:val="auto"/>
              </w:rPr>
            </w:pPr>
            <w:r>
              <w:rPr>
                <w:rFonts w:ascii="Times New Roman" w:cs="Times New Roman" w:eastAsia="Times New Roman" w:hAnsi="Times New Roman"/>
                <w:sz w:val="1"/>
                <w:szCs w:val="1"/>
                <w:b w:val="1"/>
                <w:bCs w:val="1"/>
                <w:color w:val="auto"/>
                <w:w w:val="4294967281"/>
              </w:rPr>
              <w:t>)</w:t>
            </w:r>
          </w:p>
        </w:tc>
      </w:tr>
      <w:tr>
        <w:trPr>
          <w:trHeight w:val="27"/>
        </w:trPr>
        <w:tc>
          <w:tcPr>
            <w:tcW w:w="780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77" w:lineRule="exact"/>
        <w:rPr>
          <w:sz w:val="20"/>
          <w:szCs w:val="20"/>
          <w:color w:val="auto"/>
        </w:rPr>
      </w:pPr>
    </w:p>
    <w:p>
      <w:pPr>
        <w:ind w:left="11180"/>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7" w:name="page18"/>
    <w:bookmarkEnd w:id="17"/>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20320</wp:posOffset>
            </wp:positionV>
            <wp:extent cx="7087235"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upperLetter"/>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2026-04-10T05:10:58Z</dcterms:created>
  <dcterms:modified xsi:type="dcterms:W3CDTF">2026-04-10T05:10:58Z</dcterms:modified>
</cp:coreProperties>
</file>